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SimSun"/>
          <w:b/>
          <w:i w:val="0"/>
          <w:sz w:val="32"/>
        </w:rPr>
        <w:t>员工入职培训形式效果评估报告</w:t>
      </w: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1. 核心内容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1.1 报告目标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评估比较了阅读材料、录播课程、直播工作坊、导师带教在学习效果、上手信心和培训负担感上的差异，以支持不同入职培训形式是否会影响新员工的学习效果、上手信心和培训负担感。具体而言，每种入职培训形式均使用 synthetic/mock data 构建为独立组。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本次分析希望回答两个问题：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1. 不同入职培训形式是否影响学习效果、上手信心和培训负担感？</w:t>
      </w:r>
    </w:p>
    <w:p>
      <w:pPr>
        <w:spacing w:after="80"/>
        <w:ind w:left="440" w:hanging="440"/>
      </w:pPr>
      <w:r>
        <w:rPr>
          <w:rFonts w:ascii="Times New Roman" w:hAnsi="Times New Roman" w:eastAsia="SimSun"/>
          <w:b w:val="0"/>
          <w:i w:val="0"/>
          <w:sz w:val="22"/>
        </w:rPr>
        <w:t>2. 哪种入职培训形式对应更理想的新员工上手体验？</w:t>
      </w: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1.2 核心结果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第一，不同入职培训形式之间存在清晰差异。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第二，导师带教整体表现更好，既对应更高的学习效果和上手信心，也对应更低的培训负担感。其中，导师带教相较阅读材料可以提升31.2%的学习效果、36.8%的上手信心，降低25.5%的培训负担感。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这些结果说明，结构化的人际支持仍然是入职培训体验中的关键资源。示例图见图1。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图 1. 不同入职培训形式的效果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79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bined_rain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79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 xml:space="preserve">注：点表示个体观测值；箱线图显示中位数和四分位距；半小提琴图显示各组分布。括号表示显著事后比较：*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.05; 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.01; ***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.001。</w:t>
      </w:r>
    </w:p>
    <w:p>
      <w:pPr>
        <w:spacing w:after="0"/>
      </w:pPr>
    </w:p>
    <w:p>
      <w:pPr>
        <w:keepNext/>
        <w:spacing w:before="120" w:after="80"/>
      </w:pPr>
      <w:r>
        <w:rPr>
          <w:rFonts w:ascii="Times New Roman" w:hAnsi="Times New Roman" w:eastAsia="SimSun"/>
          <w:b/>
          <w:i w:val="0"/>
          <w:sz w:val="24"/>
        </w:rPr>
        <w:t>1.3 行动建议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后续可以优先保留导师带教中的高价值环节，并评估其规模化成本。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如果需要降低培训资源投入，可以把导师带教拆解为标准化材料、录播课程和关键节点辅导的组合方案。</w:t>
      </w:r>
    </w:p>
    <w:p>
      <w:pPr>
        <w:spacing w:after="0"/>
      </w:pPr>
    </w:p>
    <w:p>
      <w:pPr>
        <w:keepNext/>
        <w:spacing w:before="200" w:after="80"/>
      </w:pPr>
      <w:r>
        <w:rPr>
          <w:rFonts w:ascii="Times New Roman" w:hAnsi="Times New Roman" w:eastAsia="SimSun"/>
          <w:b/>
          <w:i w:val="0"/>
          <w:color w:val="1F4D78"/>
          <w:sz w:val="28"/>
        </w:rPr>
        <w:t>2. 详细统计报告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在正式分析前，workflow 对数据结构、缺失值、组别样本量、异常值、正态性指标和方差齐性进行了检查。检查结果显示，当前数据基本满足普通单因素方差分析的使用条件。于是，经人工确认后，workflow 对3个结果指标均采用普通单因素方差分析，并使用 Tukey HSD 进行事后比较。各组均值、标准差和显著性字母标记见表 1。</w:t>
      </w:r>
    </w:p>
    <w:p>
      <w:pPr>
        <w:spacing w:after="0"/>
      </w:pPr>
    </w:p>
    <w:p>
      <w:pPr>
        <w:spacing w:before="0" w:after="0"/>
        <w:jc w:val="center"/>
      </w:pPr>
      <w:r>
        <w:rPr>
          <w:rFonts w:ascii="Times New Roman" w:hAnsi="Times New Roman" w:eastAsia="SimSun"/>
          <w:b/>
          <w:i w:val="0"/>
          <w:sz w:val="20"/>
        </w:rPr>
        <w:t>表 1. 不同入职培训形式下各结果指标的描述性统计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结果指标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阅读材料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录播课程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直播工作坊</w:t>
            </w:r>
          </w:p>
        </w:tc>
        <w:tc>
          <w:tcPr>
            <w:tcW w:type="dxa" w:w="1872"/>
            <w:vAlign w:val="center"/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/>
                <w:i w:val="0"/>
                <w:sz w:val="21"/>
              </w:rPr>
              <w:t>导师带教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学习效果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3.76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4.17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4.68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(0.70)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4.93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(0.62)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上手信心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3.75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(0.66)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4.03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(0.65)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4.47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(0.69)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5.13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(0.70)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培训负担感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5.15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b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4.74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4.44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a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(0.64)</w:t>
            </w:r>
          </w:p>
        </w:tc>
        <w:tc>
          <w:tcPr>
            <w:tcW w:type="dxa" w:w="1872"/>
            <w:vAlign w:val="center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3.84</w:t>
            </w:r>
            <w:r>
              <w:rPr>
                <w:rFonts w:ascii="Times New Roman" w:hAnsi="Times New Roman" w:eastAsia="SimSun"/>
                <w:b w:val="0"/>
                <w:i w:val="0"/>
                <w:sz w:val="17"/>
                <w:vertAlign w:val="subscript"/>
              </w:rPr>
              <w:t>c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 xml:space="preserve"> (0.70)</w:t>
            </w:r>
          </w:p>
        </w:tc>
      </w:tr>
    </w:tbl>
    <w:p>
      <w:pPr>
        <w:spacing w:after="120"/>
      </w:pPr>
      <w:r>
        <w:rPr>
          <w:rFonts w:ascii="Times New Roman" w:hAnsi="Times New Roman" w:eastAsia="SimSun"/>
          <w:b w:val="0"/>
          <w:i w:val="0"/>
          <w:sz w:val="22"/>
        </w:rPr>
        <w:t>注：数值为均值，括号内为标准差。所有指标均为 1-7 分量表。每一行内，不共享相同字母下标的组别在 Tukey HSD 事后比较中差异显著，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</w:t>
      </w:r>
    </w:p>
    <w:p>
      <w:pPr>
        <w:spacing w:after="0"/>
      </w:pP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单因素方差分析显示，入职培训形式对学习效果的影响显著，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32.15,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.33。事后比较结果显示，不同组别在学习效果上存在明显差异，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.05。具体而言，导师带教新员工的学习效果最高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4.93,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0.62)，直播工作坊次之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4.68,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0.70)，录播课程再次之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4.17,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0.66)，均高于阅读材料新员工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3.76,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0.64)。相较阅读材料，导师带教使学习效果提高约 31.2%。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同样地，单因素方差分析显示，入职培训形式对上手信心的影响显著，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39.64,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.38。事后比较结果显示，不同组别在上手信心上存在明显差异，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.05。具体而言，导师带教新员工的上手信心最高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5.13,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0.70)，直播工作坊次之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4.47,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0.69)，录播课程再次之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4.03,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0.65)，均高于阅读材料新员工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3.75,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0.66)。相较阅读材料，导师带教使上手信心提高约 36.8%。</w:t>
      </w:r>
    </w:p>
    <w:p>
      <w:pPr>
        <w:spacing w:after="120"/>
        <w:ind w:firstLine="440"/>
      </w:pPr>
      <w:r>
        <w:rPr>
          <w:rFonts w:ascii="Times New Roman" w:hAnsi="Times New Roman" w:eastAsia="SimSun"/>
          <w:b w:val="0"/>
          <w:i w:val="0"/>
          <w:sz w:val="22"/>
        </w:rPr>
        <w:t>在培训负担感方面，单因素方差分析显示，入职培训形式对培训负担感的影响显著，</w:t>
      </w:r>
      <w:r>
        <w:rPr>
          <w:rFonts w:ascii="Times New Roman" w:hAnsi="Times New Roman" w:eastAsia="SimSun"/>
          <w:b w:val="0"/>
          <w:i/>
          <w:sz w:val="22"/>
        </w:rPr>
        <w:t>F</w:t>
      </w:r>
      <w:r>
        <w:rPr>
          <w:rFonts w:ascii="Times New Roman" w:hAnsi="Times New Roman" w:eastAsia="SimSun"/>
          <w:b w:val="0"/>
          <w:i w:val="0"/>
          <w:sz w:val="22"/>
        </w:rPr>
        <w:t xml:space="preserve">(3, 196) = 32.63, </w:t>
      </w:r>
      <w:r>
        <w:rPr>
          <w:rFonts w:ascii="Times New Roman" w:hAnsi="Times New Roman" w:eastAsia="SimSun"/>
          <w:b w:val="0"/>
          <w:i/>
          <w:sz w:val="22"/>
        </w:rPr>
        <w:t>p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.001，</w:t>
      </w:r>
      <w:r>
        <w:rPr>
          <w:rFonts w:ascii="Times New Roman" w:hAnsi="Times New Roman" w:eastAsia="SimSun"/>
          <w:b w:val="0"/>
          <w:i/>
          <w:sz w:val="22"/>
        </w:rPr>
        <w:t>η²</w:t>
      </w:r>
      <w:r>
        <w:rPr>
          <w:rFonts w:ascii="Times New Roman" w:hAnsi="Times New Roman" w:eastAsia="SimSun"/>
          <w:b w:val="0"/>
          <w:i w:val="0"/>
          <w:sz w:val="22"/>
        </w:rPr>
        <w:t xml:space="preserve"> = .33。事后比较结果显示，不同组别在培训负担感上存在明显差异，</w:t>
      </w:r>
      <w:r>
        <w:rPr>
          <w:rFonts w:ascii="Times New Roman" w:hAnsi="Times New Roman" w:eastAsia="SimSun"/>
          <w:b w:val="0"/>
          <w:i/>
          <w:sz w:val="22"/>
        </w:rPr>
        <w:t>ps</w:t>
      </w:r>
      <w:r>
        <w:rPr>
          <w:rFonts w:ascii="Times New Roman" w:hAnsi="Times New Roman" w:eastAsia="SimSun"/>
          <w:b w:val="0"/>
          <w:i w:val="0"/>
          <w:sz w:val="22"/>
        </w:rPr>
        <w:t xml:space="preserve"> &lt; .05。具体而言，导师带教新员工的培训负担感最低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3.84,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0.70)，直播工作坊次之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4.44,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0.64)，录播课程再次之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4.74,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0.64)，均低于阅读材料新员工 (</w:t>
      </w:r>
      <w:r>
        <w:rPr>
          <w:rFonts w:ascii="Times New Roman" w:hAnsi="Times New Roman" w:eastAsia="SimSun"/>
          <w:b w:val="0"/>
          <w:i/>
          <w:sz w:val="22"/>
        </w:rPr>
        <w:t>M</w:t>
      </w:r>
      <w:r>
        <w:rPr>
          <w:rFonts w:ascii="Times New Roman" w:hAnsi="Times New Roman" w:eastAsia="SimSun"/>
          <w:b w:val="0"/>
          <w:i w:val="0"/>
          <w:sz w:val="22"/>
        </w:rPr>
        <w:t xml:space="preserve"> = 5.15, </w:t>
      </w:r>
      <w:r>
        <w:rPr>
          <w:rFonts w:ascii="Times New Roman" w:hAnsi="Times New Roman" w:eastAsia="SimSun"/>
          <w:b w:val="0"/>
          <w:i/>
          <w:sz w:val="22"/>
        </w:rPr>
        <w:t>SD</w:t>
      </w:r>
      <w:r>
        <w:rPr>
          <w:rFonts w:ascii="Times New Roman" w:hAnsi="Times New Roman" w:eastAsia="SimSun"/>
          <w:b w:val="0"/>
          <w:i w:val="0"/>
          <w:sz w:val="22"/>
        </w:rPr>
        <w:t xml:space="preserve"> = 0.74)。相较阅读材料，导师带教使培训负担感下降约 25.5%。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