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SimSun"/>
          <w:b/>
          <w:i w:val="0"/>
          <w:sz w:val="32"/>
        </w:rPr>
        <w:t>客服辅助工具试点效果评估报告</w:t>
      </w:r>
    </w:p>
    <w:p>
      <w:pPr>
        <w:keepNext/>
        <w:spacing w:before="200" w:after="80"/>
      </w:pPr>
      <w:r>
        <w:rPr>
          <w:rFonts w:ascii="Times New Roman" w:hAnsi="Times New Roman" w:eastAsia="SimSun"/>
          <w:b/>
          <w:i w:val="0"/>
          <w:color w:val="1F4D78"/>
          <w:sz w:val="28"/>
        </w:rPr>
        <w:t>1. 核心内容</w:t>
      </w:r>
    </w:p>
    <w:p>
      <w:pPr>
        <w:keepNext/>
        <w:spacing w:before="120" w:after="80"/>
      </w:pPr>
      <w:r>
        <w:rPr>
          <w:rFonts w:ascii="Times New Roman" w:hAnsi="Times New Roman" w:eastAsia="SimSun"/>
          <w:b/>
          <w:i w:val="0"/>
          <w:sz w:val="24"/>
        </w:rPr>
        <w:t>1.1 报告目标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本次评估比较了无辅助工具、知识库辅助、对话助手辅助、智能体助手辅助在处理效率、服务信心和认知负荷上的差异，以支持客服团队使用不同辅助工具时，处理效率、服务信心和认知负荷是否不同。该情景用于检验 workflow 是否能在方差齐性不满足时切换统计路径。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本次分析希望回答两个问题：</w:t>
      </w:r>
    </w:p>
    <w:p>
      <w:pPr>
        <w:spacing w:after="80"/>
        <w:ind w:left="440" w:hanging="440"/>
      </w:pPr>
      <w:r>
        <w:rPr>
          <w:rFonts w:ascii="Times New Roman" w:hAnsi="Times New Roman" w:eastAsia="SimSun"/>
          <w:b w:val="0"/>
          <w:i w:val="0"/>
          <w:sz w:val="22"/>
        </w:rPr>
        <w:t>1. 不同客服辅助工具是否影响处理效率、服务信心和认知负荷？</w:t>
      </w:r>
    </w:p>
    <w:p>
      <w:pPr>
        <w:spacing w:after="80"/>
        <w:ind w:left="440" w:hanging="440"/>
      </w:pPr>
      <w:r>
        <w:rPr>
          <w:rFonts w:ascii="Times New Roman" w:hAnsi="Times New Roman" w:eastAsia="SimSun"/>
          <w:b w:val="0"/>
          <w:i w:val="0"/>
          <w:sz w:val="22"/>
        </w:rPr>
        <w:t>2. 当组间方差不齐时，workflow 是否会切换到更合适的 Welch ANOVA 路径？</w:t>
      </w:r>
    </w:p>
    <w:p>
      <w:pPr>
        <w:keepNext/>
        <w:spacing w:before="120" w:after="80"/>
      </w:pPr>
      <w:r>
        <w:rPr>
          <w:rFonts w:ascii="Times New Roman" w:hAnsi="Times New Roman" w:eastAsia="SimSun"/>
          <w:b/>
          <w:i w:val="0"/>
          <w:sz w:val="24"/>
        </w:rPr>
        <w:t>1.2 核心结果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第一，客服辅助工具与多个服务表现指标相关。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第二，由于组间方差不齐，本轮分析采用 Welch ANOVA 和 Games-Howell 事后比较，而不是普通单因素方差分析。其中，智能体助手辅助相较无辅助工具可以提升37.8%的处理效率、33.5%的服务信心，降低28.9%的认知负荷。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这些结果展示了 workflow 在方法选择上的 guardrail 价值。示例图见图1。</w:t>
      </w:r>
    </w:p>
    <w:p>
      <w:pPr>
        <w:spacing w:after="0"/>
      </w:pPr>
    </w:p>
    <w:p>
      <w:pPr>
        <w:spacing w:before="0" w:after="0"/>
        <w:jc w:val="center"/>
      </w:pPr>
      <w:r>
        <w:rPr>
          <w:rFonts w:ascii="Times New Roman" w:hAnsi="Times New Roman" w:eastAsia="SimSun"/>
          <w:b/>
          <w:i w:val="0"/>
          <w:sz w:val="20"/>
        </w:rPr>
        <w:t>图 1. 不同客服辅助工具的效果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980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combined_rainclou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980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hAnsi="Times New Roman" w:eastAsia="SimSun"/>
          <w:b w:val="0"/>
          <w:i w:val="0"/>
          <w:sz w:val="22"/>
        </w:rPr>
        <w:t xml:space="preserve">注：点表示个体观测值；箱线图显示中位数和四分位距；半小提琴图显示各组分布。括号表示显著事后比较：* </w:t>
      </w:r>
      <w:r>
        <w:rPr>
          <w:rFonts w:ascii="Times New Roman" w:hAnsi="Times New Roman" w:eastAsia="SimSun"/>
          <w:b w:val="0"/>
          <w:i/>
          <w:sz w:val="22"/>
        </w:rPr>
        <w:t>p</w:t>
      </w:r>
      <w:r>
        <w:rPr>
          <w:rFonts w:ascii="Times New Roman" w:hAnsi="Times New Roman" w:eastAsia="SimSun"/>
          <w:b w:val="0"/>
          <w:i w:val="0"/>
          <w:sz w:val="22"/>
        </w:rPr>
        <w:t xml:space="preserve"> &lt; .05; ** </w:t>
      </w:r>
      <w:r>
        <w:rPr>
          <w:rFonts w:ascii="Times New Roman" w:hAnsi="Times New Roman" w:eastAsia="SimSun"/>
          <w:b w:val="0"/>
          <w:i/>
          <w:sz w:val="22"/>
        </w:rPr>
        <w:t>p</w:t>
      </w:r>
      <w:r>
        <w:rPr>
          <w:rFonts w:ascii="Times New Roman" w:hAnsi="Times New Roman" w:eastAsia="SimSun"/>
          <w:b w:val="0"/>
          <w:i w:val="0"/>
          <w:sz w:val="22"/>
        </w:rPr>
        <w:t xml:space="preserve"> &lt; .01; *** </w:t>
      </w:r>
      <w:r>
        <w:rPr>
          <w:rFonts w:ascii="Times New Roman" w:hAnsi="Times New Roman" w:eastAsia="SimSun"/>
          <w:b w:val="0"/>
          <w:i/>
          <w:sz w:val="22"/>
        </w:rPr>
        <w:t>p</w:t>
      </w:r>
      <w:r>
        <w:rPr>
          <w:rFonts w:ascii="Times New Roman" w:hAnsi="Times New Roman" w:eastAsia="SimSun"/>
          <w:b w:val="0"/>
          <w:i w:val="0"/>
          <w:sz w:val="22"/>
        </w:rPr>
        <w:t xml:space="preserve"> &lt; .001。</w:t>
      </w:r>
    </w:p>
    <w:p>
      <w:pPr>
        <w:spacing w:after="0"/>
      </w:pPr>
    </w:p>
    <w:p>
      <w:pPr>
        <w:keepNext/>
        <w:spacing w:before="120" w:after="80"/>
      </w:pPr>
      <w:r>
        <w:rPr>
          <w:rFonts w:ascii="Times New Roman" w:hAnsi="Times New Roman" w:eastAsia="SimSun"/>
          <w:b/>
          <w:i w:val="0"/>
          <w:sz w:val="24"/>
        </w:rPr>
        <w:t>1.3 行动建议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后续评估客服工具时，应同时关注均值改善和不同工具带来的结果波动。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如果某类工具效果波动较大，建议进一步拆分使用人群、问题类型和培训熟练度。</w:t>
      </w:r>
    </w:p>
    <w:p>
      <w:pPr>
        <w:spacing w:after="0"/>
      </w:pPr>
    </w:p>
    <w:p>
      <w:pPr>
        <w:keepNext/>
        <w:spacing w:before="200" w:after="80"/>
      </w:pPr>
      <w:r>
        <w:rPr>
          <w:rFonts w:ascii="Times New Roman" w:hAnsi="Times New Roman" w:eastAsia="SimSun"/>
          <w:b/>
          <w:i w:val="0"/>
          <w:color w:val="1F4D78"/>
          <w:sz w:val="28"/>
        </w:rPr>
        <w:t>2. 详细统计报告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在正式分析前，workflow 对数据结构、缺失值、组别样本量、异常值、正态性指标和方差齐性进行了检查。检查结果显示，当前数据基本满足Welch ANOVA的使用条件。于是，经人工确认后，workflow 对3个结果指标均采用Welch ANOVA，并使用 Games-Howell 进行事后比较。各组均值、标准差和显著性字母标记见表 1。</w:t>
      </w:r>
    </w:p>
    <w:p>
      <w:pPr>
        <w:spacing w:after="0"/>
      </w:pPr>
    </w:p>
    <w:p>
      <w:pPr>
        <w:spacing w:before="0" w:after="0"/>
        <w:jc w:val="center"/>
      </w:pPr>
      <w:r>
        <w:rPr>
          <w:rFonts w:ascii="Times New Roman" w:hAnsi="Times New Roman" w:eastAsia="SimSun"/>
          <w:b/>
          <w:i w:val="0"/>
          <w:sz w:val="20"/>
        </w:rPr>
        <w:t>表 1. 不同客服辅助工具下各结果指标的描述性统计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SimSun"/>
                <w:b/>
                <w:i w:val="0"/>
                <w:sz w:val="21"/>
              </w:rPr>
              <w:t>结果指标</w:t>
            </w:r>
          </w:p>
        </w:tc>
        <w:tc>
          <w:tcPr>
            <w:tcW w:type="dxa" w:w="1872"/>
            <w:vAlign w:val="center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i w:val="0"/>
                <w:sz w:val="21"/>
              </w:rPr>
              <w:t>无辅助工具</w:t>
            </w:r>
          </w:p>
        </w:tc>
        <w:tc>
          <w:tcPr>
            <w:tcW w:type="dxa" w:w="1872"/>
            <w:vAlign w:val="center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i w:val="0"/>
                <w:sz w:val="21"/>
              </w:rPr>
              <w:t>知识库辅助</w:t>
            </w:r>
          </w:p>
        </w:tc>
        <w:tc>
          <w:tcPr>
            <w:tcW w:type="dxa" w:w="1872"/>
            <w:vAlign w:val="center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i w:val="0"/>
                <w:sz w:val="21"/>
              </w:rPr>
              <w:t>对话助手辅助</w:t>
            </w:r>
          </w:p>
        </w:tc>
        <w:tc>
          <w:tcPr>
            <w:tcW w:type="dxa" w:w="1872"/>
            <w:vAlign w:val="center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i w:val="0"/>
                <w:sz w:val="21"/>
              </w:rPr>
              <w:t>智能体助手辅助</w:t>
            </w:r>
          </w:p>
        </w:tc>
      </w:tr>
      <w:tr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处理效率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3.92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b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(0.37)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4.32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c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(0.46)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4.92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a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(0.76)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5.39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a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(1.09)</w:t>
            </w:r>
          </w:p>
        </w:tc>
      </w:tr>
      <w:tr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服务信心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3.86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a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(0.31)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4.30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b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(0.44)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4.66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c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(0.83)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5.16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d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(0.91)</w:t>
            </w:r>
          </w:p>
        </w:tc>
      </w:tr>
      <w:tr>
        <w:tc>
          <w:tcPr>
            <w:tcW w:type="dxa" w:w="1872"/>
            <w:vAlign w:val="center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认知负荷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5.31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a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(0.32)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4.81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b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(0.53)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4.35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c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(0.81)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3.77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d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(1.17)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i w:val="0"/>
          <w:sz w:val="22"/>
        </w:rPr>
        <w:t>注：数值为均值，括号内为标准差。所有指标均为 1-7 分量表。每一行内，不共享相同字母下标的组别在 Games-Howell 事后比较中差异显著，</w:t>
      </w:r>
      <w:r>
        <w:rPr>
          <w:rFonts w:ascii="Times New Roman" w:hAnsi="Times New Roman" w:eastAsia="SimSun"/>
          <w:b w:val="0"/>
          <w:i/>
          <w:sz w:val="22"/>
        </w:rPr>
        <w:t>p</w:t>
      </w:r>
      <w:r>
        <w:rPr>
          <w:rFonts w:ascii="Times New Roman" w:hAnsi="Times New Roman" w:eastAsia="SimSun"/>
          <w:b w:val="0"/>
          <w:i w:val="0"/>
          <w:sz w:val="22"/>
        </w:rPr>
        <w:t xml:space="preserve"> &lt; .05。</w:t>
      </w:r>
    </w:p>
    <w:p>
      <w:pPr>
        <w:spacing w:after="0"/>
      </w:pP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单因素方差分析显示，客服辅助工具对处理效率的影响显著，</w:t>
      </w:r>
      <w:r>
        <w:rPr>
          <w:rFonts w:ascii="Times New Roman" w:hAnsi="Times New Roman" w:eastAsia="SimSun"/>
          <w:b w:val="0"/>
          <w:i/>
          <w:sz w:val="22"/>
        </w:rPr>
        <w:t>F</w:t>
      </w:r>
      <w:r>
        <w:rPr>
          <w:rFonts w:ascii="Times New Roman" w:hAnsi="Times New Roman" w:eastAsia="SimSun"/>
          <w:b w:val="0"/>
          <w:i w:val="0"/>
          <w:sz w:val="22"/>
        </w:rPr>
        <w:t xml:space="preserve">(3, 103) = 44.52, </w:t>
      </w:r>
      <w:r>
        <w:rPr>
          <w:rFonts w:ascii="Times New Roman" w:hAnsi="Times New Roman" w:eastAsia="SimSun"/>
          <w:b w:val="0"/>
          <w:i/>
          <w:sz w:val="22"/>
        </w:rPr>
        <w:t>p</w:t>
      </w:r>
      <w:r>
        <w:rPr>
          <w:rFonts w:ascii="Times New Roman" w:hAnsi="Times New Roman" w:eastAsia="SimSun"/>
          <w:b w:val="0"/>
          <w:i w:val="0"/>
          <w:sz w:val="22"/>
        </w:rPr>
        <w:t xml:space="preserve"> &lt; .001，</w:t>
      </w:r>
      <w:r>
        <w:rPr>
          <w:rFonts w:ascii="Times New Roman" w:hAnsi="Times New Roman" w:eastAsia="SimSun"/>
          <w:b w:val="0"/>
          <w:i/>
          <w:sz w:val="22"/>
        </w:rPr>
        <w:t>η²</w:t>
      </w:r>
      <w:r>
        <w:rPr>
          <w:rFonts w:ascii="Times New Roman" w:hAnsi="Times New Roman" w:eastAsia="SimSun"/>
          <w:b w:val="0"/>
          <w:i w:val="0"/>
          <w:sz w:val="22"/>
        </w:rPr>
        <w:t xml:space="preserve"> = .38。事后比较结果显示，不同组别在处理效率上存在明显差异，</w:t>
      </w:r>
      <w:r>
        <w:rPr>
          <w:rFonts w:ascii="Times New Roman" w:hAnsi="Times New Roman" w:eastAsia="SimSun"/>
          <w:b w:val="0"/>
          <w:i/>
          <w:sz w:val="22"/>
        </w:rPr>
        <w:t>ps</w:t>
      </w:r>
      <w:r>
        <w:rPr>
          <w:rFonts w:ascii="Times New Roman" w:hAnsi="Times New Roman" w:eastAsia="SimSun"/>
          <w:b w:val="0"/>
          <w:i w:val="0"/>
          <w:sz w:val="22"/>
        </w:rPr>
        <w:t xml:space="preserve"> &lt; .05。具体而言，智能体助手辅助客服人员的处理效率最高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5.39,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1.09)，对话助手辅助次之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4.92,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0.76)，知识库辅助再次之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4.32,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0.46)，均高于无辅助工具客服人员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3.92,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0.37)。相较无辅助工具，智能体助手辅助使处理效率提高约 37.8%。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同样地，单因素方差分析显示，客服辅助工具对服务信心的影响显著，</w:t>
      </w:r>
      <w:r>
        <w:rPr>
          <w:rFonts w:ascii="Times New Roman" w:hAnsi="Times New Roman" w:eastAsia="SimSun"/>
          <w:b w:val="0"/>
          <w:i/>
          <w:sz w:val="22"/>
        </w:rPr>
        <w:t>F</w:t>
      </w:r>
      <w:r>
        <w:rPr>
          <w:rFonts w:ascii="Times New Roman" w:hAnsi="Times New Roman" w:eastAsia="SimSun"/>
          <w:b w:val="0"/>
          <w:i w:val="0"/>
          <w:sz w:val="22"/>
        </w:rPr>
        <w:t xml:space="preserve">(3, 101) = 42.54, </w:t>
      </w:r>
      <w:r>
        <w:rPr>
          <w:rFonts w:ascii="Times New Roman" w:hAnsi="Times New Roman" w:eastAsia="SimSun"/>
          <w:b w:val="0"/>
          <w:i/>
          <w:sz w:val="22"/>
        </w:rPr>
        <w:t>p</w:t>
      </w:r>
      <w:r>
        <w:rPr>
          <w:rFonts w:ascii="Times New Roman" w:hAnsi="Times New Roman" w:eastAsia="SimSun"/>
          <w:b w:val="0"/>
          <w:i w:val="0"/>
          <w:sz w:val="22"/>
        </w:rPr>
        <w:t xml:space="preserve"> &lt; .001，</w:t>
      </w:r>
      <w:r>
        <w:rPr>
          <w:rFonts w:ascii="Times New Roman" w:hAnsi="Times New Roman" w:eastAsia="SimSun"/>
          <w:b w:val="0"/>
          <w:i/>
          <w:sz w:val="22"/>
        </w:rPr>
        <w:t>η²</w:t>
      </w:r>
      <w:r>
        <w:rPr>
          <w:rFonts w:ascii="Times New Roman" w:hAnsi="Times New Roman" w:eastAsia="SimSun"/>
          <w:b w:val="0"/>
          <w:i w:val="0"/>
          <w:sz w:val="22"/>
        </w:rPr>
        <w:t xml:space="preserve"> = .34。事后比较结果显示，不同组别在服务信心上存在明显差异，</w:t>
      </w:r>
      <w:r>
        <w:rPr>
          <w:rFonts w:ascii="Times New Roman" w:hAnsi="Times New Roman" w:eastAsia="SimSun"/>
          <w:b w:val="0"/>
          <w:i/>
          <w:sz w:val="22"/>
        </w:rPr>
        <w:t>ps</w:t>
      </w:r>
      <w:r>
        <w:rPr>
          <w:rFonts w:ascii="Times New Roman" w:hAnsi="Times New Roman" w:eastAsia="SimSun"/>
          <w:b w:val="0"/>
          <w:i w:val="0"/>
          <w:sz w:val="22"/>
        </w:rPr>
        <w:t xml:space="preserve"> &lt; .05。具体而言，智能体助手辅助客服人员的服务信心最高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5.16,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0.91)，对话助手辅助次之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4.66,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0.83)，知识库辅助再次之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4.30,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0.44)，均高于无辅助工具客服人员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3.86,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0.31)。相较无辅助工具，智能体助手辅助使服务信心提高约 33.5%。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在认知负荷方面，单因素方差分析显示，客服辅助工具对认知负荷的影响显著，</w:t>
      </w:r>
      <w:r>
        <w:rPr>
          <w:rFonts w:ascii="Times New Roman" w:hAnsi="Times New Roman" w:eastAsia="SimSun"/>
          <w:b w:val="0"/>
          <w:i/>
          <w:sz w:val="22"/>
        </w:rPr>
        <w:t>F</w:t>
      </w:r>
      <w:r>
        <w:rPr>
          <w:rFonts w:ascii="Times New Roman" w:hAnsi="Times New Roman" w:eastAsia="SimSun"/>
          <w:b w:val="0"/>
          <w:i w:val="0"/>
          <w:sz w:val="22"/>
        </w:rPr>
        <w:t xml:space="preserve">(3, 100) = 45.96, </w:t>
      </w:r>
      <w:r>
        <w:rPr>
          <w:rFonts w:ascii="Times New Roman" w:hAnsi="Times New Roman" w:eastAsia="SimSun"/>
          <w:b w:val="0"/>
          <w:i/>
          <w:sz w:val="22"/>
        </w:rPr>
        <w:t>p</w:t>
      </w:r>
      <w:r>
        <w:rPr>
          <w:rFonts w:ascii="Times New Roman" w:hAnsi="Times New Roman" w:eastAsia="SimSun"/>
          <w:b w:val="0"/>
          <w:i w:val="0"/>
          <w:sz w:val="22"/>
        </w:rPr>
        <w:t xml:space="preserve"> &lt; .001，</w:t>
      </w:r>
      <w:r>
        <w:rPr>
          <w:rFonts w:ascii="Times New Roman" w:hAnsi="Times New Roman" w:eastAsia="SimSun"/>
          <w:b w:val="0"/>
          <w:i/>
          <w:sz w:val="22"/>
        </w:rPr>
        <w:t>η²</w:t>
      </w:r>
      <w:r>
        <w:rPr>
          <w:rFonts w:ascii="Times New Roman" w:hAnsi="Times New Roman" w:eastAsia="SimSun"/>
          <w:b w:val="0"/>
          <w:i w:val="0"/>
          <w:sz w:val="22"/>
        </w:rPr>
        <w:t xml:space="preserve"> = .35。事后比较结果显示，不同组别在认知负荷上存在明显差异，</w:t>
      </w:r>
      <w:r>
        <w:rPr>
          <w:rFonts w:ascii="Times New Roman" w:hAnsi="Times New Roman" w:eastAsia="SimSun"/>
          <w:b w:val="0"/>
          <w:i/>
          <w:sz w:val="22"/>
        </w:rPr>
        <w:t>ps</w:t>
      </w:r>
      <w:r>
        <w:rPr>
          <w:rFonts w:ascii="Times New Roman" w:hAnsi="Times New Roman" w:eastAsia="SimSun"/>
          <w:b w:val="0"/>
          <w:i w:val="0"/>
          <w:sz w:val="22"/>
        </w:rPr>
        <w:t xml:space="preserve"> &lt; .05。具体而言，智能体助手辅助客服人员的认知负荷最低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3.77,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1.17)，对话助手辅助次之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4.35,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0.81)，知识库辅助再次之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4.81,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0.53)，均低于无辅助工具客服人员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5.31,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0.32)。相较无辅助工具，智能体助手辅助使认知负荷下降约 28.9%。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