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D5B0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Presubmission</w:t>
      </w:r>
      <w:proofErr w:type="spellEnd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enquiry - </w:t>
      </w:r>
      <w:r w:rsidRPr="00A567C9">
        <w:rPr>
          <w:rFonts w:ascii="Arial" w:eastAsia="Times New Roman" w:hAnsi="Arial" w:cs="Arial"/>
          <w:b/>
          <w:bCs/>
          <w:i/>
          <w:iCs/>
          <w:kern w:val="0"/>
          <w:lang w:val="en-US" w:eastAsia="de-DE"/>
          <w14:ligatures w14:val="none"/>
        </w:rPr>
        <w:t xml:space="preserve">Trends in Cognitive Sciences </w:t>
      </w:r>
    </w:p>
    <w:p w14:paraId="25E8C916" w14:textId="0C54BC3E" w:rsidR="00A567C9" w:rsidRPr="008722BF" w:rsidRDefault="00A567C9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proofErr w:type="spellStart"/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Authors</w:t>
      </w:r>
      <w:proofErr w:type="spellEnd"/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: </w:t>
      </w:r>
      <w:r w:rsidR="001A6798"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Christine Nussbaum</w:t>
      </w:r>
      <w:r w:rsidR="008722BF" w:rsidRPr="008722BF">
        <w:rPr>
          <w:rFonts w:ascii="ArialMT" w:eastAsia="Times New Roman" w:hAnsi="ArialMT" w:cs="Times New Roman"/>
          <w:kern w:val="0"/>
          <w:vertAlign w:val="superscript"/>
          <w:lang w:val="de-DE" w:eastAsia="de-DE"/>
          <w14:ligatures w14:val="none"/>
        </w:rPr>
        <w:t>1,2</w:t>
      </w:r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Sascha Frühholz</w:t>
      </w:r>
      <w:r w:rsidR="008722BF" w:rsidRPr="008722BF">
        <w:rPr>
          <w:rFonts w:ascii="ArialMT" w:eastAsia="Times New Roman" w:hAnsi="ArialMT" w:cs="Times New Roman"/>
          <w:kern w:val="0"/>
          <w:vertAlign w:val="superscript"/>
          <w:lang w:val="de-DE" w:eastAsia="de-DE"/>
          <w14:ligatures w14:val="none"/>
        </w:rPr>
        <w:t xml:space="preserve">3,4 </w:t>
      </w:r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and Stefan R. Schweinberger</w:t>
      </w:r>
      <w:r w:rsidR="008722BF" w:rsidRPr="008722BF">
        <w:rPr>
          <w:rFonts w:ascii="ArialMT" w:eastAsia="Times New Roman" w:hAnsi="ArialMT" w:cs="Times New Roman"/>
          <w:kern w:val="0"/>
          <w:vertAlign w:val="superscript"/>
          <w:lang w:val="de-DE" w:eastAsia="de-DE"/>
          <w14:ligatures w14:val="none"/>
        </w:rPr>
        <w:t>1,2,5</w:t>
      </w:r>
      <w:r w:rsidRPr="008722B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 </w:t>
      </w:r>
    </w:p>
    <w:p w14:paraId="50932414" w14:textId="3574D2A8" w:rsidR="008722BF" w:rsidRP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1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Department for General Psychology and Cognitive Neuroscience, Friedrich Schiller University Jena, Germany</w:t>
      </w:r>
    </w:p>
    <w:p w14:paraId="37DBEDEE" w14:textId="594B9E82" w:rsid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2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Voice Research Unit, Friedrich Schiller University, Jena, Germany</w:t>
      </w:r>
    </w:p>
    <w:p w14:paraId="5C19B28D" w14:textId="4A3DE044" w:rsid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3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Department of Psychology, University of Oslo, Oslo, Norway</w:t>
      </w:r>
    </w:p>
    <w:p w14:paraId="45A5C328" w14:textId="7A3CDE58" w:rsid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4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Cognitive and Affective Neuroscience Unit, Department of Psychology, University of Zurich, Zurich, Switzerland.</w:t>
      </w:r>
    </w:p>
    <w:p w14:paraId="6BB2AB2F" w14:textId="5FDD0182" w:rsidR="008722BF" w:rsidRDefault="008722BF" w:rsidP="008722BF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8722BF">
        <w:rPr>
          <w:rFonts w:ascii="ArialMT" w:eastAsia="Times New Roman" w:hAnsi="ArialMT" w:cs="Times New Roman"/>
          <w:kern w:val="0"/>
          <w:vertAlign w:val="superscript"/>
          <w:lang w:val="en-US" w:eastAsia="de-DE"/>
          <w14:ligatures w14:val="none"/>
        </w:rPr>
        <w:t>5</w:t>
      </w:r>
      <w:r w:rsidRPr="008722B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Swiss Center for Affective Sciences, University of Geneva, Switzerland</w:t>
      </w:r>
    </w:p>
    <w:p w14:paraId="73B76382" w14:textId="77777777" w:rsidR="008722BF" w:rsidRPr="00A567C9" w:rsidRDefault="008722BF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1728C0B1" w14:textId="36BAD618" w:rsidR="00A567C9" w:rsidRPr="00A567C9" w:rsidRDefault="00E605BC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Understanding</w:t>
      </w:r>
      <w:r w:rsidR="0049177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Voice Naturalness</w:t>
      </w:r>
    </w:p>
    <w:p w14:paraId="6E63522D" w14:textId="241A7226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When humans hear voices, they form </w:t>
      </w:r>
      <w:r w:rsidR="00E170B4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intuitive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impressions about the speaker/agent within just a few hundred milliseconds [1]. P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erceived naturalness of a voice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[2]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is a prominent property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within these 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mpressions when we hear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vocal sounds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and one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which affects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social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interaction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s, both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 a purely human context and in scenarios with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human and artificial agents. </w:t>
      </w:r>
    </w:p>
    <w:p w14:paraId="73546F72" w14:textId="586DCC8B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Despite its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intuitive appeal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 a systematic understanding of voice naturalness is elusive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Here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we argue that this is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due to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four factors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(a) conceptual </w:t>
      </w:r>
      <w:proofErr w:type="spellStart"/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underspecification</w:t>
      </w:r>
      <w:proofErr w:type="spellEnd"/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(b) inconsistent operationalization, (c)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lacking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exchange between research on human and synthetic voices and (d) insufficient anchoring in voice perception theory.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We show (using quantitative bibliometric analysis</w:t>
      </w:r>
      <w:r w:rsidRPr="008722BF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) that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voice naturalness research is situated within different research domains that focus either on voice naturalness in health-related voice changes [3,4], or in synthesized, computer-generated voices [5-8]. Importantly, 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our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analysis reveals that these domains resemble echo chambers within science, in that both neither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cross-refer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to one another nor to current voice perception theory</w:t>
      </w:r>
      <w:r w:rsidR="004F7CBC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(</w:t>
      </w:r>
      <w:r w:rsidR="004F7CBC" w:rsidRPr="008722BF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Figure 1</w:t>
      </w:r>
      <w:r w:rsidR="004F7CBC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)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Accordingly,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they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use heterogeneous measure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ments of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voice naturalness, with poor consideration of psychological theory. </w:t>
      </w:r>
    </w:p>
    <w:p w14:paraId="09446639" w14:textId="3409BFFC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In this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article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we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integrate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current insights into voice naturalness by pooling evidence from a wider interdisciplinary literature.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then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develop a concise definition of naturalness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and propose a conceptual framework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which is r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ooted both in </w:t>
      </w:r>
      <w:r w:rsidR="002B0B39"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theoretical models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 w:rsidR="002B0B39"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and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current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empirical findings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across fields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 short, we propose a taxonomy of naturalness with two distinct types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-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human-likeness-based naturalness and deviation-based naturalness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and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clarify the demarcation of naturalness from established concepts of distinctiveness and authenticity.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Subsequently, we identify core gaps in our current understanding of voice naturalness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and discuss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 tentative roadmap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for future research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that includes practical recommendations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.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</w:p>
    <w:p w14:paraId="20124B49" w14:textId="287B9C0B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Our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article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has implications for a range of fields. To give examples, voice naturalness can be a priority in evaluating speech pathology in children [3] or desired gender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lastRenderedPageBreak/>
        <w:t xml:space="preserve">attribution in adult transgender speakers [4], but naturalness of synthesized voices is also a powerful factor to promote positive </w:t>
      </w:r>
      <w:r w:rsidR="00AA791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(or uncanny) feelings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[5] and user experience in audio-books [6]. Moreover, human-like voices may attract attention to service robots [7] and influence consumer decisions [8].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mphasizing the importance of integrating clinical and technical approaches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perceived voice naturalness also is a key objective for cochlear implant research, when a sensory prosthesis restitutes hearing in people with sensorineural deafness by resynthesizing auditory signals for direct electrical stimulation of the cochlea [e.g., 9]. </w:t>
      </w:r>
    </w:p>
    <w:p w14:paraId="78DEFA4B" w14:textId="17E51563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For reasons of space and stringency, our article will put a clear focus on developing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first conceptual framework for </w:t>
      </w:r>
      <w:r w:rsidRPr="00411DCB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voice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naturalness. Nevertheless, we will briefly consider multisensory interactions between voice and visual information in the context of perceived naturalness.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ecent research demonstrated conditions in which synthesized faces can be perceived as more human than genuine human faces, and has begun to identify the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visual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features that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can trigger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such a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paradoxical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facial “hyperrealism” effect [10]. </w:t>
      </w:r>
      <w:r w:rsidR="0087199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Although research regarding interactions between vocal and visual aspects of naturalness is in its infancy [7,8], we will briefly sketch future perspectives for identifying commonalities and differences between voice and face/body naturalness and their combinations. </w:t>
      </w:r>
      <w:r w:rsidR="00C23D03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Our paper will </w:t>
      </w:r>
      <w:r w:rsidR="0087199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also </w:t>
      </w:r>
      <w:r w:rsidR="00C23D03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consider the acoustic characteristics of voices that influence both subjective perceptions and voice processing in the brain [11,12]. </w:t>
      </w:r>
    </w:p>
    <w:p w14:paraId="1D351A17" w14:textId="3DA8A492" w:rsidR="00E33118" w:rsidRDefault="00C23D03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R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egarding the accelerating spread of misinformation via social media [13], next-generation deepfakes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likely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will be even more efficient vehicles of misinformation, by instrumentalizing person-related trust via high-level perceptual deception.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expect that our conceptualization of voice naturalness will promote better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understanding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of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characteristics of “successful” vocal deepfakes and their neuronal processing [14]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and we believe this work will be of great interest for a wide readership of </w:t>
      </w:r>
      <w:proofErr w:type="spellStart"/>
      <w:r w:rsidR="00C80D79" w:rsidRPr="008E2748">
        <w:rPr>
          <w:rFonts w:ascii="ArialMT" w:eastAsia="Times New Roman" w:hAnsi="ArialMT" w:cs="Times New Roman"/>
          <w:i/>
          <w:iCs/>
          <w:kern w:val="0"/>
          <w:lang w:val="en" w:eastAsia="de-DE"/>
          <w14:ligatures w14:val="none"/>
        </w:rPr>
        <w:t>TiCS</w:t>
      </w:r>
      <w:proofErr w:type="spellEnd"/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.</w:t>
      </w:r>
    </w:p>
    <w:p w14:paraId="4FC6C009" w14:textId="77777777" w:rsidR="008170AD" w:rsidRDefault="008170AD">
      <w:pPr>
        <w:rPr>
          <w:b/>
          <w:iCs/>
          <w:kern w:val="0"/>
          <w:sz w:val="22"/>
          <w:szCs w:val="22"/>
          <w:lang w:val="en-US"/>
          <w14:ligatures w14:val="none"/>
        </w:rPr>
      </w:pPr>
      <w:r>
        <w:rPr>
          <w:b/>
          <w:i/>
          <w:sz w:val="22"/>
          <w:szCs w:val="22"/>
          <w:lang w:val="en-US"/>
        </w:rPr>
        <w:br w:type="page"/>
      </w:r>
    </w:p>
    <w:p w14:paraId="6915B3CE" w14:textId="3ED6F390" w:rsidR="008170AD" w:rsidRPr="00871999" w:rsidRDefault="008170AD" w:rsidP="008170AD">
      <w:pPr>
        <w:pStyle w:val="Beschriftung"/>
        <w:rPr>
          <w:rFonts w:ascii="ArialMT" w:hAnsi="ArialMT"/>
          <w:b/>
          <w:i w:val="0"/>
          <w:color w:val="auto"/>
          <w:sz w:val="22"/>
          <w:szCs w:val="22"/>
          <w:lang w:val="en-US"/>
        </w:rPr>
      </w:pPr>
      <w:r w:rsidRPr="00871999">
        <w:rPr>
          <w:rFonts w:ascii="ArialMT" w:hAnsi="ArialMT"/>
          <w:b/>
          <w:i w:val="0"/>
          <w:color w:val="auto"/>
          <w:sz w:val="22"/>
          <w:szCs w:val="22"/>
          <w:lang w:val="en-US"/>
        </w:rPr>
        <w:lastRenderedPageBreak/>
        <w:t xml:space="preserve">Figure </w:t>
      </w:r>
      <w:r w:rsidRPr="00871999">
        <w:rPr>
          <w:rFonts w:ascii="ArialMT" w:hAnsi="ArialMT"/>
          <w:b/>
          <w:i w:val="0"/>
          <w:color w:val="auto"/>
          <w:sz w:val="22"/>
          <w:szCs w:val="22"/>
        </w:rPr>
        <w:fldChar w:fldCharType="begin"/>
      </w:r>
      <w:r w:rsidRPr="00871999">
        <w:rPr>
          <w:rFonts w:ascii="ArialMT" w:hAnsi="ArialMT"/>
          <w:b/>
          <w:i w:val="0"/>
          <w:color w:val="auto"/>
          <w:sz w:val="22"/>
          <w:szCs w:val="22"/>
          <w:lang w:val="en-US"/>
        </w:rPr>
        <w:instrText xml:space="preserve"> SEQ Figure \* ARABIC </w:instrText>
      </w:r>
      <w:r w:rsidRPr="00871999">
        <w:rPr>
          <w:rFonts w:ascii="ArialMT" w:hAnsi="ArialMT"/>
          <w:b/>
          <w:i w:val="0"/>
          <w:color w:val="auto"/>
          <w:sz w:val="22"/>
          <w:szCs w:val="22"/>
        </w:rPr>
        <w:fldChar w:fldCharType="separate"/>
      </w:r>
      <w:r w:rsidR="00395A3F">
        <w:rPr>
          <w:rFonts w:ascii="ArialMT" w:hAnsi="ArialMT"/>
          <w:b/>
          <w:i w:val="0"/>
          <w:noProof/>
          <w:color w:val="auto"/>
          <w:sz w:val="22"/>
          <w:szCs w:val="22"/>
          <w:lang w:val="en-US"/>
        </w:rPr>
        <w:t>1</w:t>
      </w:r>
      <w:r w:rsidRPr="00871999">
        <w:rPr>
          <w:rFonts w:ascii="ArialMT" w:hAnsi="ArialMT"/>
          <w:b/>
          <w:i w:val="0"/>
          <w:color w:val="auto"/>
          <w:sz w:val="22"/>
          <w:szCs w:val="22"/>
        </w:rPr>
        <w:fldChar w:fldCharType="end"/>
      </w:r>
    </w:p>
    <w:p w14:paraId="009FDF4D" w14:textId="074CDFB2" w:rsidR="008170AD" w:rsidRPr="00871999" w:rsidRDefault="008E2DD7" w:rsidP="008170AD">
      <w:pPr>
        <w:rPr>
          <w:rFonts w:ascii="ArialMT" w:hAnsi="ArialMT"/>
          <w:lang w:val="en-US"/>
        </w:rPr>
      </w:pPr>
      <w:r>
        <w:rPr>
          <w:rFonts w:ascii="ArialMT" w:hAnsi="ArialMT"/>
          <w:lang w:val="en-US"/>
        </w:rPr>
        <w:t>T</w:t>
      </w:r>
      <w:r w:rsidR="008170AD" w:rsidRPr="00871999">
        <w:rPr>
          <w:rFonts w:ascii="ArialMT" w:hAnsi="ArialMT"/>
          <w:lang w:val="en-US"/>
        </w:rPr>
        <w:t>erminology and interconnectivity of voice naturalness research</w:t>
      </w:r>
    </w:p>
    <w:p w14:paraId="10462AF2" w14:textId="77777777" w:rsidR="008170AD" w:rsidRDefault="008170AD" w:rsidP="008170AD">
      <w:pPr>
        <w:keepNext/>
      </w:pPr>
      <w:r>
        <w:rPr>
          <w:noProof/>
          <w:lang w:val="en-US"/>
        </w:rPr>
        <w:drawing>
          <wp:inline distT="0" distB="0" distL="0" distR="0" wp14:anchorId="2E6E630D" wp14:editId="53878904">
            <wp:extent cx="4814824" cy="6199088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84" cy="62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9414" w14:textId="40B0826B" w:rsidR="008170AD" w:rsidRPr="00871999" w:rsidRDefault="008170AD" w:rsidP="008170AD">
      <w:pPr>
        <w:keepNext/>
        <w:rPr>
          <w:rFonts w:ascii="ArialMT" w:eastAsia="Times New Roman" w:hAnsi="ArialMT" w:cs="Times New Roman"/>
          <w:b/>
          <w:bCs/>
          <w:kern w:val="0"/>
          <w:sz w:val="20"/>
          <w:szCs w:val="20"/>
          <w:lang w:val="en-US" w:eastAsia="de-DE"/>
          <w14:ligatures w14:val="none"/>
        </w:rPr>
      </w:pPr>
      <w:r w:rsidRPr="00871999">
        <w:rPr>
          <w:rFonts w:ascii="ArialMT" w:hAnsi="ArialMT"/>
          <w:i/>
          <w:sz w:val="20"/>
          <w:szCs w:val="20"/>
          <w:lang w:val="en-US"/>
        </w:rPr>
        <w:t xml:space="preserve">Note. </w:t>
      </w:r>
      <w:r w:rsidRPr="00871999">
        <w:rPr>
          <w:rFonts w:ascii="ArialMT" w:hAnsi="ArialMT"/>
          <w:b/>
          <w:i/>
          <w:sz w:val="20"/>
          <w:szCs w:val="20"/>
          <w:lang w:val="en-US"/>
        </w:rPr>
        <w:t>A)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Word cloud depicting synonyms and closely related concepts from 66 publications that target naturalness in voices. Word size represents number of occurrences. </w:t>
      </w:r>
      <w:r w:rsidRPr="00871999">
        <w:rPr>
          <w:rFonts w:ascii="ArialMT" w:hAnsi="ArialMT"/>
          <w:b/>
          <w:i/>
          <w:sz w:val="20"/>
          <w:szCs w:val="20"/>
          <w:lang w:val="en-US"/>
        </w:rPr>
        <w:t>B)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A similar word cloud but generated by ChatGPT (https://chatgpt.com/?oai, 29.04.2024), when prompted to generate 10 synonyms each for pathological, synthetic/manipulated, and healthy voices, together with relative frequency</w:t>
      </w:r>
      <w:r w:rsidR="008E2DD7" w:rsidRPr="008E2DD7">
        <w:rPr>
          <w:rFonts w:ascii="ArialMT" w:hAnsi="ArialMT"/>
          <w:i/>
          <w:sz w:val="20"/>
          <w:szCs w:val="20"/>
          <w:lang w:val="en-US"/>
        </w:rPr>
        <w:t xml:space="preserve"> </w:t>
      </w:r>
      <w:r w:rsidR="008E2DD7">
        <w:rPr>
          <w:rFonts w:ascii="ArialMT" w:hAnsi="ArialMT"/>
          <w:i/>
          <w:sz w:val="20"/>
          <w:szCs w:val="20"/>
          <w:lang w:val="en-US"/>
        </w:rPr>
        <w:t xml:space="preserve">of </w:t>
      </w:r>
      <w:r w:rsidR="008E2DD7" w:rsidRPr="00871999">
        <w:rPr>
          <w:rFonts w:ascii="ArialMT" w:hAnsi="ArialMT"/>
          <w:i/>
          <w:sz w:val="20"/>
          <w:szCs w:val="20"/>
          <w:lang w:val="en-US"/>
        </w:rPr>
        <w:t>occurrence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. </w:t>
      </w:r>
      <w:r w:rsidRPr="00871999">
        <w:rPr>
          <w:rFonts w:ascii="ArialMT" w:hAnsi="ArialMT"/>
          <w:b/>
          <w:i/>
          <w:sz w:val="20"/>
          <w:szCs w:val="20"/>
          <w:lang w:val="en-US"/>
        </w:rPr>
        <w:t>C)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A bibliographic network visualization using </w:t>
      </w:r>
      <w:proofErr w:type="spellStart"/>
      <w:r w:rsidRPr="00871999">
        <w:rPr>
          <w:rFonts w:ascii="ArialMT" w:hAnsi="ArialMT"/>
          <w:i/>
          <w:sz w:val="20"/>
          <w:szCs w:val="20"/>
          <w:lang w:val="en-US"/>
        </w:rPr>
        <w:t>VOSviewer</w:t>
      </w:r>
      <w:proofErr w:type="spellEnd"/>
      <w:r w:rsidRPr="00871999">
        <w:rPr>
          <w:rFonts w:ascii="ArialMT" w:hAnsi="ArialMT"/>
          <w:i/>
          <w:sz w:val="20"/>
          <w:szCs w:val="20"/>
          <w:lang w:val="en-US"/>
        </w:rPr>
        <w:t xml:space="preserve"> (https://www.vosviewer.com/), covering publications related to voice naturalness across different domains and 10 basic voice theory papers. Each colored dot represents a publication and grey links represent citations</w:t>
      </w:r>
      <w:r w:rsidR="008E2DD7">
        <w:rPr>
          <w:rFonts w:ascii="ArialMT" w:hAnsi="ArialMT"/>
          <w:i/>
          <w:sz w:val="20"/>
          <w:szCs w:val="20"/>
          <w:lang w:val="en-US"/>
        </w:rPr>
        <w:t xml:space="preserve"> between papers</w:t>
      </w:r>
      <w:r w:rsidRPr="00871999">
        <w:rPr>
          <w:rFonts w:ascii="ArialMT" w:hAnsi="ArialMT"/>
          <w:i/>
          <w:sz w:val="20"/>
          <w:szCs w:val="20"/>
          <w:lang w:val="en-US"/>
        </w:rPr>
        <w:t>. Size of dots indicate</w:t>
      </w:r>
      <w:r w:rsidR="008E2DD7">
        <w:rPr>
          <w:rFonts w:ascii="ArialMT" w:hAnsi="ArialMT"/>
          <w:i/>
          <w:sz w:val="20"/>
          <w:szCs w:val="20"/>
          <w:lang w:val="en-US"/>
        </w:rPr>
        <w:t>s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the number of links to other publications. Clustering (depicted by different dot colors) is performed automatically in </w:t>
      </w:r>
      <w:proofErr w:type="spellStart"/>
      <w:r w:rsidRPr="00871999">
        <w:rPr>
          <w:rFonts w:ascii="ArialMT" w:hAnsi="ArialMT"/>
          <w:i/>
          <w:sz w:val="20"/>
          <w:szCs w:val="20"/>
          <w:lang w:val="en-US"/>
        </w:rPr>
        <w:t>VOSviewer</w:t>
      </w:r>
      <w:proofErr w:type="spellEnd"/>
      <w:r w:rsidR="00733839">
        <w:rPr>
          <w:rFonts w:ascii="ArialMT" w:hAnsi="ArialMT"/>
          <w:i/>
          <w:sz w:val="20"/>
          <w:szCs w:val="20"/>
          <w:lang w:val="en-US"/>
        </w:rPr>
        <w:t>,</w:t>
      </w:r>
      <w:r w:rsidR="00FC3EDD">
        <w:rPr>
          <w:rFonts w:ascii="ArialMT" w:hAnsi="ArialMT"/>
          <w:i/>
          <w:sz w:val="20"/>
          <w:szCs w:val="20"/>
          <w:lang w:val="en-US"/>
        </w:rPr>
        <w:t xml:space="preserve"> depending on citation patterns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. </w:t>
      </w:r>
      <w:r w:rsidR="008E2DD7">
        <w:rPr>
          <w:rFonts w:ascii="ArialMT" w:hAnsi="ArialMT"/>
          <w:i/>
          <w:sz w:val="20"/>
          <w:szCs w:val="20"/>
          <w:lang w:val="en-US"/>
        </w:rPr>
        <w:t>C</w:t>
      </w:r>
      <w:r w:rsidRPr="00871999">
        <w:rPr>
          <w:rFonts w:ascii="ArialMT" w:hAnsi="ArialMT"/>
          <w:i/>
          <w:sz w:val="20"/>
          <w:szCs w:val="20"/>
          <w:lang w:val="en-US"/>
        </w:rPr>
        <w:t>loser inspection</w:t>
      </w:r>
      <w:r w:rsidR="008E2DD7">
        <w:rPr>
          <w:rFonts w:ascii="ArialMT" w:hAnsi="ArialMT"/>
          <w:i/>
          <w:sz w:val="20"/>
          <w:szCs w:val="20"/>
          <w:lang w:val="en-US"/>
        </w:rPr>
        <w:t xml:space="preserve"> reveals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that green </w:t>
      </w:r>
      <w:r w:rsidR="008E2DD7">
        <w:rPr>
          <w:rFonts w:ascii="ArialMT" w:hAnsi="ArialMT"/>
          <w:i/>
          <w:sz w:val="20"/>
          <w:szCs w:val="20"/>
          <w:lang w:val="en-US"/>
        </w:rPr>
        <w:t>refers</w:t>
      </w:r>
      <w:r w:rsidR="008E2DD7" w:rsidRPr="00871999">
        <w:rPr>
          <w:rFonts w:ascii="ArialMT" w:hAnsi="ArialMT"/>
          <w:i/>
          <w:sz w:val="20"/>
          <w:szCs w:val="20"/>
          <w:lang w:val="en-US"/>
        </w:rPr>
        <w:t xml:space="preserve"> </w:t>
      </w:r>
      <w:r w:rsidR="008E2DD7">
        <w:rPr>
          <w:rFonts w:ascii="ArialMT" w:hAnsi="ArialMT"/>
          <w:i/>
          <w:sz w:val="20"/>
          <w:szCs w:val="20"/>
          <w:lang w:val="en-US"/>
        </w:rPr>
        <w:t>to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basic voice </w:t>
      </w:r>
      <w:r w:rsidR="008E2DD7">
        <w:rPr>
          <w:rFonts w:ascii="ArialMT" w:hAnsi="ArialMT"/>
          <w:i/>
          <w:sz w:val="20"/>
          <w:szCs w:val="20"/>
          <w:lang w:val="en-US"/>
        </w:rPr>
        <w:t xml:space="preserve">theory </w:t>
      </w:r>
      <w:r w:rsidRPr="00871999">
        <w:rPr>
          <w:rFonts w:ascii="ArialMT" w:hAnsi="ArialMT"/>
          <w:i/>
          <w:sz w:val="20"/>
          <w:szCs w:val="20"/>
          <w:lang w:val="en-US"/>
        </w:rPr>
        <w:t>papers, red correspond</w:t>
      </w:r>
      <w:r w:rsidR="008E2DD7">
        <w:rPr>
          <w:rFonts w:ascii="ArialMT" w:hAnsi="ArialMT"/>
          <w:i/>
          <w:sz w:val="20"/>
          <w:szCs w:val="20"/>
          <w:lang w:val="en-US"/>
        </w:rPr>
        <w:t>s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 predominantly to </w:t>
      </w:r>
      <w:r w:rsidR="008E2DD7">
        <w:rPr>
          <w:rFonts w:ascii="ArialMT" w:hAnsi="ArialMT"/>
          <w:i/>
          <w:sz w:val="20"/>
          <w:szCs w:val="20"/>
          <w:lang w:val="en-US"/>
        </w:rPr>
        <w:t>papers</w:t>
      </w:r>
      <w:r w:rsidR="008E2DD7" w:rsidRPr="00871999">
        <w:rPr>
          <w:rFonts w:ascii="ArialMT" w:hAnsi="ArialMT"/>
          <w:i/>
          <w:sz w:val="20"/>
          <w:szCs w:val="20"/>
          <w:lang w:val="en-US"/>
        </w:rPr>
        <w:t xml:space="preserve"> 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on pathological voices and blue </w:t>
      </w:r>
      <w:r w:rsidR="008E2DD7">
        <w:rPr>
          <w:rFonts w:ascii="ArialMT" w:hAnsi="ArialMT"/>
          <w:i/>
          <w:sz w:val="20"/>
          <w:szCs w:val="20"/>
          <w:lang w:val="en-US"/>
        </w:rPr>
        <w:t>refers</w:t>
      </w:r>
      <w:r w:rsidR="008E2DD7" w:rsidRPr="00871999">
        <w:rPr>
          <w:rFonts w:ascii="ArialMT" w:hAnsi="ArialMT"/>
          <w:i/>
          <w:sz w:val="20"/>
          <w:szCs w:val="20"/>
          <w:lang w:val="en-US"/>
        </w:rPr>
        <w:t xml:space="preserve"> 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to </w:t>
      </w:r>
      <w:r w:rsidR="008E2DD7" w:rsidRPr="00871999">
        <w:rPr>
          <w:rFonts w:ascii="ArialMT" w:hAnsi="ArialMT"/>
          <w:i/>
          <w:sz w:val="20"/>
          <w:szCs w:val="20"/>
          <w:lang w:val="en-US"/>
        </w:rPr>
        <w:t>syntheti</w:t>
      </w:r>
      <w:r w:rsidR="008E2DD7">
        <w:rPr>
          <w:rFonts w:ascii="ArialMT" w:hAnsi="ArialMT"/>
          <w:i/>
          <w:sz w:val="20"/>
          <w:szCs w:val="20"/>
          <w:lang w:val="en-US"/>
        </w:rPr>
        <w:t>zed</w:t>
      </w:r>
      <w:r w:rsidRPr="00871999">
        <w:rPr>
          <w:rFonts w:ascii="ArialMT" w:hAnsi="ArialMT"/>
          <w:i/>
          <w:sz w:val="20"/>
          <w:szCs w:val="20"/>
          <w:lang w:val="en-US"/>
        </w:rPr>
        <w:t xml:space="preserve">/manipulated </w:t>
      </w:r>
      <w:r w:rsidR="00871999">
        <w:rPr>
          <w:rFonts w:ascii="ArialMT" w:hAnsi="ArialMT"/>
          <w:i/>
          <w:sz w:val="20"/>
          <w:szCs w:val="20"/>
          <w:lang w:val="en-US"/>
        </w:rPr>
        <w:t>voices</w:t>
      </w:r>
      <w:r w:rsidR="007D7B98">
        <w:rPr>
          <w:rFonts w:ascii="ArialMT" w:hAnsi="ArialMT"/>
          <w:i/>
          <w:sz w:val="20"/>
          <w:szCs w:val="20"/>
          <w:lang w:val="en-US"/>
        </w:rPr>
        <w:t>.</w:t>
      </w:r>
      <w:r w:rsidR="008873FA">
        <w:rPr>
          <w:rFonts w:ascii="ArialMT" w:hAnsi="ArialMT"/>
          <w:i/>
          <w:sz w:val="20"/>
          <w:szCs w:val="20"/>
          <w:lang w:val="en-US"/>
        </w:rPr>
        <w:t xml:space="preserve"> </w:t>
      </w:r>
      <w:bookmarkStart w:id="0" w:name="_GoBack"/>
      <w:bookmarkEnd w:id="0"/>
      <w:r w:rsidR="008873FA">
        <w:rPr>
          <w:rFonts w:ascii="ArialMT" w:hAnsi="ArialMT"/>
          <w:i/>
          <w:sz w:val="20"/>
          <w:szCs w:val="20"/>
          <w:lang w:val="en-US"/>
        </w:rPr>
        <w:t>This paper</w:t>
      </w:r>
      <w:r w:rsidR="007D7B98">
        <w:rPr>
          <w:rFonts w:ascii="ArialMT" w:hAnsi="ArialMT"/>
          <w:i/>
          <w:sz w:val="20"/>
          <w:szCs w:val="20"/>
          <w:lang w:val="en-US"/>
        </w:rPr>
        <w:t xml:space="preserve"> address</w:t>
      </w:r>
      <w:r w:rsidR="008873FA">
        <w:rPr>
          <w:rFonts w:ascii="ArialMT" w:hAnsi="ArialMT"/>
          <w:i/>
          <w:sz w:val="20"/>
          <w:szCs w:val="20"/>
          <w:lang w:val="en-US"/>
        </w:rPr>
        <w:t>es</w:t>
      </w:r>
      <w:r w:rsidR="007D7B98">
        <w:rPr>
          <w:rFonts w:ascii="ArialMT" w:hAnsi="ArialMT"/>
          <w:i/>
          <w:sz w:val="20"/>
          <w:szCs w:val="20"/>
          <w:lang w:val="en-US"/>
        </w:rPr>
        <w:t xml:space="preserve"> the emerging </w:t>
      </w:r>
      <w:r w:rsidR="008873FA">
        <w:rPr>
          <w:rFonts w:ascii="ArialMT" w:hAnsi="ArialMT"/>
          <w:i/>
          <w:sz w:val="20"/>
          <w:szCs w:val="20"/>
          <w:lang w:val="en-US"/>
        </w:rPr>
        <w:t>relevance</w:t>
      </w:r>
      <w:r w:rsidR="007D7B98">
        <w:rPr>
          <w:rFonts w:ascii="ArialMT" w:hAnsi="ArialMT"/>
          <w:i/>
          <w:sz w:val="20"/>
          <w:szCs w:val="20"/>
          <w:lang w:val="en-US"/>
        </w:rPr>
        <w:t xml:space="preserve"> of interconnectivity between those areas. </w:t>
      </w:r>
    </w:p>
    <w:p w14:paraId="2FCB2EEE" w14:textId="77777777" w:rsidR="008170AD" w:rsidRDefault="008170AD" w:rsidP="008170AD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</w:pPr>
    </w:p>
    <w:p w14:paraId="004B41DD" w14:textId="764AD49B" w:rsidR="00087D38" w:rsidRPr="008170AD" w:rsidRDefault="008170AD" w:rsidP="008170AD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</w:pPr>
      <w:r w:rsidRPr="008170AD">
        <w:rPr>
          <w:rFonts w:ascii="ArialMT" w:eastAsia="Times New Roman" w:hAnsi="ArialMT" w:cs="Times New Roman"/>
          <w:b/>
          <w:bCs/>
          <w:kern w:val="0"/>
          <w:lang w:val="en-US" w:eastAsia="de-DE"/>
          <w14:ligatures w14:val="none"/>
        </w:rPr>
        <w:lastRenderedPageBreak/>
        <w:t xml:space="preserve">References: </w:t>
      </w:r>
    </w:p>
    <w:p w14:paraId="622A64A5" w14:textId="4E5FE28A" w:rsidR="000059FF" w:rsidRPr="004C731C" w:rsidRDefault="0054379A" w:rsidP="000059F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</w:pP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eastAsia="de-DE"/>
          <w14:ligatures w14:val="none"/>
        </w:rPr>
        <w:t>Lavan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eastAsia="de-DE"/>
          <w14:ligatures w14:val="none"/>
        </w:rPr>
        <w:t xml:space="preserve">, N., Rinke, P., &amp;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eastAsia="de-DE"/>
          <w14:ligatures w14:val="none"/>
        </w:rPr>
        <w:t>Scharinger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eastAsia="de-DE"/>
          <w14:ligatures w14:val="none"/>
        </w:rPr>
        <w:t xml:space="preserve">, M. (2024). The time course of person perception from voices in the brain. </w:t>
      </w:r>
      <w:r w:rsidRPr="004C731C">
        <w:rPr>
          <w:rFonts w:ascii="ArialMT" w:eastAsia="Times New Roman" w:hAnsi="ArialMT" w:cs="Times New Roman"/>
          <w:i/>
          <w:kern w:val="0"/>
          <w:sz w:val="22"/>
          <w:szCs w:val="22"/>
          <w:lang w:eastAsia="de-DE"/>
          <w14:ligatures w14:val="none"/>
        </w:rPr>
        <w:t>Proceedings of the National Academy of Sciences of the United States of America, 121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eastAsia="de-DE"/>
          <w14:ligatures w14:val="none"/>
        </w:rPr>
        <w:t xml:space="preserve">(26), e2318361121. </w:t>
      </w:r>
      <w:hyperlink r:id="rId6" w:history="1">
        <w:r w:rsidR="00FC3EDD" w:rsidRPr="004C731C">
          <w:rPr>
            <w:rStyle w:val="Hyperlink"/>
            <w:rFonts w:ascii="ArialMT" w:hAnsi="ArialMT"/>
            <w:sz w:val="22"/>
            <w:szCs w:val="22"/>
          </w:rPr>
          <w:t>https://doi.org/</w:t>
        </w:r>
        <w:r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eastAsia="de-DE"/>
            <w14:ligatures w14:val="none"/>
          </w:rPr>
          <w:t>10.1073/pnas.2318361121</w:t>
        </w:r>
      </w:hyperlink>
    </w:p>
    <w:p w14:paraId="0F63F1FA" w14:textId="20DA5110" w:rsidR="00491779" w:rsidRPr="004C731C" w:rsidRDefault="00505C2B" w:rsidP="00491779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Nussbaum, C., Pöhlmann, M.,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Kreysa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H., &amp; Schweinberger, S. R. (2023).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Perceived naturalness of emotional voice morphs.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Cognition and Emotion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,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37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>(4), 731-747.</w:t>
      </w:r>
      <w:r w:rsidR="00257075"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 </w:t>
      </w:r>
      <w:hyperlink r:id="rId7" w:history="1">
        <w:r w:rsidR="00257075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en-US" w:eastAsia="de-DE"/>
            <w14:ligatures w14:val="none"/>
          </w:rPr>
          <w:t>https://doi.org/10.1080/02699931.2023.2200920</w:t>
        </w:r>
      </w:hyperlink>
    </w:p>
    <w:p w14:paraId="7756FC60" w14:textId="3164460B" w:rsidR="00FC3EDD" w:rsidRPr="004C731C" w:rsidRDefault="00710C7F" w:rsidP="00FC3EDD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</w:pP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Schölderle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T., Haas, E., &amp; Ziegler, W. (2023).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Speech naturalness in the assessment of childhood dysarthria.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American Journal of Speech-Language Pathology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,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32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>(4), 1633-1643.</w:t>
      </w:r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 </w:t>
      </w:r>
      <w:hyperlink r:id="rId8" w:history="1">
        <w:r w:rsidR="00FC3EDD" w:rsidRPr="004C731C">
          <w:rPr>
            <w:rStyle w:val="Hyperlink"/>
            <w:rFonts w:ascii="ArialMT" w:hAnsi="ArialMT"/>
            <w:sz w:val="22"/>
            <w:szCs w:val="22"/>
          </w:rPr>
          <w:t>https://doi.org/</w:t>
        </w:r>
        <w:r w:rsidR="00FC3EDD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en-US" w:eastAsia="de-DE"/>
            <w14:ligatures w14:val="none"/>
          </w:rPr>
          <w:t>10.1044/2023_AJSLP-23-00023</w:t>
        </w:r>
      </w:hyperlink>
    </w:p>
    <w:p w14:paraId="1B2C5935" w14:textId="1BA1EC20" w:rsidR="00710C7F" w:rsidRPr="004C731C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Hardy, T. L., Rieger, J. M., Wells, K., &amp;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Boliek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C. A. (2020).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Acoustic predictors of gender attribution, masculinity–femininity, and vocal naturalness ratings amongst transgender and cisgender speakers.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 xml:space="preserve">Journal </w:t>
      </w:r>
      <w:proofErr w:type="spellStart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of</w:t>
      </w:r>
      <w:proofErr w:type="spellEnd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 xml:space="preserve"> Voice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34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(2), 300-e11</w:t>
      </w:r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. </w:t>
      </w:r>
      <w:hyperlink r:id="rId9" w:history="1">
        <w:r w:rsidR="00FC3EDD" w:rsidRPr="004C731C">
          <w:rPr>
            <w:rStyle w:val="Hyperlink"/>
            <w:rFonts w:ascii="ArialMT" w:hAnsi="ArialMT"/>
            <w:sz w:val="22"/>
            <w:szCs w:val="22"/>
          </w:rPr>
          <w:t>https://doi.org/</w:t>
        </w:r>
        <w:r w:rsidR="00FC3EDD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de-DE" w:eastAsia="de-DE"/>
            <w14:ligatures w14:val="none"/>
          </w:rPr>
          <w:t>10.1016/j.jvoice.2018.10.002</w:t>
        </w:r>
      </w:hyperlink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 </w:t>
      </w:r>
    </w:p>
    <w:p w14:paraId="0F670918" w14:textId="66DD048B" w:rsidR="00710C7F" w:rsidRPr="004C731C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Kühne, K., Fischer, M. H., &amp; Zhou, Y. (2020).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The human takes it all: Humanlike synthesized voices are perceived as less eerie and more likable. evidence from a subjective ratings study.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 xml:space="preserve">Frontiers in </w:t>
      </w:r>
      <w:proofErr w:type="spellStart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Neurorobotics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14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, 593732</w:t>
      </w:r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. </w:t>
      </w:r>
      <w:hyperlink r:id="rId10" w:history="1">
        <w:r w:rsidR="00FC3EDD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de-DE" w:eastAsia="de-DE"/>
            <w14:ligatures w14:val="none"/>
          </w:rPr>
          <w:t>https://doi.org/10.3389/fnbot.2020.593732</w:t>
        </w:r>
      </w:hyperlink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 </w:t>
      </w:r>
    </w:p>
    <w:p w14:paraId="7ED49217" w14:textId="4E8F4BD7" w:rsidR="00710C7F" w:rsidRPr="004C731C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</w:pP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>Rodero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, E., &amp; Lucas, I. (2023). Synthetic versus human voices in audiobooks: The human emotional intimacy effect.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New Media &amp; Society, 25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(7), 1746-1764</w:t>
      </w:r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. </w:t>
      </w:r>
      <w:hyperlink r:id="rId11" w:history="1">
        <w:r w:rsidR="00FC3EDD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de-DE" w:eastAsia="de-DE"/>
            <w14:ligatures w14:val="none"/>
          </w:rPr>
          <w:t>https://doi.org/10.1177/14614448211024142</w:t>
        </w:r>
      </w:hyperlink>
    </w:p>
    <w:p w14:paraId="3BF57B49" w14:textId="6777FB8C" w:rsidR="00710C7F" w:rsidRPr="004C731C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Li, M., Guo, F., Wang, X., Chen, J., &amp; Ham, J. (2023). Effects of robot gaze and voice human-likeness on users’ subjective perception, visual attention, and cerebral activity in voice conversations.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 xml:space="preserve">Computers in Human </w:t>
      </w:r>
      <w:proofErr w:type="spellStart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Behavior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141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, 107645</w:t>
      </w:r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. </w:t>
      </w:r>
      <w:hyperlink r:id="rId12" w:history="1">
        <w:r w:rsidR="00FC3EDD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de-DE" w:eastAsia="de-DE"/>
            <w14:ligatures w14:val="none"/>
          </w:rPr>
          <w:t>https://doi.org/10.1016/j.chb.2022.107645</w:t>
        </w:r>
      </w:hyperlink>
    </w:p>
    <w:p w14:paraId="53876DF8" w14:textId="7ECDFA04" w:rsidR="00710C7F" w:rsidRPr="004C731C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Lu, L., Zhang, P., &amp; Zhang, T. C. (2021).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Leveraging “human-likeness” of robotic service at restaurants.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International Journal of Hospitality Management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,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94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>, 102823</w:t>
      </w:r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. </w:t>
      </w:r>
      <w:hyperlink r:id="rId13" w:history="1">
        <w:r w:rsidR="00FC3EDD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en-US" w:eastAsia="de-DE"/>
            <w14:ligatures w14:val="none"/>
          </w:rPr>
          <w:t>https://doi.org/10.1016/j.ijhm.2020.102823</w:t>
        </w:r>
      </w:hyperlink>
    </w:p>
    <w:p w14:paraId="35B89A62" w14:textId="77777777" w:rsidR="00411DCB" w:rsidRPr="004C731C" w:rsidRDefault="00411DCB" w:rsidP="00411DCB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Von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Eiff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C.I., Frühholz, S., Korth, D.,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Guntinas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-Lichius, O., &amp; Schweinberger, S.R.</w:t>
      </w:r>
      <w:r w:rsidRPr="004C731C">
        <w:rPr>
          <w:rFonts w:ascii="ArialMT" w:eastAsia="Times New Roman" w:hAnsi="ArialMT" w:cs="Times New Roman"/>
          <w:b/>
          <w:bCs/>
          <w:kern w:val="0"/>
          <w:sz w:val="22"/>
          <w:szCs w:val="22"/>
          <w:lang w:val="de-DE" w:eastAsia="de-DE"/>
          <w14:ligatures w14:val="none"/>
        </w:rPr>
        <w:t xml:space="preserve">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(2022).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>Crossmodal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 benefits to vocal emotion perception in cochlear implant users. </w:t>
      </w:r>
      <w:proofErr w:type="spellStart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iScience</w:t>
      </w:r>
      <w:proofErr w:type="spellEnd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 xml:space="preserve">, 25,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105711. </w:t>
      </w:r>
      <w:hyperlink r:id="rId14" w:history="1">
        <w:r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en-US" w:eastAsia="de-DE"/>
            <w14:ligatures w14:val="none"/>
          </w:rPr>
          <w:t>https://doi.org/10.1016/j.isci.2022.105711</w:t>
        </w:r>
      </w:hyperlink>
    </w:p>
    <w:p w14:paraId="0D92A3C1" w14:textId="77777777" w:rsidR="003E4841" w:rsidRPr="004C731C" w:rsidRDefault="007C1456" w:rsidP="003E4841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Miller, E. J., Steward, B.,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Witkower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Z., Sutherland, C. A. M.,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Krumhuber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E. G., &amp;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Dawel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A. (2023).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eastAsia="de-DE"/>
          <w14:ligatures w14:val="none"/>
        </w:rPr>
        <w:t xml:space="preserve">AI Hyperrealism: Why AI Faces Are Perceived as More Real Than Human Ones. </w:t>
      </w:r>
      <w:r w:rsidRPr="004C731C">
        <w:rPr>
          <w:rFonts w:ascii="ArialMT" w:eastAsia="Times New Roman" w:hAnsi="ArialMT" w:cs="Times New Roman"/>
          <w:i/>
          <w:kern w:val="0"/>
          <w:sz w:val="22"/>
          <w:szCs w:val="22"/>
          <w:lang w:eastAsia="de-DE"/>
          <w14:ligatures w14:val="none"/>
        </w:rPr>
        <w:t>Psychological Science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eastAsia="de-DE"/>
          <w14:ligatures w14:val="none"/>
        </w:rPr>
        <w:t>,</w:t>
      </w:r>
      <w:r w:rsidRPr="004C731C">
        <w:rPr>
          <w:rFonts w:ascii="ArialMT" w:eastAsia="Times New Roman" w:hAnsi="ArialMT" w:cs="Times New Roman"/>
          <w:i/>
          <w:kern w:val="0"/>
          <w:sz w:val="22"/>
          <w:szCs w:val="22"/>
          <w:lang w:eastAsia="de-DE"/>
          <w14:ligatures w14:val="none"/>
        </w:rPr>
        <w:t xml:space="preserve"> 34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eastAsia="de-DE"/>
          <w14:ligatures w14:val="none"/>
        </w:rPr>
        <w:t xml:space="preserve">(12), 1390-1403. </w:t>
      </w:r>
      <w:hyperlink r:id="rId15" w:history="1">
        <w:r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eastAsia="de-DE"/>
            <w14:ligatures w14:val="none"/>
          </w:rPr>
          <w:t>https://doi.org/10.1177/09567976231207095</w:t>
        </w:r>
      </w:hyperlink>
    </w:p>
    <w:p w14:paraId="3026DB94" w14:textId="77777777" w:rsidR="00225664" w:rsidRPr="004C731C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Nussbaum, C., Schirmer, A., &amp; Schweinberger, S.R. (2022).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Contributions of Fundamental Frequency and Timbre to Vocal Emotion Perception and their Electrophysiological Correlates.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Social, Cognitive and Affective Neuroscience, 17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(12), 1145-1154. </w:t>
      </w:r>
      <w:hyperlink r:id="rId16" w:history="1">
        <w:r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en-US" w:eastAsia="de-DE"/>
            <w14:ligatures w14:val="none"/>
          </w:rPr>
          <w:t>https://doi.org/10.1093/scan/nsac033</w:t>
        </w:r>
      </w:hyperlink>
    </w:p>
    <w:p w14:paraId="5DC286B8" w14:textId="21F824CD" w:rsidR="00225664" w:rsidRPr="004C731C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</w:pP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Staib, M., &amp;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>Frühholz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, S. (2021). Cortical voice processing is grounded in elementary sound analyses for vocalization relevant sound patterns.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 xml:space="preserve">Progress in </w:t>
      </w:r>
      <w:proofErr w:type="spellStart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Neurobiology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200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, 101982.</w:t>
      </w:r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 </w:t>
      </w:r>
      <w:hyperlink r:id="rId17" w:history="1">
        <w:r w:rsidR="00FC3EDD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de-DE" w:eastAsia="de-DE"/>
            <w14:ligatures w14:val="none"/>
          </w:rPr>
          <w:t>https://doi.org/10.1016/j.pneurobio.2020.101982</w:t>
        </w:r>
      </w:hyperlink>
    </w:p>
    <w:p w14:paraId="0AB72567" w14:textId="77777777" w:rsidR="00225664" w:rsidRPr="004C731C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</w:pP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Kauk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J.,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Kreysa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H.,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Scherag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A. &amp; Schweinberger, S.R. (2024).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The adaptive community-response (ACR) method for collecting misinformation on social media.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>Journal of Big Data, 11: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>35.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en-US" w:eastAsia="de-DE"/>
          <w14:ligatures w14:val="none"/>
        </w:rPr>
        <w:t xml:space="preserve"> </w:t>
      </w:r>
      <w:hyperlink r:id="rId18" w:history="1">
        <w:r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en-US" w:eastAsia="de-DE"/>
            <w14:ligatures w14:val="none"/>
          </w:rPr>
          <w:t>https://doi.org/10.1186/s40537-024-00894-w</w:t>
        </w:r>
      </w:hyperlink>
    </w:p>
    <w:p w14:paraId="43898CA3" w14:textId="5385D780" w:rsidR="00B10100" w:rsidRPr="004C731C" w:rsidRDefault="00505C2B" w:rsidP="008170AD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</w:pP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Roswandowitz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C., </w:t>
      </w:r>
      <w:proofErr w:type="spellStart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Kathiresan</w:t>
      </w:r>
      <w:proofErr w:type="spellEnd"/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, T., Pellegrino, E., Dellwo, V., &amp; Frühholz, S. (2024). 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en-US" w:eastAsia="de-DE"/>
          <w14:ligatures w14:val="none"/>
        </w:rPr>
        <w:t xml:space="preserve">Cortical-striatal brain network distinguishes deepfake from real speaker identity. </w:t>
      </w:r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 xml:space="preserve">Communications </w:t>
      </w:r>
      <w:proofErr w:type="spellStart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Biology</w:t>
      </w:r>
      <w:proofErr w:type="spellEnd"/>
      <w:r w:rsidRPr="004C731C">
        <w:rPr>
          <w:rFonts w:ascii="ArialMT" w:eastAsia="Times New Roman" w:hAnsi="ArialMT" w:cs="Times New Roman"/>
          <w:i/>
          <w:iCs/>
          <w:kern w:val="0"/>
          <w:sz w:val="22"/>
          <w:szCs w:val="22"/>
          <w:lang w:val="de-DE" w:eastAsia="de-DE"/>
          <w14:ligatures w14:val="none"/>
        </w:rPr>
        <w:t>, 7</w:t>
      </w:r>
      <w:r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>(1), 711.</w:t>
      </w:r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 </w:t>
      </w:r>
      <w:hyperlink r:id="rId19" w:history="1">
        <w:r w:rsidR="00FC3EDD" w:rsidRPr="004C731C">
          <w:rPr>
            <w:rStyle w:val="Hyperlink"/>
            <w:rFonts w:ascii="ArialMT" w:eastAsia="Times New Roman" w:hAnsi="ArialMT" w:cs="Times New Roman"/>
            <w:kern w:val="0"/>
            <w:sz w:val="22"/>
            <w:szCs w:val="22"/>
            <w:lang w:val="de-DE" w:eastAsia="de-DE"/>
            <w14:ligatures w14:val="none"/>
          </w:rPr>
          <w:t>https://doi.org/10.1038/s42003-024-06372-6</w:t>
        </w:r>
      </w:hyperlink>
      <w:r w:rsidR="00FC3EDD" w:rsidRPr="004C731C">
        <w:rPr>
          <w:rFonts w:ascii="ArialMT" w:eastAsia="Times New Roman" w:hAnsi="ArialMT" w:cs="Times New Roman"/>
          <w:kern w:val="0"/>
          <w:sz w:val="22"/>
          <w:szCs w:val="22"/>
          <w:lang w:val="de-DE" w:eastAsia="de-DE"/>
          <w14:ligatures w14:val="none"/>
        </w:rPr>
        <w:t xml:space="preserve"> </w:t>
      </w:r>
    </w:p>
    <w:sectPr w:rsidR="00B10100" w:rsidRPr="004C7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4C0659" w16cex:dateUtc="2024-06-30T23:35:00Z"/>
  <w16cex:commentExtensible w16cex:durableId="382318A9" w16cex:dateUtc="2024-06-30T23:2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1A93"/>
    <w:multiLevelType w:val="multilevel"/>
    <w:tmpl w:val="693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F246C"/>
    <w:multiLevelType w:val="hybridMultilevel"/>
    <w:tmpl w:val="FD36B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7C9"/>
    <w:multiLevelType w:val="hybridMultilevel"/>
    <w:tmpl w:val="4EE2A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9F6"/>
    <w:multiLevelType w:val="multilevel"/>
    <w:tmpl w:val="637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9"/>
    <w:rsid w:val="000059FF"/>
    <w:rsid w:val="00023A6C"/>
    <w:rsid w:val="0002522E"/>
    <w:rsid w:val="00031E52"/>
    <w:rsid w:val="00035217"/>
    <w:rsid w:val="00040D6C"/>
    <w:rsid w:val="00042E1A"/>
    <w:rsid w:val="00047BD5"/>
    <w:rsid w:val="000557B7"/>
    <w:rsid w:val="000569B8"/>
    <w:rsid w:val="00066E50"/>
    <w:rsid w:val="00072FAB"/>
    <w:rsid w:val="00073787"/>
    <w:rsid w:val="00083586"/>
    <w:rsid w:val="0008764E"/>
    <w:rsid w:val="00087D38"/>
    <w:rsid w:val="00092C31"/>
    <w:rsid w:val="000A0DAB"/>
    <w:rsid w:val="000A119F"/>
    <w:rsid w:val="000A261C"/>
    <w:rsid w:val="000A3951"/>
    <w:rsid w:val="000C4114"/>
    <w:rsid w:val="000D2C4A"/>
    <w:rsid w:val="000E354D"/>
    <w:rsid w:val="000E6471"/>
    <w:rsid w:val="0010047E"/>
    <w:rsid w:val="00117A3B"/>
    <w:rsid w:val="001324E8"/>
    <w:rsid w:val="001349DD"/>
    <w:rsid w:val="001353DC"/>
    <w:rsid w:val="001444C4"/>
    <w:rsid w:val="00146C20"/>
    <w:rsid w:val="00147296"/>
    <w:rsid w:val="001568A5"/>
    <w:rsid w:val="00161A41"/>
    <w:rsid w:val="00163EC3"/>
    <w:rsid w:val="0017186D"/>
    <w:rsid w:val="0017491C"/>
    <w:rsid w:val="0017545B"/>
    <w:rsid w:val="00181FE7"/>
    <w:rsid w:val="00192B81"/>
    <w:rsid w:val="00196806"/>
    <w:rsid w:val="001A05F7"/>
    <w:rsid w:val="001A3942"/>
    <w:rsid w:val="001A6798"/>
    <w:rsid w:val="001B0629"/>
    <w:rsid w:val="001B3F0F"/>
    <w:rsid w:val="001B6E34"/>
    <w:rsid w:val="001B718D"/>
    <w:rsid w:val="001C04D1"/>
    <w:rsid w:val="001C5501"/>
    <w:rsid w:val="001C7067"/>
    <w:rsid w:val="001C780F"/>
    <w:rsid w:val="001C7EAB"/>
    <w:rsid w:val="001D1BEE"/>
    <w:rsid w:val="001D22F7"/>
    <w:rsid w:val="001D3859"/>
    <w:rsid w:val="001D6C51"/>
    <w:rsid w:val="001E0D47"/>
    <w:rsid w:val="001F239E"/>
    <w:rsid w:val="001F3AD6"/>
    <w:rsid w:val="001F3D25"/>
    <w:rsid w:val="00204A97"/>
    <w:rsid w:val="00204BEF"/>
    <w:rsid w:val="00222136"/>
    <w:rsid w:val="002250F1"/>
    <w:rsid w:val="00225664"/>
    <w:rsid w:val="00231EFD"/>
    <w:rsid w:val="00236A47"/>
    <w:rsid w:val="0024229C"/>
    <w:rsid w:val="002438E8"/>
    <w:rsid w:val="0024673B"/>
    <w:rsid w:val="00247EC0"/>
    <w:rsid w:val="00254B01"/>
    <w:rsid w:val="00257075"/>
    <w:rsid w:val="00263E8C"/>
    <w:rsid w:val="00264D43"/>
    <w:rsid w:val="00265997"/>
    <w:rsid w:val="0026639F"/>
    <w:rsid w:val="00271504"/>
    <w:rsid w:val="00272125"/>
    <w:rsid w:val="00284693"/>
    <w:rsid w:val="002A21E2"/>
    <w:rsid w:val="002B0B39"/>
    <w:rsid w:val="002B26A0"/>
    <w:rsid w:val="002C3F1E"/>
    <w:rsid w:val="002C436F"/>
    <w:rsid w:val="002D5093"/>
    <w:rsid w:val="002E3AB0"/>
    <w:rsid w:val="002F7723"/>
    <w:rsid w:val="00304703"/>
    <w:rsid w:val="00307885"/>
    <w:rsid w:val="00312EFC"/>
    <w:rsid w:val="003159A4"/>
    <w:rsid w:val="00326DC9"/>
    <w:rsid w:val="00332DA3"/>
    <w:rsid w:val="00335B04"/>
    <w:rsid w:val="00335E83"/>
    <w:rsid w:val="00341D37"/>
    <w:rsid w:val="00363FDD"/>
    <w:rsid w:val="003648B5"/>
    <w:rsid w:val="003659E6"/>
    <w:rsid w:val="0036613A"/>
    <w:rsid w:val="00372895"/>
    <w:rsid w:val="0037499C"/>
    <w:rsid w:val="0038006E"/>
    <w:rsid w:val="003862D7"/>
    <w:rsid w:val="00393312"/>
    <w:rsid w:val="00395281"/>
    <w:rsid w:val="00395870"/>
    <w:rsid w:val="00395A3F"/>
    <w:rsid w:val="00395D63"/>
    <w:rsid w:val="003972DD"/>
    <w:rsid w:val="003A6A29"/>
    <w:rsid w:val="003B1567"/>
    <w:rsid w:val="003B46C8"/>
    <w:rsid w:val="003B51F8"/>
    <w:rsid w:val="003B70CE"/>
    <w:rsid w:val="003D5F2A"/>
    <w:rsid w:val="003E4841"/>
    <w:rsid w:val="003F0CA4"/>
    <w:rsid w:val="003F2583"/>
    <w:rsid w:val="003F4116"/>
    <w:rsid w:val="003F557C"/>
    <w:rsid w:val="003F6063"/>
    <w:rsid w:val="00400562"/>
    <w:rsid w:val="004011AE"/>
    <w:rsid w:val="00405500"/>
    <w:rsid w:val="00411DCB"/>
    <w:rsid w:val="0041290D"/>
    <w:rsid w:val="0041452F"/>
    <w:rsid w:val="00422532"/>
    <w:rsid w:val="00422B26"/>
    <w:rsid w:val="00423EB8"/>
    <w:rsid w:val="004371FF"/>
    <w:rsid w:val="00451F02"/>
    <w:rsid w:val="00452858"/>
    <w:rsid w:val="00461E76"/>
    <w:rsid w:val="004626D8"/>
    <w:rsid w:val="00463922"/>
    <w:rsid w:val="004705F7"/>
    <w:rsid w:val="0047781F"/>
    <w:rsid w:val="00480C24"/>
    <w:rsid w:val="00491779"/>
    <w:rsid w:val="00491D26"/>
    <w:rsid w:val="00494EFD"/>
    <w:rsid w:val="004A0FC8"/>
    <w:rsid w:val="004B0761"/>
    <w:rsid w:val="004B0F5C"/>
    <w:rsid w:val="004B2281"/>
    <w:rsid w:val="004C5F7F"/>
    <w:rsid w:val="004C731C"/>
    <w:rsid w:val="004D6791"/>
    <w:rsid w:val="004D6DDD"/>
    <w:rsid w:val="004E6B8D"/>
    <w:rsid w:val="004E78C5"/>
    <w:rsid w:val="004F0650"/>
    <w:rsid w:val="004F3EF8"/>
    <w:rsid w:val="004F48EA"/>
    <w:rsid w:val="004F5811"/>
    <w:rsid w:val="004F7CBC"/>
    <w:rsid w:val="0050355E"/>
    <w:rsid w:val="00503A1C"/>
    <w:rsid w:val="00503CA5"/>
    <w:rsid w:val="00505C2B"/>
    <w:rsid w:val="00511544"/>
    <w:rsid w:val="00514A41"/>
    <w:rsid w:val="00515CBD"/>
    <w:rsid w:val="00521461"/>
    <w:rsid w:val="0052149B"/>
    <w:rsid w:val="00530513"/>
    <w:rsid w:val="0054379A"/>
    <w:rsid w:val="00544B8A"/>
    <w:rsid w:val="00551545"/>
    <w:rsid w:val="0055242A"/>
    <w:rsid w:val="00554C3D"/>
    <w:rsid w:val="00555FC5"/>
    <w:rsid w:val="0056455E"/>
    <w:rsid w:val="005660E8"/>
    <w:rsid w:val="00567978"/>
    <w:rsid w:val="005750BC"/>
    <w:rsid w:val="00580A56"/>
    <w:rsid w:val="00581321"/>
    <w:rsid w:val="00584ACB"/>
    <w:rsid w:val="005920B1"/>
    <w:rsid w:val="005B0357"/>
    <w:rsid w:val="005B4EFA"/>
    <w:rsid w:val="005B72B0"/>
    <w:rsid w:val="005B75CA"/>
    <w:rsid w:val="005D7A47"/>
    <w:rsid w:val="005E07BD"/>
    <w:rsid w:val="005F474A"/>
    <w:rsid w:val="005F7032"/>
    <w:rsid w:val="005F7E5B"/>
    <w:rsid w:val="006112E8"/>
    <w:rsid w:val="00624587"/>
    <w:rsid w:val="00627F1B"/>
    <w:rsid w:val="006319C7"/>
    <w:rsid w:val="00650F57"/>
    <w:rsid w:val="006549AB"/>
    <w:rsid w:val="00656A41"/>
    <w:rsid w:val="00664965"/>
    <w:rsid w:val="00672B3D"/>
    <w:rsid w:val="00695F29"/>
    <w:rsid w:val="006A1343"/>
    <w:rsid w:val="006A1DCC"/>
    <w:rsid w:val="006A4525"/>
    <w:rsid w:val="006A5129"/>
    <w:rsid w:val="006A7530"/>
    <w:rsid w:val="006A7CFE"/>
    <w:rsid w:val="006B0262"/>
    <w:rsid w:val="006B1E11"/>
    <w:rsid w:val="006B2C64"/>
    <w:rsid w:val="006C0F17"/>
    <w:rsid w:val="006C2A19"/>
    <w:rsid w:val="006D027A"/>
    <w:rsid w:val="006D2229"/>
    <w:rsid w:val="006D23F9"/>
    <w:rsid w:val="006D661A"/>
    <w:rsid w:val="006D7A63"/>
    <w:rsid w:val="006E13C8"/>
    <w:rsid w:val="006E6B3C"/>
    <w:rsid w:val="006F3BD8"/>
    <w:rsid w:val="006F5AF6"/>
    <w:rsid w:val="00700BE1"/>
    <w:rsid w:val="007035DE"/>
    <w:rsid w:val="00705DC5"/>
    <w:rsid w:val="00706B30"/>
    <w:rsid w:val="007075FE"/>
    <w:rsid w:val="00710C7F"/>
    <w:rsid w:val="007118B4"/>
    <w:rsid w:val="007134E8"/>
    <w:rsid w:val="00715259"/>
    <w:rsid w:val="00715B85"/>
    <w:rsid w:val="007316AA"/>
    <w:rsid w:val="00731FAE"/>
    <w:rsid w:val="00733839"/>
    <w:rsid w:val="00741A6A"/>
    <w:rsid w:val="00750978"/>
    <w:rsid w:val="007517C7"/>
    <w:rsid w:val="007616FD"/>
    <w:rsid w:val="00762553"/>
    <w:rsid w:val="00763F3E"/>
    <w:rsid w:val="0076673C"/>
    <w:rsid w:val="00770627"/>
    <w:rsid w:val="007707A7"/>
    <w:rsid w:val="0077439C"/>
    <w:rsid w:val="00776998"/>
    <w:rsid w:val="007804E7"/>
    <w:rsid w:val="00786C71"/>
    <w:rsid w:val="0079325B"/>
    <w:rsid w:val="007A0A54"/>
    <w:rsid w:val="007A6390"/>
    <w:rsid w:val="007B1E1F"/>
    <w:rsid w:val="007B5B6E"/>
    <w:rsid w:val="007B747E"/>
    <w:rsid w:val="007C1456"/>
    <w:rsid w:val="007C596A"/>
    <w:rsid w:val="007C6617"/>
    <w:rsid w:val="007D1C16"/>
    <w:rsid w:val="007D2545"/>
    <w:rsid w:val="007D7B98"/>
    <w:rsid w:val="007E1E57"/>
    <w:rsid w:val="007F3649"/>
    <w:rsid w:val="007F3AD8"/>
    <w:rsid w:val="007F4684"/>
    <w:rsid w:val="00800032"/>
    <w:rsid w:val="008118B4"/>
    <w:rsid w:val="008143BC"/>
    <w:rsid w:val="008168A2"/>
    <w:rsid w:val="008170AD"/>
    <w:rsid w:val="00824F79"/>
    <w:rsid w:val="008261CA"/>
    <w:rsid w:val="008326F3"/>
    <w:rsid w:val="00835BA3"/>
    <w:rsid w:val="00842E5E"/>
    <w:rsid w:val="00851E8D"/>
    <w:rsid w:val="00851F76"/>
    <w:rsid w:val="0085383D"/>
    <w:rsid w:val="008546C9"/>
    <w:rsid w:val="008628CB"/>
    <w:rsid w:val="00864127"/>
    <w:rsid w:val="0087104C"/>
    <w:rsid w:val="00871060"/>
    <w:rsid w:val="00871999"/>
    <w:rsid w:val="008722BF"/>
    <w:rsid w:val="00880B2D"/>
    <w:rsid w:val="00885644"/>
    <w:rsid w:val="00886386"/>
    <w:rsid w:val="008873FA"/>
    <w:rsid w:val="00887C89"/>
    <w:rsid w:val="00890AA4"/>
    <w:rsid w:val="008A3B30"/>
    <w:rsid w:val="008A5F2A"/>
    <w:rsid w:val="008B0841"/>
    <w:rsid w:val="008B5053"/>
    <w:rsid w:val="008C386F"/>
    <w:rsid w:val="008C62DB"/>
    <w:rsid w:val="008E1BF5"/>
    <w:rsid w:val="008E238B"/>
    <w:rsid w:val="008E2748"/>
    <w:rsid w:val="008E279D"/>
    <w:rsid w:val="008E2DD7"/>
    <w:rsid w:val="008F55A5"/>
    <w:rsid w:val="00903F64"/>
    <w:rsid w:val="009044E1"/>
    <w:rsid w:val="0090531C"/>
    <w:rsid w:val="009108CC"/>
    <w:rsid w:val="00923710"/>
    <w:rsid w:val="00927600"/>
    <w:rsid w:val="00927C1C"/>
    <w:rsid w:val="00933BFB"/>
    <w:rsid w:val="00934128"/>
    <w:rsid w:val="00940D09"/>
    <w:rsid w:val="00943753"/>
    <w:rsid w:val="00946246"/>
    <w:rsid w:val="00951BEC"/>
    <w:rsid w:val="00960472"/>
    <w:rsid w:val="00960B43"/>
    <w:rsid w:val="00962755"/>
    <w:rsid w:val="00974AF7"/>
    <w:rsid w:val="0097530C"/>
    <w:rsid w:val="0098664C"/>
    <w:rsid w:val="00986BF3"/>
    <w:rsid w:val="009967E5"/>
    <w:rsid w:val="009A15A9"/>
    <w:rsid w:val="009A5E11"/>
    <w:rsid w:val="009A7A58"/>
    <w:rsid w:val="009B0CB1"/>
    <w:rsid w:val="009B12B8"/>
    <w:rsid w:val="009C2E94"/>
    <w:rsid w:val="009C3542"/>
    <w:rsid w:val="009C77CD"/>
    <w:rsid w:val="009D19B1"/>
    <w:rsid w:val="009D3D5D"/>
    <w:rsid w:val="009E5B0A"/>
    <w:rsid w:val="009E65FA"/>
    <w:rsid w:val="009F5991"/>
    <w:rsid w:val="009F605B"/>
    <w:rsid w:val="00A02875"/>
    <w:rsid w:val="00A12444"/>
    <w:rsid w:val="00A15F2F"/>
    <w:rsid w:val="00A22505"/>
    <w:rsid w:val="00A26412"/>
    <w:rsid w:val="00A40335"/>
    <w:rsid w:val="00A47FBB"/>
    <w:rsid w:val="00A5321C"/>
    <w:rsid w:val="00A567C9"/>
    <w:rsid w:val="00A61DB0"/>
    <w:rsid w:val="00A715FA"/>
    <w:rsid w:val="00A72F24"/>
    <w:rsid w:val="00A73D1B"/>
    <w:rsid w:val="00A9028E"/>
    <w:rsid w:val="00A9529C"/>
    <w:rsid w:val="00A95CC2"/>
    <w:rsid w:val="00A970AC"/>
    <w:rsid w:val="00AA7917"/>
    <w:rsid w:val="00AB35F3"/>
    <w:rsid w:val="00AB3B2C"/>
    <w:rsid w:val="00AB51C2"/>
    <w:rsid w:val="00AB5656"/>
    <w:rsid w:val="00AD0990"/>
    <w:rsid w:val="00AD0D9E"/>
    <w:rsid w:val="00AD2BB5"/>
    <w:rsid w:val="00AD4D74"/>
    <w:rsid w:val="00AD714E"/>
    <w:rsid w:val="00AE3D85"/>
    <w:rsid w:val="00AE620A"/>
    <w:rsid w:val="00AE67B0"/>
    <w:rsid w:val="00AE7FBA"/>
    <w:rsid w:val="00AF07BC"/>
    <w:rsid w:val="00AF0FC8"/>
    <w:rsid w:val="00B017D7"/>
    <w:rsid w:val="00B02CE6"/>
    <w:rsid w:val="00B07241"/>
    <w:rsid w:val="00B10100"/>
    <w:rsid w:val="00B1085E"/>
    <w:rsid w:val="00B22851"/>
    <w:rsid w:val="00B24DE8"/>
    <w:rsid w:val="00B33836"/>
    <w:rsid w:val="00B4030F"/>
    <w:rsid w:val="00B50F17"/>
    <w:rsid w:val="00B524D0"/>
    <w:rsid w:val="00B56CDD"/>
    <w:rsid w:val="00B60B23"/>
    <w:rsid w:val="00B62FC4"/>
    <w:rsid w:val="00B70654"/>
    <w:rsid w:val="00B80E20"/>
    <w:rsid w:val="00B85276"/>
    <w:rsid w:val="00B90660"/>
    <w:rsid w:val="00BA4896"/>
    <w:rsid w:val="00BB19F1"/>
    <w:rsid w:val="00BB4854"/>
    <w:rsid w:val="00BB7126"/>
    <w:rsid w:val="00BB7B3D"/>
    <w:rsid w:val="00BC2D28"/>
    <w:rsid w:val="00BC6AF8"/>
    <w:rsid w:val="00BD7AB3"/>
    <w:rsid w:val="00BE62C4"/>
    <w:rsid w:val="00C00ED8"/>
    <w:rsid w:val="00C01E1D"/>
    <w:rsid w:val="00C02436"/>
    <w:rsid w:val="00C06CA8"/>
    <w:rsid w:val="00C10042"/>
    <w:rsid w:val="00C113CD"/>
    <w:rsid w:val="00C11C55"/>
    <w:rsid w:val="00C14EC4"/>
    <w:rsid w:val="00C16B8C"/>
    <w:rsid w:val="00C23D03"/>
    <w:rsid w:val="00C268B2"/>
    <w:rsid w:val="00C37674"/>
    <w:rsid w:val="00C42EDE"/>
    <w:rsid w:val="00C43E79"/>
    <w:rsid w:val="00C45B59"/>
    <w:rsid w:val="00C524E0"/>
    <w:rsid w:val="00C52E9E"/>
    <w:rsid w:val="00C54D62"/>
    <w:rsid w:val="00C652CC"/>
    <w:rsid w:val="00C66C4B"/>
    <w:rsid w:val="00C716C3"/>
    <w:rsid w:val="00C76B5C"/>
    <w:rsid w:val="00C80D79"/>
    <w:rsid w:val="00C85DDB"/>
    <w:rsid w:val="00C97524"/>
    <w:rsid w:val="00CA7AA4"/>
    <w:rsid w:val="00CB262E"/>
    <w:rsid w:val="00CC15BD"/>
    <w:rsid w:val="00CD1C87"/>
    <w:rsid w:val="00CE36C2"/>
    <w:rsid w:val="00CF2EEC"/>
    <w:rsid w:val="00CF6803"/>
    <w:rsid w:val="00CF79FE"/>
    <w:rsid w:val="00D03498"/>
    <w:rsid w:val="00D23780"/>
    <w:rsid w:val="00D3703A"/>
    <w:rsid w:val="00D46EE6"/>
    <w:rsid w:val="00D530E1"/>
    <w:rsid w:val="00D541AF"/>
    <w:rsid w:val="00D5636B"/>
    <w:rsid w:val="00D5742E"/>
    <w:rsid w:val="00D57A9B"/>
    <w:rsid w:val="00D60E61"/>
    <w:rsid w:val="00D6127D"/>
    <w:rsid w:val="00D65C49"/>
    <w:rsid w:val="00D76E6B"/>
    <w:rsid w:val="00D772CA"/>
    <w:rsid w:val="00D9128D"/>
    <w:rsid w:val="00D94BE6"/>
    <w:rsid w:val="00D95FB9"/>
    <w:rsid w:val="00DA1F5D"/>
    <w:rsid w:val="00DA26EE"/>
    <w:rsid w:val="00DA3508"/>
    <w:rsid w:val="00DA3515"/>
    <w:rsid w:val="00DA5423"/>
    <w:rsid w:val="00DB1E3C"/>
    <w:rsid w:val="00DB225D"/>
    <w:rsid w:val="00DB57C5"/>
    <w:rsid w:val="00DB73AB"/>
    <w:rsid w:val="00DC4011"/>
    <w:rsid w:val="00DD48AA"/>
    <w:rsid w:val="00DD7D35"/>
    <w:rsid w:val="00DE0F2B"/>
    <w:rsid w:val="00DE1C62"/>
    <w:rsid w:val="00DE22A8"/>
    <w:rsid w:val="00DE3527"/>
    <w:rsid w:val="00DE4BC8"/>
    <w:rsid w:val="00DF0A1F"/>
    <w:rsid w:val="00E170B4"/>
    <w:rsid w:val="00E23875"/>
    <w:rsid w:val="00E27D3C"/>
    <w:rsid w:val="00E33118"/>
    <w:rsid w:val="00E34B40"/>
    <w:rsid w:val="00E35874"/>
    <w:rsid w:val="00E37373"/>
    <w:rsid w:val="00E41855"/>
    <w:rsid w:val="00E42321"/>
    <w:rsid w:val="00E4370F"/>
    <w:rsid w:val="00E44514"/>
    <w:rsid w:val="00E45390"/>
    <w:rsid w:val="00E45E92"/>
    <w:rsid w:val="00E46DA8"/>
    <w:rsid w:val="00E51299"/>
    <w:rsid w:val="00E539E1"/>
    <w:rsid w:val="00E5745D"/>
    <w:rsid w:val="00E605BC"/>
    <w:rsid w:val="00E613B0"/>
    <w:rsid w:val="00E6647E"/>
    <w:rsid w:val="00E904FA"/>
    <w:rsid w:val="00E90F89"/>
    <w:rsid w:val="00E96F2D"/>
    <w:rsid w:val="00EA0D12"/>
    <w:rsid w:val="00EC039A"/>
    <w:rsid w:val="00EC43AA"/>
    <w:rsid w:val="00EC6087"/>
    <w:rsid w:val="00ED2CA6"/>
    <w:rsid w:val="00ED43B6"/>
    <w:rsid w:val="00ED5909"/>
    <w:rsid w:val="00ED6184"/>
    <w:rsid w:val="00ED663E"/>
    <w:rsid w:val="00EE5928"/>
    <w:rsid w:val="00EF1D6B"/>
    <w:rsid w:val="00EF422C"/>
    <w:rsid w:val="00F050B0"/>
    <w:rsid w:val="00F10BE2"/>
    <w:rsid w:val="00F14E9C"/>
    <w:rsid w:val="00F16C5B"/>
    <w:rsid w:val="00F2203B"/>
    <w:rsid w:val="00F277DC"/>
    <w:rsid w:val="00F31ECA"/>
    <w:rsid w:val="00F409E9"/>
    <w:rsid w:val="00F40FEC"/>
    <w:rsid w:val="00F42028"/>
    <w:rsid w:val="00F522D5"/>
    <w:rsid w:val="00F60DDD"/>
    <w:rsid w:val="00F61F9E"/>
    <w:rsid w:val="00F64961"/>
    <w:rsid w:val="00F64E7B"/>
    <w:rsid w:val="00F745BF"/>
    <w:rsid w:val="00F76255"/>
    <w:rsid w:val="00F77F4B"/>
    <w:rsid w:val="00F84BA4"/>
    <w:rsid w:val="00F85FDF"/>
    <w:rsid w:val="00F94296"/>
    <w:rsid w:val="00F9699B"/>
    <w:rsid w:val="00FA0407"/>
    <w:rsid w:val="00FA560F"/>
    <w:rsid w:val="00FA7F83"/>
    <w:rsid w:val="00FB290C"/>
    <w:rsid w:val="00FB4493"/>
    <w:rsid w:val="00FC3EDD"/>
    <w:rsid w:val="00FC7ED7"/>
    <w:rsid w:val="00FD1CA8"/>
    <w:rsid w:val="00FD2294"/>
    <w:rsid w:val="00FE0A1F"/>
    <w:rsid w:val="00FE48B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79B"/>
  <w15:chartTrackingRefBased/>
  <w15:docId w15:val="{2BBDE1BC-2468-8341-AD4C-6FA228C2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6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917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05C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5C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57075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54379A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54379A"/>
    <w:rPr>
      <w:rFonts w:ascii="Calibri" w:hAnsi="Calibri" w:cs="Calibri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5F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5F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5FC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5F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5FC5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70B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70B4"/>
    <w:rPr>
      <w:rFonts w:ascii="Segoe UI" w:hAnsi="Segoe UI" w:cs="Segoe UI"/>
      <w:sz w:val="18"/>
      <w:szCs w:val="18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170AD"/>
    <w:pPr>
      <w:spacing w:after="200"/>
    </w:pPr>
    <w:rPr>
      <w:i/>
      <w:iCs/>
      <w:color w:val="44546A" w:themeColor="text2"/>
      <w:kern w:val="0"/>
      <w:sz w:val="18"/>
      <w:szCs w:val="18"/>
      <w:lang w:val="de-DE"/>
      <w14:ligatures w14:val="none"/>
    </w:rPr>
  </w:style>
  <w:style w:type="paragraph" w:styleId="berarbeitung">
    <w:name w:val="Revision"/>
    <w:hidden/>
    <w:uiPriority w:val="99"/>
    <w:semiHidden/>
    <w:rsid w:val="008E2DD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44/2023_AJSLP-23-00023" TargetMode="External"/><Relationship Id="rId13" Type="http://schemas.openxmlformats.org/officeDocument/2006/relationships/hyperlink" Target="https://doi.org/10.1016/j.ijhm.2020.102823" TargetMode="External"/><Relationship Id="rId18" Type="http://schemas.openxmlformats.org/officeDocument/2006/relationships/hyperlink" Target="https://doi.org/10.1186/s40537-024-00894-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80/02699931.2023.2200920" TargetMode="External"/><Relationship Id="rId12" Type="http://schemas.openxmlformats.org/officeDocument/2006/relationships/hyperlink" Target="https://doi.org/10.1016/j.chb.2022.107645" TargetMode="External"/><Relationship Id="rId17" Type="http://schemas.openxmlformats.org/officeDocument/2006/relationships/hyperlink" Target="https://doi.org/10.1016/j.pneurobio.2020.101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3/scan/nsac03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73/pnas.2318361121" TargetMode="External"/><Relationship Id="rId11" Type="http://schemas.openxmlformats.org/officeDocument/2006/relationships/hyperlink" Target="https://doi.org/10.1177/1461444821102414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77/09567976231207095" TargetMode="External"/><Relationship Id="rId10" Type="http://schemas.openxmlformats.org/officeDocument/2006/relationships/hyperlink" Target="https://doi.org/10.3389/fnbot.2020.593732%20" TargetMode="External"/><Relationship Id="rId19" Type="http://schemas.openxmlformats.org/officeDocument/2006/relationships/hyperlink" Target="https://doi.org/10.1038/s42003-024-06372-6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voice.2018.10.002%20" TargetMode="External"/><Relationship Id="rId14" Type="http://schemas.openxmlformats.org/officeDocument/2006/relationships/hyperlink" Target="https://doi.org/10.1016/j.isci.2022.105711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1421</Words>
  <Characters>8954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 Nussbaum</cp:lastModifiedBy>
  <cp:revision>12</cp:revision>
  <cp:lastPrinted>2024-07-01T08:19:00Z</cp:lastPrinted>
  <dcterms:created xsi:type="dcterms:W3CDTF">2024-06-30T23:29:00Z</dcterms:created>
  <dcterms:modified xsi:type="dcterms:W3CDTF">2024-07-01T08:19:00Z</dcterms:modified>
</cp:coreProperties>
</file>