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78B4" w14:textId="1310221C" w:rsidR="008F786B" w:rsidRPr="002A7AAC" w:rsidRDefault="00B30145" w:rsidP="008F786B">
      <w:pPr>
        <w:rPr>
          <w:rFonts w:ascii="Calibri" w:hAnsi="Calibri" w:cs="Calibri"/>
        </w:rPr>
      </w:pPr>
      <w:r>
        <w:rPr>
          <w:rFonts w:ascii="Calibri" w:hAnsi="Calibri" w:cs="Calibri"/>
        </w:rPr>
        <w:t>Response to Review</w:t>
      </w:r>
      <w:r w:rsidR="00DB7759">
        <w:rPr>
          <w:rFonts w:ascii="Calibri" w:hAnsi="Calibri" w:cs="Calibri"/>
        </w:rPr>
        <w:t>s:</w:t>
      </w:r>
    </w:p>
    <w:p w14:paraId="6FE5512C" w14:textId="26E69C3F" w:rsidR="00B32F54" w:rsidRPr="00B32F54" w:rsidRDefault="00B32F54" w:rsidP="00B32F54">
      <w:pPr>
        <w:rPr>
          <w:rFonts w:ascii="Calibri" w:hAnsi="Calibri" w:cs="Calibri"/>
          <w:b/>
          <w:bCs/>
        </w:rPr>
      </w:pPr>
      <w:r>
        <w:rPr>
          <w:rFonts w:ascii="Calibri" w:hAnsi="Calibri" w:cs="Calibri"/>
          <w:b/>
          <w:bCs/>
        </w:rPr>
        <w:t xml:space="preserve">(Previous) </w:t>
      </w:r>
      <w:r w:rsidRPr="00B32F54">
        <w:rPr>
          <w:rFonts w:ascii="Calibri" w:hAnsi="Calibri" w:cs="Calibri"/>
          <w:b/>
          <w:bCs/>
        </w:rPr>
        <w:t>Point 8.</w:t>
      </w:r>
    </w:p>
    <w:p w14:paraId="4B67E6EA" w14:textId="77777777" w:rsidR="00B32F54" w:rsidRPr="00B32F54" w:rsidRDefault="00B32F54" w:rsidP="00B32F54">
      <w:pPr>
        <w:rPr>
          <w:rFonts w:ascii="Calibri" w:hAnsi="Calibri" w:cs="Calibri"/>
          <w:b/>
          <w:bCs/>
        </w:rPr>
      </w:pPr>
      <w:r w:rsidRPr="00B32F54">
        <w:rPr>
          <w:rFonts w:ascii="Calibri" w:hAnsi="Calibri" w:cs="Calibri"/>
          <w:b/>
          <w:bCs/>
        </w:rPr>
        <w:t xml:space="preserve">Thank you, I understand that each </w:t>
      </w:r>
      <w:proofErr w:type="spellStart"/>
      <w:r w:rsidRPr="00B32F54">
        <w:rPr>
          <w:rFonts w:ascii="Calibri" w:hAnsi="Calibri" w:cs="Calibri"/>
          <w:b/>
          <w:bCs/>
        </w:rPr>
        <w:t>reponse</w:t>
      </w:r>
      <w:proofErr w:type="spellEnd"/>
      <w:r w:rsidRPr="00B32F54">
        <w:rPr>
          <w:rFonts w:ascii="Calibri" w:hAnsi="Calibri" w:cs="Calibri"/>
          <w:b/>
          <w:bCs/>
        </w:rPr>
        <w:t xml:space="preserve"> was coded between 0 and 1 (in 0.25 steps), and the shift was only made to associate negative scores with "incorrect" and positive scores with "correct". It will not make any difference statistically, but an alternative process, potentially more intuitive, would be to code "</w:t>
      </w:r>
      <w:proofErr w:type="spellStart"/>
      <w:r w:rsidRPr="00B32F54">
        <w:rPr>
          <w:rFonts w:ascii="Calibri" w:hAnsi="Calibri" w:cs="Calibri"/>
          <w:b/>
          <w:bCs/>
        </w:rPr>
        <w:t>definately</w:t>
      </w:r>
      <w:proofErr w:type="spellEnd"/>
      <w:r w:rsidRPr="00B32F54">
        <w:rPr>
          <w:rFonts w:ascii="Calibri" w:hAnsi="Calibri" w:cs="Calibri"/>
          <w:b/>
          <w:bCs/>
        </w:rPr>
        <w:t xml:space="preserve"> incorrect" as -1 and "</w:t>
      </w:r>
      <w:proofErr w:type="spellStart"/>
      <w:r w:rsidRPr="00B32F54">
        <w:rPr>
          <w:rFonts w:ascii="Calibri" w:hAnsi="Calibri" w:cs="Calibri"/>
          <w:b/>
          <w:bCs/>
        </w:rPr>
        <w:t>definately</w:t>
      </w:r>
      <w:proofErr w:type="spellEnd"/>
      <w:r w:rsidRPr="00B32F54">
        <w:rPr>
          <w:rFonts w:ascii="Calibri" w:hAnsi="Calibri" w:cs="Calibri"/>
          <w:b/>
          <w:bCs/>
        </w:rPr>
        <w:t xml:space="preserve"> correct" with 1, and then use steps of 0.5 (instead of 0.25).</w:t>
      </w:r>
    </w:p>
    <w:p w14:paraId="6C12886E" w14:textId="60EFE1FC" w:rsidR="00B32F54" w:rsidRPr="00B32F54" w:rsidRDefault="00B32F54" w:rsidP="00B32F54">
      <w:pPr>
        <w:rPr>
          <w:rFonts w:ascii="Calibri" w:hAnsi="Calibri" w:cs="Calibri"/>
          <w:bCs/>
          <w:i/>
        </w:rPr>
      </w:pPr>
      <w:r w:rsidRPr="00B32F54">
        <w:rPr>
          <w:rFonts w:ascii="Calibri" w:hAnsi="Calibri" w:cs="Calibri"/>
          <w:bCs/>
          <w:i/>
        </w:rPr>
        <w:t xml:space="preserve">Response: Yes, </w:t>
      </w:r>
      <w:r>
        <w:rPr>
          <w:rFonts w:ascii="Calibri" w:hAnsi="Calibri" w:cs="Calibri"/>
          <w:bCs/>
          <w:i/>
        </w:rPr>
        <w:t xml:space="preserve">indeed, </w:t>
      </w:r>
      <w:r w:rsidRPr="00B32F54">
        <w:rPr>
          <w:rFonts w:ascii="Calibri" w:hAnsi="Calibri" w:cs="Calibri"/>
          <w:bCs/>
          <w:i/>
        </w:rPr>
        <w:t>this would have been an alternative approach that could have been</w:t>
      </w:r>
      <w:r>
        <w:rPr>
          <w:rFonts w:ascii="Calibri" w:hAnsi="Calibri" w:cs="Calibri"/>
          <w:bCs/>
          <w:i/>
        </w:rPr>
        <w:t xml:space="preserve"> </w:t>
      </w:r>
      <w:r w:rsidRPr="00B32F54">
        <w:rPr>
          <w:rFonts w:ascii="Calibri" w:hAnsi="Calibri" w:cs="Calibri"/>
          <w:bCs/>
          <w:i/>
        </w:rPr>
        <w:t>more intuitive</w:t>
      </w:r>
      <w:r>
        <w:rPr>
          <w:rFonts w:ascii="Calibri" w:hAnsi="Calibri" w:cs="Calibri"/>
          <w:bCs/>
          <w:i/>
        </w:rPr>
        <w:t xml:space="preserve">. But since that does not make a statistical difference, we keep the present one because than its consistent with the previous paper. </w:t>
      </w:r>
    </w:p>
    <w:p w14:paraId="1E08D39B" w14:textId="6DBD649C" w:rsidR="00B32F54" w:rsidRDefault="00B32F54" w:rsidP="00B32F54">
      <w:pPr>
        <w:rPr>
          <w:rFonts w:ascii="Calibri" w:hAnsi="Calibri" w:cs="Calibri"/>
          <w:b/>
          <w:bCs/>
        </w:rPr>
      </w:pPr>
      <w:r w:rsidRPr="00B32F54">
        <w:rPr>
          <w:rFonts w:ascii="Calibri" w:hAnsi="Calibri" w:cs="Calibri"/>
          <w:b/>
          <w:bCs/>
        </w:rPr>
        <w:t xml:space="preserve">What will make a difference statistically, however, is that a score of 0.5 (before subtracting 0.5) represents either "exactly </w:t>
      </w:r>
      <w:proofErr w:type="spellStart"/>
      <w:r w:rsidRPr="00B32F54">
        <w:rPr>
          <w:rFonts w:ascii="Calibri" w:hAnsi="Calibri" w:cs="Calibri"/>
          <w:b/>
          <w:bCs/>
        </w:rPr>
        <w:t>bewteen</w:t>
      </w:r>
      <w:proofErr w:type="spellEnd"/>
      <w:r w:rsidRPr="00B32F54">
        <w:rPr>
          <w:rFonts w:ascii="Calibri" w:hAnsi="Calibri" w:cs="Calibri"/>
          <w:b/>
          <w:bCs/>
        </w:rPr>
        <w:t xml:space="preserve"> </w:t>
      </w:r>
      <w:proofErr w:type="spellStart"/>
      <w:r w:rsidRPr="00B32F54">
        <w:rPr>
          <w:rFonts w:ascii="Calibri" w:hAnsi="Calibri" w:cs="Calibri"/>
          <w:b/>
          <w:bCs/>
        </w:rPr>
        <w:t>definately</w:t>
      </w:r>
      <w:proofErr w:type="spellEnd"/>
      <w:r w:rsidRPr="00B32F54">
        <w:rPr>
          <w:rFonts w:ascii="Calibri" w:hAnsi="Calibri" w:cs="Calibri"/>
          <w:b/>
          <w:bCs/>
        </w:rPr>
        <w:t xml:space="preserve"> incorrect and </w:t>
      </w:r>
      <w:proofErr w:type="spellStart"/>
      <w:r w:rsidRPr="00B32F54">
        <w:rPr>
          <w:rFonts w:ascii="Calibri" w:hAnsi="Calibri" w:cs="Calibri"/>
          <w:b/>
          <w:bCs/>
        </w:rPr>
        <w:t>definately</w:t>
      </w:r>
      <w:proofErr w:type="spellEnd"/>
      <w:r w:rsidRPr="00B32F54">
        <w:rPr>
          <w:rFonts w:ascii="Calibri" w:hAnsi="Calibri" w:cs="Calibri"/>
          <w:b/>
          <w:bCs/>
        </w:rPr>
        <w:t xml:space="preserve"> correct" or "don't know". So "don't know" and "neutral" are scored identically. I therefore would ask the authors to do one of the following:</w:t>
      </w:r>
    </w:p>
    <w:p w14:paraId="53AAADA9" w14:textId="77777777" w:rsidR="00B32F54" w:rsidRPr="00B32F54" w:rsidRDefault="00B32F54" w:rsidP="00B32F54">
      <w:pPr>
        <w:ind w:left="284"/>
        <w:rPr>
          <w:rFonts w:ascii="Calibri" w:hAnsi="Calibri" w:cs="Calibri"/>
          <w:b/>
          <w:bCs/>
        </w:rPr>
      </w:pPr>
      <w:r w:rsidRPr="00B32F54">
        <w:rPr>
          <w:rFonts w:ascii="Calibri" w:hAnsi="Calibri" w:cs="Calibri"/>
          <w:b/>
          <w:bCs/>
        </w:rPr>
        <w:t>1. Motivate why neutral opinions to questions are identical to "don't know". This is a theoretical assumption.</w:t>
      </w:r>
    </w:p>
    <w:p w14:paraId="27396585" w14:textId="4E8FE4A6" w:rsidR="008F786B" w:rsidRDefault="00B32F54" w:rsidP="00B32F54">
      <w:pPr>
        <w:ind w:left="284"/>
        <w:rPr>
          <w:rFonts w:ascii="Calibri" w:hAnsi="Calibri" w:cs="Calibri"/>
          <w:b/>
          <w:bCs/>
        </w:rPr>
      </w:pPr>
      <w:r w:rsidRPr="00B32F54">
        <w:rPr>
          <w:rFonts w:ascii="Calibri" w:hAnsi="Calibri" w:cs="Calibri"/>
          <w:b/>
          <w:bCs/>
        </w:rPr>
        <w:t>2. Otherwise, remove all "don't know" from the analyses (alternatively introduce imputations) or there will be a bias with scores leaning to the mean and with smaller standard deviations affecting the statistical tests.</w:t>
      </w:r>
    </w:p>
    <w:p w14:paraId="01438AA0" w14:textId="1729D932" w:rsidR="00B32F54" w:rsidRPr="00CD0AFD" w:rsidRDefault="00B32F54" w:rsidP="00B32F54">
      <w:pPr>
        <w:ind w:left="284"/>
        <w:rPr>
          <w:rFonts w:ascii="Calibri" w:hAnsi="Calibri" w:cs="Calibri"/>
          <w:bCs/>
        </w:rPr>
      </w:pPr>
    </w:p>
    <w:p w14:paraId="6D083C4B" w14:textId="53313D3D" w:rsidR="00B32F54" w:rsidRPr="00CD0AFD" w:rsidRDefault="00B32F54" w:rsidP="00B32F54">
      <w:pPr>
        <w:rPr>
          <w:rFonts w:ascii="Calibri" w:hAnsi="Calibri" w:cs="Calibri"/>
          <w:bCs/>
        </w:rPr>
      </w:pPr>
      <w:r w:rsidRPr="00CD0AFD">
        <w:rPr>
          <w:rFonts w:ascii="Calibri" w:hAnsi="Calibri" w:cs="Calibri"/>
          <w:bCs/>
        </w:rPr>
        <w:t>Response: In the PROMS, participants ha</w:t>
      </w:r>
      <w:r w:rsidRPr="00CD0AFD">
        <w:rPr>
          <w:rFonts w:ascii="Calibri" w:hAnsi="Calibri" w:cs="Calibri"/>
          <w:bCs/>
        </w:rPr>
        <w:t xml:space="preserve">d five response options in the </w:t>
      </w:r>
      <w:r w:rsidR="00CD0AFD" w:rsidRPr="00CD0AFD">
        <w:rPr>
          <w:rFonts w:ascii="Calibri" w:hAnsi="Calibri" w:cs="Calibri"/>
          <w:bCs/>
        </w:rPr>
        <w:t xml:space="preserve">“definitely same”, “maybe same”, “don’t know”, “maybe different”, and “definitely different”. </w:t>
      </w:r>
      <w:r w:rsidR="00353778">
        <w:rPr>
          <w:rFonts w:ascii="Calibri" w:hAnsi="Calibri" w:cs="Calibri"/>
          <w:bCs/>
        </w:rPr>
        <w:t>There is no “neutral” response option. But,</w:t>
      </w:r>
      <w:r w:rsidR="00CD0AFD" w:rsidRPr="00CD0AFD">
        <w:rPr>
          <w:rFonts w:ascii="Calibri" w:hAnsi="Calibri" w:cs="Calibri"/>
          <w:bCs/>
        </w:rPr>
        <w:t xml:space="preserve"> indeed, if </w:t>
      </w:r>
      <w:r w:rsidR="00CD0AFD">
        <w:rPr>
          <w:rFonts w:ascii="Calibri" w:hAnsi="Calibri" w:cs="Calibri"/>
          <w:bCs/>
        </w:rPr>
        <w:t xml:space="preserve">one participant had pressed always the “definitely” response options, but would be correct in 50% of trials only, </w:t>
      </w:r>
      <w:r w:rsidR="00353778">
        <w:rPr>
          <w:rFonts w:ascii="Calibri" w:hAnsi="Calibri" w:cs="Calibri"/>
          <w:bCs/>
        </w:rPr>
        <w:t>they</w:t>
      </w:r>
      <w:r w:rsidR="00CD0AFD">
        <w:rPr>
          <w:rFonts w:ascii="Calibri" w:hAnsi="Calibri" w:cs="Calibri"/>
          <w:bCs/>
        </w:rPr>
        <w:t xml:space="preserve"> would have the same score as someone who always pressed “don’t know”, which is exactly 0 in both cases. From a theoretical point of view, these two participants differ in their response style, but not in their sensitivity to musically expressed information. In terms of sensitivity, both are at chance level, but while one is more cautious (by pressing “don’t know”), the other one is more confident and thus sometimes confidently wrong. In signal detection theory, this i</w:t>
      </w:r>
      <w:r w:rsidR="00353778">
        <w:rPr>
          <w:rFonts w:ascii="Calibri" w:hAnsi="Calibri" w:cs="Calibri"/>
          <w:bCs/>
        </w:rPr>
        <w:t>s</w:t>
      </w:r>
      <w:r w:rsidR="00CD0AFD">
        <w:rPr>
          <w:rFonts w:ascii="Calibri" w:hAnsi="Calibri" w:cs="Calibri"/>
          <w:bCs/>
        </w:rPr>
        <w:t xml:space="preserve"> often referred to as the “criterion”. Our measure of interest was about sensitivity, and not</w:t>
      </w:r>
      <w:bookmarkStart w:id="0" w:name="_GoBack"/>
      <w:bookmarkEnd w:id="0"/>
      <w:r w:rsidR="00CD0AFD">
        <w:rPr>
          <w:rFonts w:ascii="Calibri" w:hAnsi="Calibri" w:cs="Calibri"/>
          <w:bCs/>
        </w:rPr>
        <w:t xml:space="preserve"> about differences in the response style, so we consider our approach valid. </w:t>
      </w:r>
    </w:p>
    <w:p w14:paraId="3B7E0811" w14:textId="4A67225A" w:rsidR="00B32F54" w:rsidRPr="00353778" w:rsidRDefault="00353778" w:rsidP="00CD0AFD">
      <w:pPr>
        <w:rPr>
          <w:rFonts w:ascii="Calibri" w:hAnsi="Calibri" w:cs="Calibri"/>
          <w:bCs/>
        </w:rPr>
      </w:pPr>
      <w:r w:rsidRPr="00353778">
        <w:rPr>
          <w:rFonts w:ascii="Calibri" w:hAnsi="Calibri" w:cs="Calibri"/>
          <w:bCs/>
        </w:rPr>
        <w:t>Concerning your</w:t>
      </w:r>
      <w:r>
        <w:rPr>
          <w:rFonts w:ascii="Calibri" w:hAnsi="Calibri" w:cs="Calibri"/>
          <w:bCs/>
        </w:rPr>
        <w:t xml:space="preserve"> second</w:t>
      </w:r>
      <w:r w:rsidRPr="00353778">
        <w:rPr>
          <w:rFonts w:ascii="Calibri" w:hAnsi="Calibri" w:cs="Calibri"/>
          <w:bCs/>
        </w:rPr>
        <w:t xml:space="preserve"> </w:t>
      </w:r>
      <w:r>
        <w:rPr>
          <w:rFonts w:ascii="Calibri" w:hAnsi="Calibri" w:cs="Calibri"/>
          <w:bCs/>
        </w:rPr>
        <w:t>suggestion</w:t>
      </w:r>
      <w:r w:rsidRPr="00353778">
        <w:rPr>
          <w:rFonts w:ascii="Calibri" w:hAnsi="Calibri" w:cs="Calibri"/>
          <w:bCs/>
        </w:rPr>
        <w:t>, we included some additional analyses on OSF (R-files “01c_PROMS_data_analysis_amateurs_partI.R”</w:t>
      </w:r>
      <w:r>
        <w:rPr>
          <w:rFonts w:ascii="Calibri" w:hAnsi="Calibri" w:cs="Calibri"/>
          <w:bCs/>
        </w:rPr>
        <w:t>).</w:t>
      </w:r>
      <w:r w:rsidRPr="00353778">
        <w:rPr>
          <w:rFonts w:ascii="Calibri" w:hAnsi="Calibri" w:cs="Calibri"/>
          <w:bCs/>
        </w:rPr>
        <w:t xml:space="preserve"> </w:t>
      </w:r>
      <w:r>
        <w:rPr>
          <w:rFonts w:ascii="Calibri" w:hAnsi="Calibri" w:cs="Calibri"/>
          <w:bCs/>
        </w:rPr>
        <w:t xml:space="preserve">Importantly, we checked whether the number of “don’t know” responses differs between groups. There are no differences in any of the PROMS subtests between singers and instrumentalists, and thus we conclude that they had a similar response style as well. </w:t>
      </w:r>
    </w:p>
    <w:sectPr w:rsidR="00B32F54" w:rsidRPr="00353778" w:rsidSect="009A5FC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EA0C4" w14:textId="77777777" w:rsidR="00FF6CC1" w:rsidRDefault="00FF6CC1" w:rsidP="00C62B5E">
      <w:pPr>
        <w:spacing w:after="0" w:line="240" w:lineRule="auto"/>
      </w:pPr>
      <w:r>
        <w:separator/>
      </w:r>
    </w:p>
  </w:endnote>
  <w:endnote w:type="continuationSeparator" w:id="0">
    <w:p w14:paraId="60956815" w14:textId="77777777" w:rsidR="00FF6CC1" w:rsidRDefault="00FF6CC1" w:rsidP="00C6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66978" w14:textId="77777777" w:rsidR="00FF6CC1" w:rsidRDefault="00FF6CC1" w:rsidP="00C62B5E">
      <w:pPr>
        <w:spacing w:after="0" w:line="240" w:lineRule="auto"/>
      </w:pPr>
      <w:r>
        <w:separator/>
      </w:r>
    </w:p>
  </w:footnote>
  <w:footnote w:type="continuationSeparator" w:id="0">
    <w:p w14:paraId="48471770" w14:textId="77777777" w:rsidR="00FF6CC1" w:rsidRDefault="00FF6CC1" w:rsidP="00C6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CF4"/>
    <w:multiLevelType w:val="hybridMultilevel"/>
    <w:tmpl w:val="C0262B26"/>
    <w:lvl w:ilvl="0" w:tplc="CEBCA9D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02FC3"/>
    <w:rsid w:val="00004A49"/>
    <w:rsid w:val="00014CA1"/>
    <w:rsid w:val="0005749E"/>
    <w:rsid w:val="000672CF"/>
    <w:rsid w:val="000703F1"/>
    <w:rsid w:val="00072454"/>
    <w:rsid w:val="00095556"/>
    <w:rsid w:val="000B1C96"/>
    <w:rsid w:val="000E7F2A"/>
    <w:rsid w:val="00115EDE"/>
    <w:rsid w:val="00120CC5"/>
    <w:rsid w:val="00154823"/>
    <w:rsid w:val="00164985"/>
    <w:rsid w:val="001C1D45"/>
    <w:rsid w:val="001E7879"/>
    <w:rsid w:val="00247322"/>
    <w:rsid w:val="002527E6"/>
    <w:rsid w:val="00264886"/>
    <w:rsid w:val="002665AD"/>
    <w:rsid w:val="00276124"/>
    <w:rsid w:val="00276F64"/>
    <w:rsid w:val="002818A4"/>
    <w:rsid w:val="00291B60"/>
    <w:rsid w:val="00293040"/>
    <w:rsid w:val="00294F7E"/>
    <w:rsid w:val="002A17FD"/>
    <w:rsid w:val="002A76DF"/>
    <w:rsid w:val="002A77A0"/>
    <w:rsid w:val="002A7AAC"/>
    <w:rsid w:val="002D3CD3"/>
    <w:rsid w:val="002E1C32"/>
    <w:rsid w:val="00333073"/>
    <w:rsid w:val="00353778"/>
    <w:rsid w:val="00382C37"/>
    <w:rsid w:val="003A3689"/>
    <w:rsid w:val="003E0238"/>
    <w:rsid w:val="00403B05"/>
    <w:rsid w:val="00415AD3"/>
    <w:rsid w:val="00424818"/>
    <w:rsid w:val="00443E55"/>
    <w:rsid w:val="00443E5F"/>
    <w:rsid w:val="004B5A19"/>
    <w:rsid w:val="004C7A97"/>
    <w:rsid w:val="004F067A"/>
    <w:rsid w:val="005078B1"/>
    <w:rsid w:val="0051000D"/>
    <w:rsid w:val="00520A55"/>
    <w:rsid w:val="00523B4D"/>
    <w:rsid w:val="00530A7B"/>
    <w:rsid w:val="0054230E"/>
    <w:rsid w:val="00575793"/>
    <w:rsid w:val="005C104A"/>
    <w:rsid w:val="005C3BB3"/>
    <w:rsid w:val="005D06CA"/>
    <w:rsid w:val="00600861"/>
    <w:rsid w:val="006108F2"/>
    <w:rsid w:val="00645734"/>
    <w:rsid w:val="0065523E"/>
    <w:rsid w:val="006B47F2"/>
    <w:rsid w:val="006C1A92"/>
    <w:rsid w:val="006C4B6C"/>
    <w:rsid w:val="006C732B"/>
    <w:rsid w:val="00727109"/>
    <w:rsid w:val="007363EC"/>
    <w:rsid w:val="00747B6A"/>
    <w:rsid w:val="00793E1D"/>
    <w:rsid w:val="007A40EA"/>
    <w:rsid w:val="008015F3"/>
    <w:rsid w:val="00821DFF"/>
    <w:rsid w:val="00846BB2"/>
    <w:rsid w:val="008A0884"/>
    <w:rsid w:val="008A6F81"/>
    <w:rsid w:val="008E1266"/>
    <w:rsid w:val="008F7215"/>
    <w:rsid w:val="008F786B"/>
    <w:rsid w:val="0093566A"/>
    <w:rsid w:val="00940640"/>
    <w:rsid w:val="00950892"/>
    <w:rsid w:val="00973F81"/>
    <w:rsid w:val="00977F35"/>
    <w:rsid w:val="00987B10"/>
    <w:rsid w:val="00987D43"/>
    <w:rsid w:val="0099244B"/>
    <w:rsid w:val="009A5CDD"/>
    <w:rsid w:val="009A5FCE"/>
    <w:rsid w:val="009A7AEE"/>
    <w:rsid w:val="009B09D9"/>
    <w:rsid w:val="009F0AEA"/>
    <w:rsid w:val="00A34AF5"/>
    <w:rsid w:val="00A51ECF"/>
    <w:rsid w:val="00A900AD"/>
    <w:rsid w:val="00AA0B3C"/>
    <w:rsid w:val="00AE1B85"/>
    <w:rsid w:val="00AE3263"/>
    <w:rsid w:val="00AF31B9"/>
    <w:rsid w:val="00AF7C53"/>
    <w:rsid w:val="00B01A9E"/>
    <w:rsid w:val="00B30145"/>
    <w:rsid w:val="00B32F54"/>
    <w:rsid w:val="00B44972"/>
    <w:rsid w:val="00B6212E"/>
    <w:rsid w:val="00BB0E34"/>
    <w:rsid w:val="00BE1025"/>
    <w:rsid w:val="00BE24FD"/>
    <w:rsid w:val="00C02563"/>
    <w:rsid w:val="00C20EF8"/>
    <w:rsid w:val="00C36205"/>
    <w:rsid w:val="00C62B5E"/>
    <w:rsid w:val="00CD0AFD"/>
    <w:rsid w:val="00CD60BC"/>
    <w:rsid w:val="00D3724E"/>
    <w:rsid w:val="00D54A75"/>
    <w:rsid w:val="00D712D5"/>
    <w:rsid w:val="00D958F5"/>
    <w:rsid w:val="00DA35C0"/>
    <w:rsid w:val="00DB6358"/>
    <w:rsid w:val="00DB7759"/>
    <w:rsid w:val="00DC0114"/>
    <w:rsid w:val="00DC1130"/>
    <w:rsid w:val="00DE1E8E"/>
    <w:rsid w:val="00DE5E43"/>
    <w:rsid w:val="00DF631F"/>
    <w:rsid w:val="00E448A0"/>
    <w:rsid w:val="00E6695D"/>
    <w:rsid w:val="00E81545"/>
    <w:rsid w:val="00EA06B4"/>
    <w:rsid w:val="00ED03D8"/>
    <w:rsid w:val="00ED726C"/>
    <w:rsid w:val="00EF568F"/>
    <w:rsid w:val="00F11B91"/>
    <w:rsid w:val="00F17B6C"/>
    <w:rsid w:val="00F91E4E"/>
    <w:rsid w:val="00FB3503"/>
    <w:rsid w:val="00FF004B"/>
    <w:rsid w:val="00FF6CC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 w:type="paragraph" w:styleId="Kopfzeile">
    <w:name w:val="header"/>
    <w:basedOn w:val="Standard"/>
    <w:link w:val="KopfzeileZchn"/>
    <w:uiPriority w:val="99"/>
    <w:unhideWhenUsed/>
    <w:rsid w:val="00C62B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B5E"/>
  </w:style>
  <w:style w:type="paragraph" w:styleId="Fuzeile">
    <w:name w:val="footer"/>
    <w:basedOn w:val="Standard"/>
    <w:link w:val="FuzeileZchn"/>
    <w:uiPriority w:val="99"/>
    <w:unhideWhenUsed/>
    <w:rsid w:val="00C62B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B5E"/>
  </w:style>
  <w:style w:type="character" w:styleId="BesuchterLink">
    <w:name w:val="FollowedHyperlink"/>
    <w:basedOn w:val="Absatz-Standardschriftart"/>
    <w:uiPriority w:val="99"/>
    <w:semiHidden/>
    <w:unhideWhenUsed/>
    <w:rsid w:val="008F72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E4A03-E612-48CC-A1AA-D6981C24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2344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36</cp:revision>
  <dcterms:created xsi:type="dcterms:W3CDTF">2025-09-03T13:26:00Z</dcterms:created>
  <dcterms:modified xsi:type="dcterms:W3CDTF">2025-10-15T12:49:00Z</dcterms:modified>
</cp:coreProperties>
</file>