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w:t>
      </w:r>
      <w:proofErr w:type="gramStart"/>
      <w:r w:rsidRPr="002A7AAC">
        <w:rPr>
          <w:rFonts w:ascii="Calibri" w:hAnsi="Calibri" w:cs="Calibri"/>
          <w:b/>
          <w:bCs/>
        </w:rPr>
        <w:t>)</w:t>
      </w:r>
      <w:proofErr w:type="gramEnd"/>
      <w:r w:rsidRPr="002A7AAC">
        <w:rPr>
          <w:rFonts w:ascii="Calibri" w:hAnsi="Calibri" w:cs="Calibri"/>
          <w:b/>
          <w:bCs/>
        </w:rPr>
        <w:t xml:space="preserve"> and cognitive levels (musicality, musical activity) may play little role in this respect. The findings do contribute to </w:t>
      </w:r>
      <w:proofErr w:type="gramStart"/>
      <w:r w:rsidRPr="002A7AAC">
        <w:rPr>
          <w:rFonts w:ascii="Calibri" w:hAnsi="Calibri" w:cs="Calibri"/>
          <w:b/>
          <w:bCs/>
        </w:rPr>
        <w:t>the literature</w:t>
      </w:r>
      <w:proofErr w:type="gramEnd"/>
      <w:r w:rsidRPr="002A7AAC">
        <w:rPr>
          <w:rFonts w:ascii="Calibri" w:hAnsi="Calibri" w:cs="Calibri"/>
          <w:b/>
          <w:bCs/>
        </w:rPr>
        <w:t>.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w:t>
      </w:r>
      <w:proofErr w:type="gramStart"/>
      <w:r w:rsidRPr="002A7AAC">
        <w:rPr>
          <w:rFonts w:ascii="Calibri" w:hAnsi="Calibri" w:cs="Calibri"/>
          <w:b/>
          <w:bCs/>
        </w:rPr>
        <w:t>exploratory</w:t>
      </w:r>
      <w:proofErr w:type="gramEnd"/>
      <w:r w:rsidRPr="002A7AAC">
        <w:rPr>
          <w:rFonts w:ascii="Calibri" w:hAnsi="Calibri" w:cs="Calibri"/>
          <w:b/>
          <w:bCs/>
        </w:rPr>
        <w:t xml:space="preserve"> analyses were conducted, which is acceptable </w:t>
      </w:r>
      <w:proofErr w:type="gramStart"/>
      <w:r w:rsidRPr="002A7AAC">
        <w:rPr>
          <w:rFonts w:ascii="Calibri" w:hAnsi="Calibri" w:cs="Calibri"/>
          <w:b/>
          <w:bCs/>
        </w:rPr>
        <w:t>as long as</w:t>
      </w:r>
      <w:proofErr w:type="gramEnd"/>
      <w:r w:rsidRPr="002A7AAC">
        <w:rPr>
          <w:rFonts w:ascii="Calibri" w:hAnsi="Calibri" w:cs="Calibri"/>
          <w:b/>
          <w:bCs/>
        </w:rPr>
        <w:t xml:space="preserve">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77777777" w:rsidR="008F786B" w:rsidRPr="002A7AAC" w:rsidRDefault="008F786B" w:rsidP="008F786B">
      <w:pPr>
        <w:pStyle w:val="Listenabsatz"/>
        <w:numPr>
          <w:ilvl w:val="0"/>
          <w:numId w:val="2"/>
        </w:numPr>
        <w:rPr>
          <w:rFonts w:ascii="Calibri" w:hAnsi="Calibri" w:cs="Calibri"/>
          <w:b/>
          <w:bCs/>
          <w:color w:val="C00000"/>
        </w:rPr>
      </w:pPr>
      <w:r w:rsidRPr="002A7AAC">
        <w:rPr>
          <w:rFonts w:ascii="Calibri" w:hAnsi="Calibri" w:cs="Calibri"/>
          <w:b/>
          <w:bCs/>
          <w:color w:val="C00000"/>
        </w:rPr>
        <w:t xml:space="preserve">Reviewer #1: Humans operate at </w:t>
      </w:r>
      <w:proofErr w:type="gramStart"/>
      <w:r w:rsidRPr="002A7AAC">
        <w:rPr>
          <w:rFonts w:ascii="Calibri" w:hAnsi="Calibri" w:cs="Calibri"/>
          <w:b/>
          <w:bCs/>
          <w:color w:val="C00000"/>
        </w:rPr>
        <w:t>different,</w:t>
      </w:r>
      <w:proofErr w:type="gramEnd"/>
      <w:r w:rsidRPr="002A7AAC">
        <w:rPr>
          <w:rFonts w:ascii="Calibri" w:hAnsi="Calibri" w:cs="Calibri"/>
          <w:b/>
          <w:bCs/>
          <w:color w:val="C00000"/>
        </w:rPr>
        <w:t xml:space="preserve"> but highly intertwined levels, perceptual, cognitive, social. There is constant interaction between those. The authors conducted a study to suggest that VER is likely "programmed" to some degree in the </w:t>
      </w:r>
      <w:r w:rsidRPr="002A7AAC">
        <w:rPr>
          <w:rFonts w:ascii="Calibri" w:hAnsi="Calibri" w:cs="Calibri"/>
          <w:b/>
          <w:bCs/>
          <w:color w:val="C00000"/>
        </w:rPr>
        <w:lastRenderedPageBreak/>
        <w:t xml:space="preserve">nervous system. If it could be modified by learning, music is less a candidate than it might seem. This is a fair conclusion from the </w:t>
      </w:r>
      <w:proofErr w:type="gramStart"/>
      <w:r w:rsidRPr="002A7AAC">
        <w:rPr>
          <w:rFonts w:ascii="Calibri" w:hAnsi="Calibri" w:cs="Calibri"/>
          <w:b/>
          <w:bCs/>
          <w:color w:val="C00000"/>
        </w:rPr>
        <w:t>literature,</w:t>
      </w:r>
      <w:proofErr w:type="gramEnd"/>
      <w:r w:rsidRPr="002A7AAC">
        <w:rPr>
          <w:rFonts w:ascii="Calibri" w:hAnsi="Calibri" w:cs="Calibri"/>
          <w:b/>
          <w:bCs/>
          <w:color w:val="C00000"/>
        </w:rPr>
        <w:t xml:space="preserv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w:t>
      </w:r>
      <w:proofErr w:type="gramStart"/>
      <w:r w:rsidRPr="002A7AAC">
        <w:rPr>
          <w:rFonts w:ascii="Calibri" w:hAnsi="Calibri" w:cs="Calibri"/>
          <w:b/>
          <w:bCs/>
          <w:color w:val="C00000"/>
        </w:rPr>
        <w:t>explain,</w:t>
      </w:r>
      <w:proofErr w:type="gramEnd"/>
      <w:r w:rsidRPr="002A7AAC">
        <w:rPr>
          <w:rFonts w:ascii="Calibri" w:hAnsi="Calibri" w:cs="Calibri"/>
          <w:b/>
          <w:bCs/>
          <w:color w:val="C00000"/>
        </w:rPr>
        <w:t xml:space="preserve"> why musicianship should play a role in such short utterances. I am aware that the "springboard" seems to be initial positive findings, but does that warrant </w:t>
      </w:r>
      <w:proofErr w:type="gramStart"/>
      <w:r w:rsidRPr="002A7AAC">
        <w:rPr>
          <w:rFonts w:ascii="Calibri" w:hAnsi="Calibri" w:cs="Calibri"/>
          <w:b/>
          <w:bCs/>
          <w:color w:val="C00000"/>
        </w:rPr>
        <w:t>continued</w:t>
      </w:r>
      <w:proofErr w:type="gramEnd"/>
      <w:r w:rsidRPr="002A7AAC">
        <w:rPr>
          <w:rFonts w:ascii="Calibri" w:hAnsi="Calibri" w:cs="Calibri"/>
          <w:b/>
          <w:bCs/>
          <w:color w:val="C00000"/>
        </w:rPr>
        <w:t xml:space="preserve"> investigations? Why should vocalists have an advantage? But the test amounts to show they do not have one. Why </w:t>
      </w:r>
      <w:proofErr w:type="gramStart"/>
      <w:r w:rsidRPr="002A7AAC">
        <w:rPr>
          <w:rFonts w:ascii="Calibri" w:hAnsi="Calibri" w:cs="Calibri"/>
          <w:b/>
          <w:bCs/>
          <w:color w:val="C00000"/>
        </w:rPr>
        <w:t>it is</w:t>
      </w:r>
      <w:proofErr w:type="gramEnd"/>
      <w:r w:rsidRPr="002A7AAC">
        <w:rPr>
          <w:rFonts w:ascii="Calibri" w:hAnsi="Calibri" w:cs="Calibri"/>
          <w:b/>
          <w:bCs/>
          <w:color w:val="C00000"/>
        </w:rPr>
        <w:t xml:space="preserve"> important to confirm this? Any indication in the literature </w:t>
      </w:r>
      <w:proofErr w:type="gramStart"/>
      <w:r w:rsidRPr="002A7AAC">
        <w:rPr>
          <w:rFonts w:ascii="Calibri" w:hAnsi="Calibri" w:cs="Calibri"/>
          <w:b/>
          <w:bCs/>
          <w:color w:val="C00000"/>
        </w:rPr>
        <w:t>expect</w:t>
      </w:r>
      <w:proofErr w:type="gramEnd"/>
      <w:r w:rsidRPr="002A7AAC">
        <w:rPr>
          <w:rFonts w:ascii="Calibri" w:hAnsi="Calibri" w:cs="Calibri"/>
          <w:b/>
          <w:bCs/>
          <w:color w:val="C00000"/>
        </w:rPr>
        <w:t xml:space="preserve"> the opposite? In other </w:t>
      </w:r>
      <w:proofErr w:type="gramStart"/>
      <w:r w:rsidRPr="002A7AAC">
        <w:rPr>
          <w:rFonts w:ascii="Calibri" w:hAnsi="Calibri" w:cs="Calibri"/>
          <w:b/>
          <w:bCs/>
          <w:color w:val="C00000"/>
        </w:rPr>
        <w:t>words</w:t>
      </w:r>
      <w:proofErr w:type="gramEnd"/>
      <w:r w:rsidRPr="002A7AAC">
        <w:rPr>
          <w:rFonts w:ascii="Calibri" w:hAnsi="Calibri" w:cs="Calibri"/>
          <w:b/>
          <w:bCs/>
          <w:color w:val="C00000"/>
        </w:rPr>
        <w:t xml:space="preserve"> is this an original hypothesis or an exploration?</w:t>
      </w:r>
    </w:p>
    <w:p w14:paraId="4D4D7E71" w14:textId="2416A0A4"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E167F81" w14:textId="77777777" w:rsidR="008F786B" w:rsidRPr="00727109" w:rsidRDefault="008F786B" w:rsidP="008F786B">
      <w:pPr>
        <w:pStyle w:val="Listenabsatz"/>
        <w:rPr>
          <w:rFonts w:ascii="Calibri" w:hAnsi="Calibri" w:cs="Calibri"/>
          <w:b/>
          <w:bCs/>
        </w:rPr>
      </w:pPr>
    </w:p>
    <w:p w14:paraId="7B3918BE"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w:t>
      </w:r>
      <w:proofErr w:type="gramStart"/>
      <w:r w:rsidRPr="002A7AAC">
        <w:rPr>
          <w:rFonts w:ascii="Calibri" w:hAnsi="Calibri" w:cs="Calibri"/>
          <w:b/>
          <w:bCs/>
          <w:color w:val="E97132" w:themeColor="accent2"/>
        </w:rPr>
        <w:t>more or less strongly</w:t>
      </w:r>
      <w:proofErr w:type="gramEnd"/>
      <w:r w:rsidRPr="002A7AAC">
        <w:rPr>
          <w:rFonts w:ascii="Calibri" w:hAnsi="Calibri" w:cs="Calibri"/>
          <w:b/>
          <w:bCs/>
          <w:color w:val="E97132" w:themeColor="accent2"/>
        </w:rPr>
        <w:t xml:space="preserve"> by morph type (interaction), which seems to make the picture more complicated. Indeed, the selection of emotions (p.10) appears not intuitive. The rationale to use happiness and pleasure (alongside fear and sadness) as distinct categories should be explained. Is there a circumplex-idea in the background? Could it be confirmed that the four emotions occupy four quadrants? Otherwise, there could be a confound arising from similarity and differences of underlying dimensions of the four emotions. - Please explain.</w:t>
      </w:r>
    </w:p>
    <w:p w14:paraId="39F0B83C" w14:textId="256E87C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87726A9" w14:textId="77777777" w:rsidR="008F786B" w:rsidRPr="00727109" w:rsidRDefault="008F786B" w:rsidP="008F786B">
      <w:pPr>
        <w:pStyle w:val="Listenabsatz"/>
        <w:rPr>
          <w:rFonts w:ascii="Calibri" w:hAnsi="Calibri" w:cs="Calibri"/>
          <w:b/>
          <w:bCs/>
        </w:rPr>
      </w:pPr>
    </w:p>
    <w:p w14:paraId="25A6C3AF" w14:textId="688DF5A6"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I wonder whether VER could be "boiled down" to the ability to recognize and differentiate pitch contours vocal utterances, with anything going up indicating arousal, and downward indicating relaxation to guess the correct emotion </w:t>
      </w:r>
      <w:proofErr w:type="gramStart"/>
      <w:r w:rsidRPr="002A7AAC">
        <w:rPr>
          <w:rFonts w:ascii="Calibri" w:hAnsi="Calibri" w:cs="Calibri"/>
          <w:b/>
          <w:bCs/>
          <w:color w:val="E97132" w:themeColor="accent2"/>
        </w:rPr>
        <w:t>on the basis of</w:t>
      </w:r>
      <w:proofErr w:type="gramEnd"/>
      <w:r w:rsidRPr="002A7AAC">
        <w:rPr>
          <w:rFonts w:ascii="Calibri" w:hAnsi="Calibri" w:cs="Calibri"/>
          <w:b/>
          <w:bCs/>
          <w:color w:val="E97132" w:themeColor="accent2"/>
        </w:rPr>
        <w:t xml:space="preserve">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4B1E3655" w14:textId="5C98FB21"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BEF1F48" w14:textId="77777777" w:rsidR="008F786B" w:rsidRPr="00727109" w:rsidRDefault="008F786B" w:rsidP="008F786B">
      <w:pPr>
        <w:pStyle w:val="Listenabsatz"/>
        <w:rPr>
          <w:rFonts w:ascii="Calibri" w:hAnsi="Calibri" w:cs="Calibri"/>
          <w:b/>
          <w:bCs/>
        </w:rPr>
      </w:pPr>
    </w:p>
    <w:p w14:paraId="67F9A6F0"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Reviewer #2: In general, the writing is very clear.  My one main suggestion is to emphasize the big picture more. If individual differences in vocal emotion </w:t>
      </w:r>
      <w:r w:rsidRPr="002A7AAC">
        <w:rPr>
          <w:rFonts w:ascii="Calibri" w:hAnsi="Calibri" w:cs="Calibri"/>
          <w:b/>
          <w:bCs/>
          <w:color w:val="E97132" w:themeColor="accent2"/>
        </w:rPr>
        <w:lastRenderedPageBreak/>
        <w:t>recognition are caused by an environmental factor (i.e., music training/performing in this instance), one would expect such differences to depend on the quality and quantity of the environmental intervention, yet none was found.</w:t>
      </w:r>
    </w:p>
    <w:p w14:paraId="028CE206" w14:textId="3202CB7A"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F863ABF" w14:textId="77777777" w:rsidR="008F786B" w:rsidRPr="00727109" w:rsidRDefault="008F786B" w:rsidP="008F786B">
      <w:pPr>
        <w:pStyle w:val="Listenabsatz"/>
        <w:rPr>
          <w:rFonts w:ascii="Calibri" w:hAnsi="Calibri" w:cs="Calibri"/>
          <w:b/>
          <w:bCs/>
        </w:rPr>
      </w:pPr>
    </w:p>
    <w:p w14:paraId="3B491296" w14:textId="1253BD04"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 xml:space="preserve">I also thought that the </w:t>
      </w:r>
      <w:proofErr w:type="spellStart"/>
      <w:r w:rsidRPr="002A7AAC">
        <w:rPr>
          <w:rFonts w:ascii="Calibri" w:hAnsi="Calibri" w:cs="Calibri"/>
          <w:b/>
          <w:bCs/>
          <w:color w:val="275317" w:themeColor="accent6" w:themeShade="80"/>
        </w:rPr>
        <w:t>ms</w:t>
      </w:r>
      <w:proofErr w:type="spellEnd"/>
      <w:r w:rsidRPr="002A7AAC">
        <w:rPr>
          <w:rFonts w:ascii="Calibri" w:hAnsi="Calibri" w:cs="Calibri"/>
          <w:b/>
          <w:bCs/>
          <w:color w:val="275317" w:themeColor="accent6" w:themeShade="80"/>
        </w:rPr>
        <w:t xml:space="preserve"> could be streamlined a bit more by not repeating details that were included in the authors' earlier publication (Nussbaum et al., 2024</w:t>
      </w:r>
      <w:proofErr w:type="gramStart"/>
      <w:r w:rsidRPr="002A7AAC">
        <w:rPr>
          <w:rFonts w:ascii="Calibri" w:hAnsi="Calibri" w:cs="Calibri"/>
          <w:b/>
          <w:bCs/>
          <w:color w:val="275317" w:themeColor="accent6" w:themeShade="80"/>
        </w:rPr>
        <w:t>), but</w:t>
      </w:r>
      <w:proofErr w:type="gramEnd"/>
      <w:r w:rsidRPr="002A7AAC">
        <w:rPr>
          <w:rFonts w:ascii="Calibri" w:hAnsi="Calibri" w:cs="Calibri"/>
          <w:b/>
          <w:bCs/>
          <w:color w:val="275317" w:themeColor="accent6" w:themeShade="80"/>
        </w:rPr>
        <w:t xml:space="preserve"> rather referring </w:t>
      </w:r>
      <w:proofErr w:type="gramStart"/>
      <w:r w:rsidRPr="002A7AAC">
        <w:rPr>
          <w:rFonts w:ascii="Calibri" w:hAnsi="Calibri" w:cs="Calibri"/>
          <w:b/>
          <w:bCs/>
          <w:color w:val="275317" w:themeColor="accent6" w:themeShade="80"/>
        </w:rPr>
        <w:t>the reader to the</w:t>
      </w:r>
      <w:proofErr w:type="gramEnd"/>
      <w:r w:rsidRPr="002A7AAC">
        <w:rPr>
          <w:rFonts w:ascii="Calibri" w:hAnsi="Calibri" w:cs="Calibri"/>
          <w:b/>
          <w:bCs/>
          <w:color w:val="275317" w:themeColor="accent6" w:themeShade="80"/>
        </w:rPr>
        <w:t xml:space="preserve"> previous article. The authors do this to some extent already. I'm wondering if they could do it more without making reading the earlier paper a prerequisite for understanding the present submission.</w:t>
      </w:r>
    </w:p>
    <w:p w14:paraId="5C8D3E6E" w14:textId="7A0FA560"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D5ADFAD" w14:textId="77777777" w:rsidR="008F786B" w:rsidRPr="00727109" w:rsidRDefault="008F786B" w:rsidP="008F786B">
      <w:pPr>
        <w:pStyle w:val="Listenabsatz"/>
        <w:rPr>
          <w:rFonts w:ascii="Calibri" w:hAnsi="Calibri" w:cs="Calibri"/>
          <w:b/>
          <w:bCs/>
        </w:rPr>
      </w:pPr>
    </w:p>
    <w:p w14:paraId="0D6568C8"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Reviewer #3: Major issues: Q1. Transparency and preregistration</w:t>
      </w:r>
      <w:r w:rsidRPr="002A7AAC">
        <w:rPr>
          <w:rFonts w:ascii="Calibri" w:hAnsi="Calibri" w:cs="Calibri"/>
          <w:b/>
          <w:bCs/>
          <w:color w:val="275317" w:themeColor="accent6" w:themeShade="80"/>
        </w:rPr>
        <w:br/>
        <w:t xml:space="preserve">The study claims to follow open science principles through preregistration. However, the preregistration was </w:t>
      </w:r>
      <w:proofErr w:type="spellStart"/>
      <w:r w:rsidRPr="002A7AAC">
        <w:rPr>
          <w:rFonts w:ascii="Calibri" w:hAnsi="Calibri" w:cs="Calibri"/>
          <w:b/>
          <w:bCs/>
          <w:color w:val="275317" w:themeColor="accent6" w:themeShade="80"/>
        </w:rPr>
        <w:t>submitten</w:t>
      </w:r>
      <w:proofErr w:type="spellEnd"/>
      <w:r w:rsidRPr="002A7AAC">
        <w:rPr>
          <w:rFonts w:ascii="Calibri" w:hAnsi="Calibri" w:cs="Calibri"/>
          <w:b/>
          <w:bCs/>
          <w:color w:val="275317" w:themeColor="accent6" w:themeShade="80"/>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2A7AAC">
        <w:rPr>
          <w:rFonts w:ascii="Calibri" w:hAnsi="Calibri" w:cs="Calibri"/>
          <w:b/>
          <w:bCs/>
          <w:color w:val="275317" w:themeColor="accent6" w:themeShade="80"/>
        </w:rPr>
        <w:br/>
        <w:t>This is my major concern and I would like the authors to elaborate on this, in the manuscript primarily, but of course also in their response.</w:t>
      </w:r>
    </w:p>
    <w:p w14:paraId="7F955A0D" w14:textId="11A734B9"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6717FD3" w14:textId="77777777" w:rsidR="008F786B" w:rsidRPr="00727109" w:rsidRDefault="008F786B" w:rsidP="008F786B">
      <w:pPr>
        <w:pStyle w:val="Listenabsatz"/>
        <w:rPr>
          <w:rFonts w:ascii="Calibri" w:hAnsi="Calibri" w:cs="Calibri"/>
          <w:b/>
          <w:bCs/>
        </w:rPr>
      </w:pPr>
    </w:p>
    <w:p w14:paraId="6FB3D071" w14:textId="77777777" w:rsidR="008F786B" w:rsidRPr="002A7AAC" w:rsidRDefault="008F786B" w:rsidP="008F786B">
      <w:pPr>
        <w:pStyle w:val="Listenabsatz"/>
        <w:numPr>
          <w:ilvl w:val="0"/>
          <w:numId w:val="2"/>
        </w:numPr>
        <w:rPr>
          <w:rFonts w:ascii="Calibri" w:hAnsi="Calibri" w:cs="Calibri"/>
          <w:b/>
          <w:bCs/>
          <w:color w:val="275317" w:themeColor="accent6" w:themeShade="80"/>
        </w:rPr>
      </w:pPr>
      <w:r w:rsidRPr="002A7AAC">
        <w:rPr>
          <w:rFonts w:ascii="Calibri" w:hAnsi="Calibri" w:cs="Calibri"/>
          <w:b/>
          <w:bCs/>
          <w:color w:val="275317" w:themeColor="accent6" w:themeShade="80"/>
        </w:rPr>
        <w:t>Q2. Coding of PROMS Responses</w:t>
      </w:r>
      <w:r w:rsidRPr="002A7AAC">
        <w:rPr>
          <w:rFonts w:ascii="Calibri" w:hAnsi="Calibri" w:cs="Calibri"/>
          <w:b/>
          <w:bCs/>
          <w:color w:val="275317" w:themeColor="accent6" w:themeShade="80"/>
        </w:rPr>
        <w:br/>
        <w:t xml:space="preserve">The manuscript states: </w:t>
      </w:r>
      <w:r w:rsidRPr="002A7AAC">
        <w:rPr>
          <w:rFonts w:ascii="Calibri" w:hAnsi="Calibri" w:cs="Calibri"/>
          <w:b/>
          <w:bCs/>
          <w:color w:val="275317" w:themeColor="accent6" w:themeShade="80"/>
        </w:rPr>
        <w:br/>
        <w:t>"In alignment with the approach by Nussbaum et al. (2024), we recoded responses in the PROMS from 0 to 1 in 0.25 steps starting with the “definitely” correct option down two the “definitely” incorrect option (thus, “don’t know” was always coded with 0.5) and subtracted 0.5 from the final measure"</w:t>
      </w:r>
      <w:r w:rsidRPr="002A7AAC">
        <w:rPr>
          <w:rFonts w:ascii="Calibri" w:hAnsi="Calibri" w:cs="Calibri"/>
          <w:b/>
          <w:bCs/>
          <w:color w:val="275317" w:themeColor="accent6" w:themeShade="80"/>
        </w:rPr>
        <w:br/>
        <w:t>Should "down two" be "down to"? Is "definitely correct" coded as 0 or as 1? Why is 0.5 added and then subtracted for the “don't know option”. Please explain more clearly.</w:t>
      </w:r>
    </w:p>
    <w:p w14:paraId="137E7042" w14:textId="7B5C808C"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508193" w14:textId="77777777" w:rsidR="008F786B" w:rsidRPr="00727109" w:rsidRDefault="008F786B" w:rsidP="008F786B">
      <w:pPr>
        <w:pStyle w:val="Listenabsatz"/>
        <w:rPr>
          <w:rFonts w:ascii="Calibri" w:hAnsi="Calibri" w:cs="Calibri"/>
          <w:b/>
          <w:bCs/>
        </w:rPr>
      </w:pPr>
    </w:p>
    <w:p w14:paraId="5DE4B7A8"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lastRenderedPageBreak/>
        <w:t>Q3. Justification of Priors</w:t>
      </w:r>
      <w:r w:rsidRPr="002A7AAC">
        <w:rPr>
          <w:rFonts w:ascii="Calibri" w:hAnsi="Calibri" w:cs="Calibri"/>
          <w:b/>
          <w:bCs/>
          <w:color w:val="E97132" w:themeColor="accent2"/>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w:t>
      </w:r>
      <w:proofErr w:type="gramStart"/>
      <w:r w:rsidRPr="002A7AAC">
        <w:rPr>
          <w:rFonts w:ascii="Calibri" w:hAnsi="Calibri" w:cs="Calibri"/>
          <w:b/>
          <w:bCs/>
          <w:color w:val="E97132" w:themeColor="accent2"/>
        </w:rPr>
        <w:t>priors</w:t>
      </w:r>
      <w:proofErr w:type="gramEnd"/>
      <w:r w:rsidRPr="002A7AAC">
        <w:rPr>
          <w:rFonts w:ascii="Calibri" w:hAnsi="Calibri" w:cs="Calibri"/>
          <w:b/>
          <w:bCs/>
          <w:color w:val="E97132" w:themeColor="accent2"/>
        </w:rPr>
        <w:t xml:space="preserve"> </w:t>
      </w:r>
      <w:proofErr w:type="gramStart"/>
      <w:r w:rsidRPr="002A7AAC">
        <w:rPr>
          <w:rFonts w:ascii="Calibri" w:hAnsi="Calibri" w:cs="Calibri"/>
          <w:b/>
          <w:bCs/>
          <w:color w:val="E97132" w:themeColor="accent2"/>
        </w:rPr>
        <w:t>aligns</w:t>
      </w:r>
      <w:proofErr w:type="gramEnd"/>
      <w:r w:rsidRPr="002A7AAC">
        <w:rPr>
          <w:rFonts w:ascii="Calibri" w:hAnsi="Calibri" w:cs="Calibri"/>
          <w:b/>
          <w:bCs/>
          <w:color w:val="E97132" w:themeColor="accent2"/>
        </w:rPr>
        <w:t xml:space="preserve"> with the expected effect size or the theoretical framework of the study (which anticipates a medium effect, as mentioned in the power analysis). Please provide a rationale for the chosen priors.</w:t>
      </w:r>
    </w:p>
    <w:p w14:paraId="28C9BAFA" w14:textId="363246A7"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2A66931B" w14:textId="77777777" w:rsidR="008F786B" w:rsidRPr="00727109" w:rsidRDefault="008F786B" w:rsidP="008F786B">
      <w:pPr>
        <w:pStyle w:val="Listenabsatz"/>
        <w:rPr>
          <w:rFonts w:ascii="Calibri" w:hAnsi="Calibri" w:cs="Calibri"/>
          <w:b/>
          <w:bCs/>
        </w:rPr>
      </w:pPr>
    </w:p>
    <w:p w14:paraId="71B1E70C"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Q4. Sensitivity Analysis</w:t>
      </w:r>
      <w:r w:rsidRPr="002A7AAC">
        <w:rPr>
          <w:rFonts w:ascii="Calibri" w:hAnsi="Calibri" w:cs="Calibri"/>
          <w:b/>
          <w:bCs/>
          <w:color w:val="E97132" w:themeColor="accent2"/>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329FAD"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0F9A67A" w14:textId="77777777" w:rsidR="008F786B" w:rsidRPr="00727109" w:rsidRDefault="008F786B" w:rsidP="008F786B">
      <w:pPr>
        <w:pStyle w:val="Listenabsatz"/>
        <w:rPr>
          <w:rFonts w:ascii="Calibri" w:hAnsi="Calibri" w:cs="Calibri"/>
          <w:b/>
          <w:bCs/>
        </w:rPr>
      </w:pPr>
    </w:p>
    <w:p w14:paraId="3042684B"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Q5. Rationale for Emotional Categories</w:t>
      </w:r>
      <w:r w:rsidRPr="002A7AAC">
        <w:rPr>
          <w:rFonts w:ascii="Calibri" w:hAnsi="Calibri" w:cs="Calibri"/>
          <w:b/>
          <w:bCs/>
          <w:color w:val="E97132" w:themeColor="accent2"/>
        </w:rPr>
        <w:br/>
        <w:t xml:space="preserve">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w:t>
      </w:r>
      <w:proofErr w:type="gramStart"/>
      <w:r w:rsidRPr="002A7AAC">
        <w:rPr>
          <w:rFonts w:ascii="Calibri" w:hAnsi="Calibri" w:cs="Calibri"/>
          <w:b/>
          <w:bCs/>
          <w:color w:val="E97132" w:themeColor="accent2"/>
        </w:rPr>
        <w:t>these</w:t>
      </w:r>
      <w:proofErr w:type="gramEnd"/>
      <w:r w:rsidRPr="002A7AAC">
        <w:rPr>
          <w:rFonts w:ascii="Calibri" w:hAnsi="Calibri" w:cs="Calibri"/>
          <w:b/>
          <w:bCs/>
          <w:color w:val="E97132" w:themeColor="accent2"/>
        </w:rPr>
        <w:t xml:space="preserve"> distinctions considered in the design? Could comparisons between short-term and long-term, or comparisons between positive and negative grounded emotions offer additional insights? And if so, as an </w:t>
      </w:r>
      <w:proofErr w:type="gramStart"/>
      <w:r w:rsidRPr="002A7AAC">
        <w:rPr>
          <w:rFonts w:ascii="Calibri" w:hAnsi="Calibri" w:cs="Calibri"/>
          <w:b/>
          <w:bCs/>
          <w:color w:val="E97132" w:themeColor="accent2"/>
        </w:rPr>
        <w:t>exploratory</w:t>
      </w:r>
      <w:proofErr w:type="gramEnd"/>
      <w:r w:rsidRPr="002A7AAC">
        <w:rPr>
          <w:rFonts w:ascii="Calibri" w:hAnsi="Calibri" w:cs="Calibri"/>
          <w:b/>
          <w:bCs/>
          <w:color w:val="E97132" w:themeColor="accent2"/>
        </w:rPr>
        <w:t xml:space="preserve"> analysis.</w:t>
      </w:r>
    </w:p>
    <w:p w14:paraId="6BD1D87E" w14:textId="6B34794A"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D7BF16B" w14:textId="77777777" w:rsidR="008F786B" w:rsidRPr="00727109" w:rsidRDefault="008F786B" w:rsidP="008F786B">
      <w:pPr>
        <w:pStyle w:val="Listenabsatz"/>
        <w:rPr>
          <w:rFonts w:ascii="Calibri" w:hAnsi="Calibri" w:cs="Calibri"/>
          <w:b/>
          <w:bCs/>
        </w:rPr>
      </w:pPr>
    </w:p>
    <w:p w14:paraId="01882A9E"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Q6. Inclusion of Big5 Personality Traits</w:t>
      </w:r>
      <w:r w:rsidRPr="002A7AAC">
        <w:rPr>
          <w:rFonts w:ascii="Calibri" w:hAnsi="Calibri" w:cs="Calibri"/>
          <w:b/>
          <w:bCs/>
          <w:color w:val="196B24" w:themeColor="accent3"/>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5808839" w14:textId="20D4A3A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FD78E7E" w14:textId="77777777" w:rsidR="008F786B" w:rsidRPr="00727109" w:rsidRDefault="008F786B" w:rsidP="008F786B">
      <w:pPr>
        <w:pStyle w:val="Listenabsatz"/>
        <w:rPr>
          <w:rFonts w:ascii="Calibri" w:hAnsi="Calibri" w:cs="Calibri"/>
          <w:b/>
          <w:bCs/>
        </w:rPr>
      </w:pPr>
    </w:p>
    <w:p w14:paraId="7314899A"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lastRenderedPageBreak/>
        <w:t>Q7. Terminology in Hypotheses H5-H7</w:t>
      </w:r>
      <w:r w:rsidRPr="002A7AAC">
        <w:rPr>
          <w:rFonts w:ascii="Calibri" w:hAnsi="Calibri" w:cs="Calibri"/>
          <w:b/>
          <w:bCs/>
          <w:color w:val="196B24" w:themeColor="accent3"/>
        </w:rPr>
        <w:br/>
        <w:t>Some terminology used in hypotheses H5-H7 is not introduced in the methods section. See “General-ME”, “Perception Subscale”, and “</w:t>
      </w:r>
      <w:proofErr w:type="spellStart"/>
      <w:r w:rsidRPr="002A7AAC">
        <w:rPr>
          <w:rFonts w:ascii="Calibri" w:hAnsi="Calibri" w:cs="Calibri"/>
          <w:b/>
          <w:bCs/>
          <w:color w:val="196B24" w:themeColor="accent3"/>
        </w:rPr>
        <w:t>selfrated</w:t>
      </w:r>
      <w:proofErr w:type="spellEnd"/>
      <w:r w:rsidRPr="002A7AAC">
        <w:rPr>
          <w:rFonts w:ascii="Calibri" w:hAnsi="Calibri" w:cs="Calibri"/>
          <w:b/>
          <w:bCs/>
          <w:color w:val="196B24" w:themeColor="accent3"/>
        </w:rPr>
        <w:t xml:space="preserve"> singing abilities”. For many readers, these terms only become clear when reviewing the results, particularly Table 4. Please define these terms earlier in the manuscript.</w:t>
      </w:r>
    </w:p>
    <w:p w14:paraId="5D6F3349" w14:textId="1E07A268"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5EFDA1E" w14:textId="77777777" w:rsidR="008F786B" w:rsidRPr="00727109" w:rsidRDefault="008F786B" w:rsidP="008F786B">
      <w:pPr>
        <w:pStyle w:val="Listenabsatz"/>
        <w:rPr>
          <w:rFonts w:ascii="Calibri" w:hAnsi="Calibri" w:cs="Calibri"/>
          <w:b/>
          <w:bCs/>
        </w:rPr>
      </w:pPr>
    </w:p>
    <w:p w14:paraId="174AC801" w14:textId="7850B504" w:rsidR="002665AD" w:rsidRDefault="008F786B" w:rsidP="002665AD">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 xml:space="preserve">Q8. Hypothesis H9 </w:t>
      </w:r>
      <w:r w:rsidRPr="002A7AAC">
        <w:rPr>
          <w:rFonts w:ascii="Calibri" w:hAnsi="Calibri" w:cs="Calibri"/>
          <w:b/>
          <w:bCs/>
          <w:color w:val="E97132" w:themeColor="accent2"/>
        </w:rPr>
        <w:br/>
        <w:t xml:space="preserve">I did not understand the rationale for </w:t>
      </w:r>
      <w:proofErr w:type="spellStart"/>
      <w:r w:rsidRPr="002A7AAC">
        <w:rPr>
          <w:rFonts w:ascii="Calibri" w:hAnsi="Calibri" w:cs="Calibri"/>
          <w:b/>
          <w:bCs/>
          <w:color w:val="E97132" w:themeColor="accent2"/>
        </w:rPr>
        <w:t>hyptothesis</w:t>
      </w:r>
      <w:proofErr w:type="spellEnd"/>
      <w:r w:rsidRPr="002A7AAC">
        <w:rPr>
          <w:rFonts w:ascii="Calibri" w:hAnsi="Calibri" w:cs="Calibri"/>
          <w:b/>
          <w:bCs/>
          <w:color w:val="E97132" w:themeColor="accent2"/>
        </w:rPr>
        <w:t xml:space="preserve"> H9. Please explain.</w:t>
      </w:r>
    </w:p>
    <w:p w14:paraId="07DD9E0C" w14:textId="2C6513F0" w:rsidR="002665AD" w:rsidRPr="002665AD" w:rsidRDefault="002665AD" w:rsidP="002665AD">
      <w:pPr>
        <w:ind w:left="284"/>
        <w:rPr>
          <w:rFonts w:ascii="Calibri" w:hAnsi="Calibri" w:cs="Calibri"/>
          <w:b/>
          <w:bCs/>
        </w:rPr>
      </w:pPr>
      <w:r w:rsidRPr="002665AD">
        <w:rPr>
          <w:rFonts w:ascii="Calibri" w:hAnsi="Calibri" w:cs="Calibri"/>
          <w:i/>
          <w:iCs/>
        </w:rPr>
        <w:t>Response:</w:t>
      </w:r>
      <w:r w:rsidRPr="002665AD">
        <w:rPr>
          <w:rFonts w:ascii="Calibri" w:hAnsi="Calibri" w:cs="Calibri"/>
        </w:rPr>
        <w:t xml:space="preserve"> </w:t>
      </w:r>
      <w:proofErr w:type="spellStart"/>
      <w:r w:rsidRPr="002665AD">
        <w:rPr>
          <w:rFonts w:ascii="Calibri" w:hAnsi="Calibri" w:cs="Calibri"/>
          <w:color w:val="C00000"/>
        </w:rPr>
        <w:t>ToDo</w:t>
      </w:r>
      <w:proofErr w:type="spellEnd"/>
    </w:p>
    <w:p w14:paraId="04A267E8" w14:textId="77777777" w:rsidR="008F786B" w:rsidRPr="00727109" w:rsidRDefault="008F786B" w:rsidP="008F786B">
      <w:pPr>
        <w:pStyle w:val="Listenabsatz"/>
        <w:rPr>
          <w:rFonts w:ascii="Calibri" w:hAnsi="Calibri" w:cs="Calibri"/>
          <w:b/>
          <w:bCs/>
        </w:rPr>
      </w:pPr>
    </w:p>
    <w:p w14:paraId="37675EB9"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Q9. Definition of Singers (and Instrumentalists)</w:t>
      </w:r>
      <w:r w:rsidRPr="002A7AAC">
        <w:rPr>
          <w:rFonts w:ascii="Calibri" w:hAnsi="Calibri" w:cs="Calibri"/>
          <w:b/>
          <w:bCs/>
          <w:color w:val="E97132" w:themeColor="accent2"/>
        </w:rPr>
        <w:br/>
        <w:t xml:space="preserve">On page 9, singers are defined as individuals who “must not currently be instrumentalists in an orchestra or a band". Did you </w:t>
      </w:r>
      <w:proofErr w:type="gramStart"/>
      <w:r w:rsidRPr="002A7AAC">
        <w:rPr>
          <w:rFonts w:ascii="Calibri" w:hAnsi="Calibri" w:cs="Calibri"/>
          <w:b/>
          <w:bCs/>
          <w:color w:val="E97132" w:themeColor="accent2"/>
        </w:rPr>
        <w:t>control for</w:t>
      </w:r>
      <w:proofErr w:type="gramEnd"/>
      <w:r w:rsidRPr="002A7AAC">
        <w:rPr>
          <w:rFonts w:ascii="Calibri" w:hAnsi="Calibri" w:cs="Calibri"/>
          <w:b/>
          <w:bCs/>
          <w:color w:val="E97132" w:themeColor="accent2"/>
        </w:rPr>
        <w:t xml:space="preserve">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4B81E5EF"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3A9B2D4" w14:textId="77777777" w:rsidR="008F786B" w:rsidRPr="00727109" w:rsidRDefault="008F786B" w:rsidP="008F786B">
      <w:pPr>
        <w:pStyle w:val="Listenabsatz"/>
        <w:rPr>
          <w:rFonts w:ascii="Calibri" w:hAnsi="Calibri" w:cs="Calibri"/>
          <w:b/>
          <w:bCs/>
        </w:rPr>
      </w:pPr>
    </w:p>
    <w:p w14:paraId="7BB1C190" w14:textId="77777777" w:rsidR="00727109" w:rsidRPr="002A7AAC" w:rsidRDefault="008F786B" w:rsidP="00727109">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Q10. Stimulus Validation</w:t>
      </w:r>
      <w:r w:rsidRPr="002A7AAC">
        <w:rPr>
          <w:rFonts w:ascii="Calibri" w:hAnsi="Calibri" w:cs="Calibri"/>
          <w:b/>
          <w:bCs/>
          <w:color w:val="E97132" w:themeColor="accent2"/>
        </w:rPr>
        <w:br/>
        <w:t xml:space="preserve">Were the stimuli validated? Figure 5 in Nussbaum (2024) shows confusion rates for different emotions, but perhaps there were specific stimuli that were consistently misclassified? Are misclassifications a result of poor interpretation or poor stimuli representation? For example, in Figure 3, is the poor performance in Timbre condition a result of poor stimuli quality or poor perception? Please elaborate. </w:t>
      </w:r>
    </w:p>
    <w:p w14:paraId="181C45C7" w14:textId="57B7981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41C43BE9" w14:textId="77777777" w:rsidR="00727109" w:rsidRPr="00727109" w:rsidRDefault="00727109" w:rsidP="008F786B">
      <w:pPr>
        <w:pStyle w:val="Listenabsatz"/>
        <w:rPr>
          <w:rFonts w:ascii="Calibri" w:hAnsi="Calibri" w:cs="Calibri"/>
          <w:b/>
          <w:bCs/>
        </w:rPr>
      </w:pPr>
    </w:p>
    <w:p w14:paraId="6ABFEE76" w14:textId="77777777" w:rsidR="008F786B" w:rsidRPr="002A7AAC" w:rsidRDefault="008F786B" w:rsidP="008F786B">
      <w:pPr>
        <w:pStyle w:val="Listenabsatz"/>
        <w:numPr>
          <w:ilvl w:val="0"/>
          <w:numId w:val="2"/>
        </w:numPr>
        <w:rPr>
          <w:rFonts w:ascii="Calibri" w:hAnsi="Calibri" w:cs="Calibri"/>
          <w:b/>
          <w:bCs/>
          <w:color w:val="E97132" w:themeColor="accent2"/>
        </w:rPr>
      </w:pPr>
      <w:r w:rsidRPr="002A7AAC">
        <w:rPr>
          <w:rFonts w:ascii="Calibri" w:hAnsi="Calibri" w:cs="Calibri"/>
          <w:b/>
          <w:bCs/>
          <w:color w:val="E97132" w:themeColor="accent2"/>
        </w:rPr>
        <w:t>Q11. Conclusion and causality</w:t>
      </w:r>
      <w:r w:rsidRPr="002A7AAC">
        <w:rPr>
          <w:rFonts w:ascii="Calibri" w:hAnsi="Calibri" w:cs="Calibri"/>
          <w:b/>
          <w:bCs/>
          <w:color w:val="E97132" w:themeColor="accent2"/>
        </w:rPr>
        <w:br/>
        <w:t xml:space="preserve">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w:t>
      </w:r>
      <w:proofErr w:type="gramStart"/>
      <w:r w:rsidRPr="002A7AAC">
        <w:rPr>
          <w:rFonts w:ascii="Calibri" w:hAnsi="Calibri" w:cs="Calibri"/>
          <w:b/>
          <w:bCs/>
          <w:color w:val="E97132" w:themeColor="accent2"/>
        </w:rPr>
        <w:t>has to</w:t>
      </w:r>
      <w:proofErr w:type="gramEnd"/>
      <w:r w:rsidRPr="002A7AAC">
        <w:rPr>
          <w:rFonts w:ascii="Calibri" w:hAnsi="Calibri" w:cs="Calibri"/>
          <w:b/>
          <w:bCs/>
          <w:color w:val="E97132" w:themeColor="accent2"/>
        </w:rPr>
        <w:t xml:space="preserve"> be based upon theoretical assumptions (for example by motivating that no other potential causes occur).</w:t>
      </w:r>
    </w:p>
    <w:p w14:paraId="28A71D63" w14:textId="3A9741A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Reviewer #1: The causal language should be reconsidered, even though it is taken on board from the literature, in part. This is a correlational study.</w:t>
      </w:r>
    </w:p>
    <w:p w14:paraId="64B94499" w14:textId="7D74C62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40A80924" w14:textId="77777777" w:rsidR="008F786B" w:rsidRPr="00727109" w:rsidRDefault="008F786B" w:rsidP="008F786B">
      <w:pPr>
        <w:pStyle w:val="Listenabsatz"/>
        <w:rPr>
          <w:rFonts w:ascii="Calibri" w:hAnsi="Calibri" w:cs="Calibri"/>
          <w:b/>
          <w:bCs/>
        </w:rPr>
      </w:pPr>
    </w:p>
    <w:p w14:paraId="1D491FA8"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The number of hypotheses seems inappropriate to me, at least. As stated above, commenting on a correlation table is sufficient. The hypotheses 3-7 are not at the same level </w:t>
      </w:r>
      <w:proofErr w:type="gramStart"/>
      <w:r w:rsidRPr="002A7AAC">
        <w:rPr>
          <w:rFonts w:ascii="Calibri" w:hAnsi="Calibri" w:cs="Calibri"/>
          <w:b/>
          <w:bCs/>
          <w:color w:val="196B24" w:themeColor="accent3"/>
        </w:rPr>
        <w:t>of</w:t>
      </w:r>
      <w:proofErr w:type="gramEnd"/>
      <w:r w:rsidRPr="002A7AAC">
        <w:rPr>
          <w:rFonts w:ascii="Calibri" w:hAnsi="Calibri" w:cs="Calibri"/>
          <w:b/>
          <w:bCs/>
          <w:color w:val="196B24" w:themeColor="accent3"/>
        </w:rPr>
        <w:t xml:space="preserve"> the surrounding ones. That should be reflected in the writing.</w:t>
      </w:r>
    </w:p>
    <w:p w14:paraId="4C321F14" w14:textId="6B54072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A7AAC" w:rsidRDefault="008F786B" w:rsidP="00727109">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 xml:space="preserve">Reviewer #2: The </w:t>
      </w:r>
      <w:proofErr w:type="spellStart"/>
      <w:r w:rsidRPr="002A7AAC">
        <w:rPr>
          <w:rFonts w:ascii="Calibri" w:hAnsi="Calibri" w:cs="Calibri"/>
          <w:b/>
          <w:bCs/>
          <w:color w:val="196B24" w:themeColor="accent3"/>
        </w:rPr>
        <w:t>ms</w:t>
      </w:r>
      <w:proofErr w:type="spellEnd"/>
      <w:r w:rsidRPr="002A7AAC">
        <w:rPr>
          <w:rFonts w:ascii="Calibri" w:hAnsi="Calibri" w:cs="Calibri"/>
          <w:b/>
          <w:bCs/>
          <w:color w:val="196B24" w:themeColor="accent3"/>
        </w:rPr>
        <w:t xml:space="preserve"> is written in APA style but some of the references diverge from APA (e.g., title case for article titles, abbreviated journal names).</w:t>
      </w:r>
    </w:p>
    <w:p w14:paraId="46BE4320" w14:textId="3B54CAA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0"/>
      <w:proofErr w:type="spellStart"/>
      <w:r w:rsidRPr="00727109">
        <w:rPr>
          <w:rFonts w:ascii="Calibri" w:hAnsi="Calibri" w:cs="Calibri"/>
          <w:color w:val="C00000"/>
        </w:rPr>
        <w:t>ToDo</w:t>
      </w:r>
      <w:commentRangeEnd w:id="0"/>
      <w:proofErr w:type="spellEnd"/>
      <w:r w:rsidR="004B5A19">
        <w:rPr>
          <w:rStyle w:val="Kommentarzeichen"/>
        </w:rPr>
        <w:commentReference w:id="0"/>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São Luis Castro should be abbreviated Castro, S. L. in the reference list.</w:t>
      </w:r>
    </w:p>
    <w:p w14:paraId="0F91C3AD" w14:textId="15C494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p. 30 "...future research should incorporate..." Change "incorporate" to "consider"</w:t>
      </w:r>
    </w:p>
    <w:p w14:paraId="3BE25A6B" w14:textId="34FDF0A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Why/how were the four subtests from the PROMS chosen? These aren't the same as those that are included in the mini-PROMS.</w:t>
      </w:r>
    </w:p>
    <w:p w14:paraId="06B21E36" w14:textId="30DE4A97"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domain (melody, pitch and timbre) and then added on rhythm task to capture sensitivity to temporal information as well. We included only four subtests to keep overall duration of the study within reasonable limits. We added a small clarification to the manuscript: “[...] </w:t>
      </w:r>
      <w:r w:rsidR="001C1D45" w:rsidRPr="001C1D45">
        <w:rPr>
          <w:rFonts w:ascii="Calibri" w:hAnsi="Calibri" w:cs="Calibri"/>
        </w:rPr>
        <w:t>comprised of the four subtests „</w:t>
      </w:r>
      <w:proofErr w:type="gramStart"/>
      <w:r w:rsidR="001C1D45" w:rsidRPr="001C1D45">
        <w:rPr>
          <w:rFonts w:ascii="Calibri" w:hAnsi="Calibri" w:cs="Calibri"/>
        </w:rPr>
        <w:t>Melody“</w:t>
      </w:r>
      <w:proofErr w:type="gramEnd"/>
      <w:r w:rsidR="001C1D45" w:rsidRPr="001C1D45">
        <w:rPr>
          <w:rFonts w:ascii="Calibri" w:hAnsi="Calibri" w:cs="Calibri"/>
        </w:rPr>
        <w:t>, „</w:t>
      </w:r>
      <w:proofErr w:type="gramStart"/>
      <w:r w:rsidR="001C1D45" w:rsidRPr="001C1D45">
        <w:rPr>
          <w:rFonts w:ascii="Calibri" w:hAnsi="Calibri" w:cs="Calibri"/>
        </w:rPr>
        <w:t>Pitch“</w:t>
      </w:r>
      <w:proofErr w:type="gramEnd"/>
      <w:r w:rsidR="001C1D45" w:rsidRPr="001C1D45">
        <w:rPr>
          <w:rFonts w:ascii="Calibri" w:hAnsi="Calibri" w:cs="Calibri"/>
        </w:rPr>
        <w:t>, „Timbre”, and „</w:t>
      </w:r>
      <w:proofErr w:type="gramStart"/>
      <w:r w:rsidR="001C1D45" w:rsidRPr="001C1D45">
        <w:rPr>
          <w:rFonts w:ascii="Calibri" w:hAnsi="Calibri" w:cs="Calibri"/>
        </w:rPr>
        <w:t>Rhythm“</w:t>
      </w:r>
      <w:proofErr w:type="gramEnd"/>
      <w:r w:rsidR="001C1D45" w:rsidRPr="001C1D45">
        <w:rPr>
          <w:rFonts w:ascii="Calibri" w:hAnsi="Calibri" w:cs="Calibri"/>
        </w:rPr>
        <w:t>,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A7AAC" w:rsidRDefault="008F786B" w:rsidP="008F786B">
      <w:pPr>
        <w:pStyle w:val="Listenabsatz"/>
        <w:numPr>
          <w:ilvl w:val="0"/>
          <w:numId w:val="2"/>
        </w:numPr>
        <w:rPr>
          <w:rFonts w:ascii="Calibri" w:hAnsi="Calibri" w:cs="Calibri"/>
          <w:b/>
          <w:bCs/>
          <w:color w:val="196B24" w:themeColor="accent3"/>
        </w:rPr>
      </w:pPr>
      <w:r w:rsidRPr="002A7AAC">
        <w:rPr>
          <w:rFonts w:ascii="Calibri" w:hAnsi="Calibri" w:cs="Calibri"/>
          <w:b/>
          <w:bCs/>
          <w:color w:val="196B24" w:themeColor="accent3"/>
        </w:rPr>
        <w:t>Baldé et al. (2025) now has volume, issue, and page numbers. It came out in the June issue of JEPHPP.</w:t>
      </w:r>
    </w:p>
    <w:p w14:paraId="7C19C2EC" w14:textId="33EF8EA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We added the missing information. </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lastRenderedPageBreak/>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EA06B4">
        <w:rPr>
          <w:rFonts w:ascii="Calibri" w:hAnsi="Calibri" w:cs="Calibri"/>
          <w:b/>
          <w:bCs/>
          <w:color w:val="196B24" w:themeColor="accent3"/>
        </w:rPr>
        <w:t>ts</w:t>
      </w:r>
      <w:proofErr w:type="spellEnd"/>
      <w:r w:rsidRPr="00EA06B4">
        <w:rPr>
          <w:rFonts w:ascii="Calibri" w:hAnsi="Calibri" w:cs="Calibri"/>
          <w:b/>
          <w:bCs/>
          <w:color w:val="196B24" w:themeColor="accent3"/>
        </w:rPr>
        <w:t>(77)|</w:t>
      </w:r>
      <w:proofErr w:type="gramEnd"/>
      <w:r w:rsidRPr="00EA06B4">
        <w:rPr>
          <w:rFonts w:ascii="Calibri" w:hAnsi="Calibri" w:cs="Calibri"/>
          <w:b/>
          <w:bCs/>
          <w:color w:val="196B24" w:themeColor="accent3"/>
        </w:rPr>
        <w:t xml:space="preserve"> = 2.57, </w:t>
      </w:r>
      <w:proofErr w:type="spellStart"/>
      <w:r w:rsidRPr="00EA06B4">
        <w:rPr>
          <w:rFonts w:ascii="Calibri" w:hAnsi="Calibri" w:cs="Calibri"/>
          <w:b/>
          <w:bCs/>
          <w:color w:val="196B24" w:themeColor="accent3"/>
        </w:rPr>
        <w:t>ps</w:t>
      </w:r>
      <w:proofErr w:type="spellEnd"/>
      <w:r w:rsidRPr="00EA06B4">
        <w:rPr>
          <w:rFonts w:ascii="Calibri" w:hAnsi="Calibri" w:cs="Calibri"/>
          <w:b/>
          <w:bCs/>
          <w:color w:val="196B24" w:themeColor="accent3"/>
        </w:rPr>
        <w:t xml:space="preserve"> = .012, ds = 0.28 [0.06 0.49], except for Fear vs. Sadness (|</w:t>
      </w:r>
      <w:proofErr w:type="gramStart"/>
      <w:r w:rsidRPr="00EA06B4">
        <w:rPr>
          <w:rFonts w:ascii="Calibri" w:hAnsi="Calibri" w:cs="Calibri"/>
          <w:b/>
          <w:bCs/>
          <w:color w:val="196B24" w:themeColor="accent3"/>
        </w:rPr>
        <w:t>t(87)|</w:t>
      </w:r>
      <w:proofErr w:type="gramEnd"/>
      <w:r w:rsidRPr="00EA06B4">
        <w:rPr>
          <w:rFonts w:ascii="Calibri" w:hAnsi="Calibri" w:cs="Calibri"/>
          <w:b/>
          <w:bCs/>
          <w:color w:val="196B24" w:themeColor="accent3"/>
        </w:rPr>
        <w:t xml:space="preserve"> = 1.13, p = .261)." This begins with comparisons between F0 and Timbre (conditions</w:t>
      </w:r>
      <w:proofErr w:type="gramStart"/>
      <w:r w:rsidRPr="00EA06B4">
        <w:rPr>
          <w:rFonts w:ascii="Calibri" w:hAnsi="Calibri" w:cs="Calibri"/>
          <w:b/>
          <w:bCs/>
          <w:color w:val="196B24" w:themeColor="accent3"/>
        </w:rPr>
        <w:t>), but</w:t>
      </w:r>
      <w:proofErr w:type="gramEnd"/>
      <w:r w:rsidRPr="00EA06B4">
        <w:rPr>
          <w:rFonts w:ascii="Calibri" w:hAnsi="Calibri" w:cs="Calibri"/>
          <w:b/>
          <w:bCs/>
          <w:color w:val="196B24" w:themeColor="accent3"/>
        </w:rPr>
        <w:t xml:space="preserve"> ends with comparisons Fear vs Sadness (emotions). Please clarify and make sure all relevant comparisons are reported.</w:t>
      </w:r>
    </w:p>
    <w:p w14:paraId="6C168AC0" w14:textId="4055468D"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1"/>
      <w:r w:rsidR="004B5A19" w:rsidRPr="004B5A19">
        <w:rPr>
          <w:rFonts w:ascii="Calibri" w:hAnsi="Calibri" w:cs="Calibri"/>
        </w:rPr>
        <w:t xml:space="preserve">In this </w:t>
      </w:r>
      <w:proofErr w:type="gramStart"/>
      <w:r w:rsidR="004B5A19" w:rsidRPr="004B5A19">
        <w:rPr>
          <w:rFonts w:ascii="Calibri" w:hAnsi="Calibri" w:cs="Calibri"/>
        </w:rPr>
        <w:t>particular paragraph</w:t>
      </w:r>
      <w:proofErr w:type="gramEnd"/>
      <w:r w:rsidR="004B5A19" w:rsidRPr="004B5A19">
        <w:rPr>
          <w:rFonts w:ascii="Calibri" w:hAnsi="Calibri" w:cs="Calibri"/>
        </w:rPr>
        <w:t xml:space="preserve">, we calculated the performance difference between the F0 and the timbre conditions and compared this difference between emotions. We carefully checked the sentence, and we think that this is described here correctly, but of course we are open to suggestions to make this clearer to avoid readers’ confusion. </w:t>
      </w:r>
      <w:commentRangeEnd w:id="1"/>
      <w:r w:rsidR="004B5A19">
        <w:rPr>
          <w:rStyle w:val="Kommentarzeichen"/>
        </w:rPr>
        <w:commentReference w:id="1"/>
      </w:r>
    </w:p>
    <w:p w14:paraId="55BBEF47" w14:textId="77777777" w:rsidR="008F786B" w:rsidRPr="00727109" w:rsidRDefault="008F786B" w:rsidP="008F786B">
      <w:pPr>
        <w:pStyle w:val="Listenabsatz"/>
        <w:rPr>
          <w:rFonts w:ascii="Calibri" w:hAnsi="Calibri" w:cs="Calibri"/>
          <w:b/>
          <w:bCs/>
        </w:rPr>
      </w:pPr>
    </w:p>
    <w:p w14:paraId="1A05C109"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Q11 Epsilon HF: in table 2, explain </w:t>
      </w:r>
      <w:proofErr w:type="gramStart"/>
      <w:r w:rsidRPr="00EA06B4">
        <w:rPr>
          <w:rFonts w:ascii="Calibri" w:hAnsi="Calibri" w:cs="Calibri"/>
          <w:b/>
          <w:bCs/>
          <w:color w:val="196B24" w:themeColor="accent3"/>
        </w:rPr>
        <w:t>epsilon{</w:t>
      </w:r>
      <w:proofErr w:type="gramEnd"/>
      <w:r w:rsidRPr="00EA06B4">
        <w:rPr>
          <w:rFonts w:ascii="Calibri" w:hAnsi="Calibri" w:cs="Calibri"/>
          <w:b/>
          <w:bCs/>
          <w:color w:val="196B24" w:themeColor="accent3"/>
        </w:rPr>
        <w:t>HF}, for example in a footnote. (Huynh-Feldt I assume).</w:t>
      </w:r>
    </w:p>
    <w:p w14:paraId="79C38A9E" w14:textId="0D73C3E3" w:rsidR="00727109" w:rsidRPr="007A40EA" w:rsidRDefault="00727109" w:rsidP="007A40EA">
      <w:pPr>
        <w:spacing w:line="240" w:lineRule="auto"/>
        <w:contextualSpacing/>
        <w:rPr>
          <w:rFonts w:ascii="Times New Roman" w:hAnsi="Times New Roman" w:cs="Times New Roman"/>
          <w:bCs/>
          <w:color w:val="C00000"/>
        </w:rPr>
      </w:pPr>
      <w:r w:rsidRPr="00727109">
        <w:rPr>
          <w:rFonts w:ascii="Calibri" w:hAnsi="Calibri" w:cs="Calibri"/>
          <w:i/>
          <w:iCs/>
        </w:rPr>
        <w:t>Response:</w:t>
      </w:r>
      <w:r w:rsidRPr="00727109">
        <w:rPr>
          <w:rFonts w:ascii="Calibri" w:hAnsi="Calibri" w:cs="Calibri"/>
        </w:rPr>
        <w:t xml:space="preserve"> </w:t>
      </w:r>
      <w:r w:rsidR="007A40EA" w:rsidRPr="007A40EA">
        <w:rPr>
          <w:rFonts w:ascii="Calibri" w:hAnsi="Calibri" w:cs="Calibri"/>
        </w:rPr>
        <w:t>We added the following note: “</w:t>
      </w:r>
      <w:r w:rsidR="007A40EA" w:rsidRPr="007A40EA">
        <w:rPr>
          <w:rFonts w:ascii="Times New Roman" w:hAnsi="Times New Roman" w:cs="Times New Roman"/>
        </w:rPr>
        <w:t xml:space="preserve">Note. </w:t>
      </w:r>
      <w:proofErr w:type="spellStart"/>
      <w:r w:rsidR="007A40EA" w:rsidRPr="007A40EA">
        <w:rPr>
          <w:rFonts w:ascii="Times New Roman" w:hAnsi="Times New Roman" w:cs="Times New Roman"/>
          <w:b/>
        </w:rPr>
        <w:t>ε</w:t>
      </w:r>
      <w:proofErr w:type="gramStart"/>
      <w:r w:rsidR="007A40EA" w:rsidRPr="007A40EA">
        <w:rPr>
          <w:rFonts w:ascii="Times New Roman" w:hAnsi="Times New Roman" w:cs="Times New Roman"/>
          <w:b/>
          <w:vertAlign w:val="subscript"/>
        </w:rPr>
        <w:t>HF</w:t>
      </w:r>
      <w:proofErr w:type="spellEnd"/>
      <w:r w:rsidR="007A40EA" w:rsidRPr="007A40EA">
        <w:rPr>
          <w:rFonts w:ascii="Times New Roman" w:hAnsi="Times New Roman" w:cs="Times New Roman"/>
          <w:b/>
          <w:sz w:val="16"/>
          <w:szCs w:val="16"/>
          <w:vertAlign w:val="subscript"/>
        </w:rPr>
        <w:t xml:space="preserve">  </w:t>
      </w:r>
      <w:r w:rsidR="007A40EA" w:rsidRPr="007A40EA">
        <w:rPr>
          <w:rFonts w:ascii="Times New Roman" w:hAnsi="Times New Roman" w:cs="Times New Roman"/>
          <w:b/>
        </w:rPr>
        <w:t>=</w:t>
      </w:r>
      <w:proofErr w:type="gramEnd"/>
      <w:r w:rsidR="007A40EA" w:rsidRPr="007A40EA">
        <w:rPr>
          <w:rFonts w:ascii="Times New Roman" w:hAnsi="Times New Roman" w:cs="Times New Roman"/>
          <w:b/>
        </w:rPr>
        <w:t xml:space="preserve"> </w:t>
      </w:r>
      <w:r w:rsidR="007A40EA" w:rsidRPr="007A40EA">
        <w:rPr>
          <w:rFonts w:ascii="Times New Roman" w:hAnsi="Times New Roman" w:cs="Times New Roman"/>
          <w:bCs/>
        </w:rPr>
        <w:t>Huynh–Feldt (HF) epsilon correction factor in case of violation of the sphericity assumption.</w:t>
      </w:r>
      <w:r w:rsidR="007A40EA" w:rsidRPr="007A40EA">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Q12. Missing Legend in Table 3: Table 3 lacks a legend. Please add one to clarify the meaning of the columns and values.</w:t>
      </w:r>
    </w:p>
    <w:p w14:paraId="290FA6F3" w14:textId="00D553C5"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7A40EA">
        <w:rPr>
          <w:rFonts w:ascii="Calibri" w:hAnsi="Calibri" w:cs="Calibr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7A40EA">
        <w:rPr>
          <w:rFonts w:ascii="Calibri" w:hAnsi="Calibri" w:cs="Calibri"/>
        </w:rPr>
        <w:t>VERAvg</w:t>
      </w:r>
      <w:proofErr w:type="spellEnd"/>
      <w:r w:rsidR="007A40EA" w:rsidRPr="007A40EA">
        <w:rPr>
          <w:rFonts w:ascii="Calibri" w:hAnsi="Calibri" w:cs="Calibri"/>
        </w:rPr>
        <w:t xml:space="preserve">: VER performance averaged across all trials, Full-Morphs: VER in the Full Morph condition only, F0-Morphs: VER in the F0 Morph condition only,, Timbre-Morphs: VER in the Timbre Morph condition only, </w:t>
      </w:r>
      <w:proofErr w:type="spellStart"/>
      <w:r w:rsidR="007A40EA" w:rsidRPr="007A40EA">
        <w:rPr>
          <w:rFonts w:ascii="Calibri" w:hAnsi="Calibri" w:cs="Calibri"/>
        </w:rPr>
        <w:t>PROMSAvg</w:t>
      </w:r>
      <w:proofErr w:type="spellEnd"/>
      <w:r w:rsidR="007A40EA" w:rsidRPr="007A40EA">
        <w:rPr>
          <w:rFonts w:ascii="Calibri" w:hAnsi="Calibri" w:cs="Calibri"/>
        </w:rPr>
        <w:t>: music perception performance averaged across all four subtests of the PROMS (Pitch, Melody, Timbre, and Rhythm).</w:t>
      </w:r>
      <w:r w:rsidR="007A40EA" w:rsidRPr="007A40EA">
        <w:rPr>
          <w:rFonts w:ascii="Calibri" w:hAnsi="Calibri" w:cs="Calibri"/>
        </w:rPr>
        <w:t>” (page 21)</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EA06B4" w:rsidRDefault="008F786B" w:rsidP="00727109">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commentRangeStart w:id="2"/>
      <w:r w:rsidR="00B44972" w:rsidRPr="00B44972">
        <w:rPr>
          <w:rFonts w:ascii="Calibri" w:hAnsi="Calibri" w:cs="Calibri"/>
        </w:rPr>
        <w:t xml:space="preserve">We have changed “vocal emotion perception” to “vocal emotion recognition” throughout. </w:t>
      </w:r>
      <w:commentRangeEnd w:id="2"/>
      <w:r w:rsidR="00B44972">
        <w:rPr>
          <w:rStyle w:val="Kommentarzeichen"/>
        </w:rPr>
        <w:commentReference w:id="2"/>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EA06B4" w:rsidRDefault="008F786B" w:rsidP="008F786B">
      <w:pPr>
        <w:pStyle w:val="Listenabsatz"/>
        <w:numPr>
          <w:ilvl w:val="0"/>
          <w:numId w:val="2"/>
        </w:numPr>
        <w:rPr>
          <w:rFonts w:ascii="Calibri" w:hAnsi="Calibri" w:cs="Calibri"/>
          <w:b/>
          <w:bCs/>
          <w:color w:val="196B24" w:themeColor="accent3"/>
        </w:rPr>
      </w:pPr>
      <w:r w:rsidRPr="00EA06B4">
        <w:rPr>
          <w:rFonts w:ascii="Calibri" w:hAnsi="Calibri" w:cs="Calibri"/>
          <w:b/>
          <w:bCs/>
          <w:color w:val="196B24" w:themeColor="accent3"/>
        </w:rPr>
        <w:t xml:space="preserve">Q14. Comparisons between Professionals and Non-Musicians: In Table 4, some variables (Extraversion, Attention to Detail, Social Skills, Rhythm) show differences between professionals and non-musicians. These comparisons are not reported in </w:t>
      </w:r>
      <w:r w:rsidRPr="00EA06B4">
        <w:rPr>
          <w:rFonts w:ascii="Calibri" w:hAnsi="Calibri" w:cs="Calibri"/>
          <w:b/>
          <w:bCs/>
          <w:color w:val="196B24" w:themeColor="accent3"/>
        </w:rPr>
        <w:lastRenderedPageBreak/>
        <w:t xml:space="preserve">the table. I suggest either including them where significant or </w:t>
      </w:r>
      <w:proofErr w:type="spellStart"/>
      <w:r w:rsidRPr="00EA06B4">
        <w:rPr>
          <w:rFonts w:ascii="Calibri" w:hAnsi="Calibri" w:cs="Calibri"/>
          <w:b/>
          <w:bCs/>
          <w:color w:val="196B24" w:themeColor="accent3"/>
        </w:rPr>
        <w:t>or</w:t>
      </w:r>
      <w:proofErr w:type="spellEnd"/>
      <w:r w:rsidRPr="00EA06B4">
        <w:rPr>
          <w:rFonts w:ascii="Calibri" w:hAnsi="Calibri" w:cs="Calibri"/>
          <w:b/>
          <w:bCs/>
          <w:color w:val="196B24" w:themeColor="accent3"/>
        </w:rPr>
        <w:t xml:space="preserve"> explicitly stating that such comparisons are reported elsewhere (Nussbaum, 2024?).</w:t>
      </w:r>
    </w:p>
    <w:p w14:paraId="54C2CCB0" w14:textId="6B8A9039"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Indeed, we did not focus on these comparisons, because they are already reported and discussed in the previous publication. This is mentioned in the manuscript under 4.2 Method: “</w:t>
      </w:r>
      <w:r w:rsidR="00B44972" w:rsidRPr="00B44972">
        <w:rPr>
          <w:rFonts w:ascii="Calibri" w:hAnsi="Calibri" w:cs="Calibri"/>
        </w:rPr>
        <w:t>We focused our analysis on the comparison of amateurs with the other two groups, because the comparison of professional musicians and non-musicians is reported in Nussbaum et al. (2024).</w:t>
      </w:r>
      <w:r w:rsidR="00B44972" w:rsidRPr="00B44972">
        <w:rPr>
          <w:rFonts w:ascii="Calibri" w:hAnsi="Calibri" w:cs="Calibri"/>
        </w:rPr>
        <w:t>” To make this more transparent to the readers, we added a note to Table 4 as well: “</w:t>
      </w:r>
      <w:r w:rsidR="00B44972" w:rsidRPr="00B44972">
        <w:rPr>
          <w:rFonts w:ascii="Times New Roman" w:eastAsia="Calibri" w:hAnsi="Times New Roman" w:cs="Times New Roman"/>
          <w:i/>
          <w:iCs/>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lang w:val="en-GB"/>
          </w:rPr>
          <w:alias w:val="To edit, see citavi.com/edit"/>
          <w:tag w:val="CitaviPlaceholder#965c5e16-40b7-4f07-8dce-0d5bd992005e"/>
          <w:id w:val="-606116367"/>
          <w:placeholder>
            <w:docPart w:val="DF3B27FB4C6F4CFBB57287B44EDDD22C"/>
          </w:placeholder>
        </w:sdtPr>
        <w:sdtContent>
          <w:r w:rsidR="00B44972" w:rsidRPr="00B44972">
            <w:rPr>
              <w:rFonts w:ascii="Times New Roman" w:eastAsia="Calibri" w:hAnsi="Times New Roman" w:cs="Times New Roman"/>
              <w:i/>
              <w:iCs/>
              <w:lang w:val="en-GB"/>
            </w:rPr>
            <w:fldChar w:fldCharType="begin"/>
          </w:r>
          <w:r w:rsidR="00B44972" w:rsidRPr="00B44972">
            <w:rPr>
              <w:rFonts w:ascii="Times New Roman" w:eastAsia="Calibri" w:hAnsi="Times New Roman" w:cs="Times New Roman"/>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B44972" w:rsidRPr="00B44972">
            <w:rPr>
              <w:rFonts w:ascii="Times New Roman" w:eastAsia="Calibri" w:hAnsi="Times New Roman" w:cs="Times New Roman"/>
              <w:i/>
              <w:iCs/>
              <w:lang w:val="en-GB"/>
            </w:rPr>
            <w:fldChar w:fldCharType="separate"/>
          </w:r>
          <w:r w:rsidR="00B44972" w:rsidRPr="00B44972">
            <w:rPr>
              <w:rFonts w:ascii="Times New Roman" w:eastAsia="Calibri" w:hAnsi="Times New Roman" w:cs="Times New Roman"/>
              <w:i/>
              <w:iCs/>
              <w:lang w:val="en-GB"/>
            </w:rPr>
            <w:t>(Nussbaum et al., 2024)</w:t>
          </w:r>
          <w:r w:rsidR="00B44972" w:rsidRPr="00B44972">
            <w:rPr>
              <w:rFonts w:ascii="Times New Roman" w:eastAsia="Calibri" w:hAnsi="Times New Roman" w:cs="Times New Roman"/>
              <w:i/>
              <w:iCs/>
              <w:lang w:val="en-GB"/>
            </w:rPr>
            <w:fldChar w:fldCharType="end"/>
          </w:r>
        </w:sdtContent>
      </w:sdt>
      <w:r w:rsidR="00B44972" w:rsidRPr="00B44972">
        <w:rPr>
          <w:rFonts w:ascii="Times New Roman" w:eastAsia="Calibri" w:hAnsi="Times New Roman" w:cs="Times New Roman"/>
          <w:i/>
          <w:iCs/>
          <w:lang w:val="en-GB"/>
        </w:rPr>
        <w:t>.</w:t>
      </w:r>
      <w:r w:rsidR="00B44972" w:rsidRPr="00B44972">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Reviewer #1: The authors do not mention in the Abstract, which emotions were considered or whether a model representing dimensions of emotion recognition was used. Therefore, it is not obvious what they mean by emotion recognition upfront.</w:t>
      </w:r>
    </w:p>
    <w:p w14:paraId="659AED9B" w14:textId="26C57C4B"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 authors use causal language at times, which is understandable due to the wide-spread use of it in </w:t>
      </w:r>
      <w:proofErr w:type="gramStart"/>
      <w:r w:rsidRPr="00EA06B4">
        <w:rPr>
          <w:rFonts w:ascii="Calibri" w:hAnsi="Calibri" w:cs="Calibri"/>
          <w:b/>
          <w:bCs/>
          <w:color w:val="E97132" w:themeColor="accent2"/>
        </w:rPr>
        <w:t>the literature</w:t>
      </w:r>
      <w:proofErr w:type="gramEnd"/>
      <w:r w:rsidRPr="00EA06B4">
        <w:rPr>
          <w:rFonts w:ascii="Calibri" w:hAnsi="Calibri" w:cs="Calibri"/>
          <w:b/>
          <w:bCs/>
          <w:color w:val="E97132" w:themeColor="accent2"/>
        </w:rPr>
        <w:t xml:space="preserve">. However, in their own terms, they </w:t>
      </w:r>
      <w:proofErr w:type="gramStart"/>
      <w:r w:rsidRPr="00EA06B4">
        <w:rPr>
          <w:rFonts w:ascii="Calibri" w:hAnsi="Calibri" w:cs="Calibri"/>
          <w:b/>
          <w:bCs/>
          <w:color w:val="E97132" w:themeColor="accent2"/>
        </w:rPr>
        <w:t>should rather</w:t>
      </w:r>
      <w:proofErr w:type="gramEnd"/>
      <w:r w:rsidRPr="00EA06B4">
        <w:rPr>
          <w:rFonts w:ascii="Calibri" w:hAnsi="Calibri" w:cs="Calibri"/>
          <w:b/>
          <w:bCs/>
          <w:color w:val="E97132" w:themeColor="accent2"/>
        </w:rPr>
        <w:t xml:space="preserve"> consider </w:t>
      </w:r>
      <w:proofErr w:type="gramStart"/>
      <w:r w:rsidRPr="00EA06B4">
        <w:rPr>
          <w:rFonts w:ascii="Calibri" w:hAnsi="Calibri" w:cs="Calibri"/>
          <w:b/>
          <w:bCs/>
          <w:color w:val="E97132" w:themeColor="accent2"/>
        </w:rPr>
        <w:t>to talk</w:t>
      </w:r>
      <w:proofErr w:type="gramEnd"/>
      <w:r w:rsidRPr="00EA06B4">
        <w:rPr>
          <w:rFonts w:ascii="Calibri" w:hAnsi="Calibri" w:cs="Calibri"/>
          <w:b/>
          <w:bCs/>
          <w:color w:val="E97132" w:themeColor="accent2"/>
        </w:rPr>
        <w:t xml:space="preserve"> about associations, even when the literature they cite implies causality in contexts such as correlational studies. So, please avoid causal language.</w:t>
      </w:r>
    </w:p>
    <w:p w14:paraId="461188F8" w14:textId="76F9E12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52FA021F" w14:textId="77777777" w:rsidR="00293040" w:rsidRPr="00727109" w:rsidRDefault="00293040" w:rsidP="00293040">
      <w:pPr>
        <w:pStyle w:val="Listenabsatz"/>
        <w:rPr>
          <w:rFonts w:ascii="Calibri" w:hAnsi="Calibri" w:cs="Calibri"/>
          <w:b/>
          <w:bCs/>
        </w:rPr>
      </w:pPr>
    </w:p>
    <w:p w14:paraId="04B10C88"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 findings are relevant as they extend the current knowledge to assert that professional or amateur vocalists or instrumentalists do not differ in their VER performance, neither do personality, or music sophistication play any role. However, this may still not be too surprising </w:t>
      </w:r>
      <w:proofErr w:type="gramStart"/>
      <w:r w:rsidRPr="00EA06B4">
        <w:rPr>
          <w:rFonts w:ascii="Calibri" w:hAnsi="Calibri" w:cs="Calibri"/>
          <w:b/>
          <w:bCs/>
          <w:color w:val="E97132" w:themeColor="accent2"/>
        </w:rPr>
        <w:t>in light of</w:t>
      </w:r>
      <w:proofErr w:type="gramEnd"/>
      <w:r w:rsidRPr="00EA06B4">
        <w:rPr>
          <w:rFonts w:ascii="Calibri" w:hAnsi="Calibri" w:cs="Calibri"/>
          <w:b/>
          <w:bCs/>
          <w:color w:val="E97132" w:themeColor="accent2"/>
        </w:rPr>
        <w:t xml:space="preserve"> previous literature, although this conclusion can now be drawn on a planned study. </w:t>
      </w:r>
      <w:r w:rsidRPr="00EA06B4">
        <w:rPr>
          <w:rFonts w:ascii="Calibri" w:hAnsi="Calibri" w:cs="Calibri"/>
          <w:b/>
          <w:bCs/>
          <w:color w:val="E97132" w:themeColor="accent2"/>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7134A3B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173A7767" w14:textId="77777777" w:rsidR="00293040" w:rsidRPr="00727109" w:rsidRDefault="00293040" w:rsidP="00293040">
      <w:pPr>
        <w:pStyle w:val="Listenabsatz"/>
        <w:rPr>
          <w:rFonts w:ascii="Calibri" w:hAnsi="Calibri" w:cs="Calibri"/>
          <w:b/>
          <w:bCs/>
        </w:rPr>
      </w:pPr>
    </w:p>
    <w:p w14:paraId="531548CA" w14:textId="658A4B3B"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There is ample research by Schellenberg to suggest that musical talent or aptitude rather than musical practice and expertise predicts a range of aspects of auditory </w:t>
      </w:r>
      <w:r w:rsidRPr="00EA06B4">
        <w:rPr>
          <w:rFonts w:ascii="Calibri" w:hAnsi="Calibri" w:cs="Calibri"/>
          <w:b/>
          <w:bCs/>
          <w:color w:val="E97132" w:themeColor="accent2"/>
        </w:rPr>
        <w:lastRenderedPageBreak/>
        <w:t xml:space="preserve">functioning, especially in the linguistic or speech domain </w:t>
      </w:r>
      <w:hyperlink r:id="rId9" w:history="1">
        <w:r w:rsidRPr="00EA06B4">
          <w:rPr>
            <w:rStyle w:val="Hyperlink"/>
            <w:rFonts w:ascii="Calibri" w:hAnsi="Calibri" w:cs="Calibri"/>
            <w:b/>
            <w:bCs/>
            <w:color w:val="E97132" w:themeColor="accent2"/>
          </w:rPr>
          <w:t>https://doi.org/10.1037/xlm0000798</w:t>
        </w:r>
      </w:hyperlink>
      <w:r w:rsidRPr="00EA06B4">
        <w:rPr>
          <w:rFonts w:ascii="Calibri" w:hAnsi="Calibri" w:cs="Calibri"/>
          <w:b/>
          <w:bCs/>
          <w:color w:val="E97132" w:themeColor="accent2"/>
        </w:rPr>
        <w:t>.</w:t>
      </w:r>
    </w:p>
    <w:p w14:paraId="79327BFE" w14:textId="2E1A31D6"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57514B1" w14:textId="77777777" w:rsidR="00293040" w:rsidRPr="00727109" w:rsidRDefault="00293040" w:rsidP="00293040">
      <w:pPr>
        <w:pStyle w:val="Listenabsatz"/>
        <w:rPr>
          <w:rFonts w:ascii="Calibri" w:hAnsi="Calibri" w:cs="Calibri"/>
          <w:b/>
          <w:bCs/>
        </w:rPr>
      </w:pPr>
    </w:p>
    <w:p w14:paraId="06C28985"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The authors report a software error (p.13</w:t>
      </w:r>
      <w:proofErr w:type="gramStart"/>
      <w:r w:rsidRPr="00EA06B4">
        <w:rPr>
          <w:rFonts w:ascii="Calibri" w:hAnsi="Calibri" w:cs="Calibri"/>
          <w:b/>
          <w:bCs/>
          <w:color w:val="E97132" w:themeColor="accent2"/>
        </w:rPr>
        <w:t>), but</w:t>
      </w:r>
      <w:proofErr w:type="gramEnd"/>
      <w:r w:rsidRPr="00EA06B4">
        <w:rPr>
          <w:rFonts w:ascii="Calibri" w:hAnsi="Calibri" w:cs="Calibri"/>
          <w:b/>
          <w:bCs/>
          <w:color w:val="E97132" w:themeColor="accent2"/>
        </w:rPr>
        <w:t xml:space="preserve"> offer no account </w:t>
      </w:r>
      <w:proofErr w:type="gramStart"/>
      <w:r w:rsidRPr="00EA06B4">
        <w:rPr>
          <w:rFonts w:ascii="Calibri" w:hAnsi="Calibri" w:cs="Calibri"/>
          <w:b/>
          <w:bCs/>
          <w:color w:val="E97132" w:themeColor="accent2"/>
        </w:rPr>
        <w:t>for</w:t>
      </w:r>
      <w:proofErr w:type="gramEnd"/>
      <w:r w:rsidRPr="00EA06B4">
        <w:rPr>
          <w:rFonts w:ascii="Calibri" w:hAnsi="Calibri" w:cs="Calibri"/>
          <w:b/>
          <w:bCs/>
          <w:color w:val="E97132" w:themeColor="accent2"/>
        </w:rPr>
        <w:t xml:space="preserve"> how that error could have affected the results.</w:t>
      </w:r>
    </w:p>
    <w:p w14:paraId="3BE34B83" w14:textId="76ED4E93"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7022666A" w14:textId="77777777" w:rsidR="00293040" w:rsidRPr="00727109" w:rsidRDefault="00293040" w:rsidP="00293040">
      <w:pPr>
        <w:pStyle w:val="Listenabsatz"/>
        <w:rPr>
          <w:rFonts w:ascii="Calibri" w:hAnsi="Calibri" w:cs="Calibri"/>
          <w:b/>
          <w:bCs/>
        </w:rPr>
      </w:pPr>
    </w:p>
    <w:p w14:paraId="6D7DC427" w14:textId="77777777" w:rsidR="00293040"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 xml:space="preserve">I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w:t>
      </w:r>
      <w:proofErr w:type="gramStart"/>
      <w:r w:rsidRPr="00EA06B4">
        <w:rPr>
          <w:rFonts w:ascii="Calibri" w:hAnsi="Calibri" w:cs="Calibri"/>
          <w:b/>
          <w:bCs/>
          <w:color w:val="E97132" w:themeColor="accent2"/>
        </w:rPr>
        <w:t>tests</w:t>
      </w:r>
      <w:proofErr w:type="gramEnd"/>
      <w:r w:rsidRPr="00EA06B4">
        <w:rPr>
          <w:rFonts w:ascii="Calibri" w:hAnsi="Calibri" w:cs="Calibri"/>
          <w:b/>
          <w:bCs/>
          <w:color w:val="E97132" w:themeColor="accent2"/>
        </w:rPr>
        <w:t xml:space="preserve"> whether the quality of responses at the beginning and at the end of the 25-minute period is still the same. </w:t>
      </w:r>
    </w:p>
    <w:p w14:paraId="6FEF481F" w14:textId="315B75DC"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p>
    <w:p w14:paraId="0CDB09E7" w14:textId="77777777" w:rsidR="00293040" w:rsidRPr="00727109" w:rsidRDefault="00293040" w:rsidP="00293040">
      <w:pPr>
        <w:pStyle w:val="Listenabsatz"/>
        <w:rPr>
          <w:rFonts w:ascii="Calibri" w:hAnsi="Calibri" w:cs="Calibri"/>
          <w:b/>
          <w:bCs/>
        </w:rPr>
      </w:pPr>
    </w:p>
    <w:p w14:paraId="551C8184" w14:textId="77777777" w:rsidR="00727109" w:rsidRPr="00EA06B4" w:rsidRDefault="00293040" w:rsidP="008F786B">
      <w:pPr>
        <w:pStyle w:val="Listenabsatz"/>
        <w:numPr>
          <w:ilvl w:val="0"/>
          <w:numId w:val="2"/>
        </w:numPr>
        <w:rPr>
          <w:rFonts w:ascii="Calibri" w:hAnsi="Calibri" w:cs="Calibri"/>
          <w:b/>
          <w:bCs/>
          <w:color w:val="E97132" w:themeColor="accent2"/>
        </w:rPr>
      </w:pPr>
      <w:r w:rsidRPr="00EA06B4">
        <w:rPr>
          <w:rFonts w:ascii="Calibri" w:hAnsi="Calibri" w:cs="Calibri"/>
          <w:b/>
          <w:bCs/>
          <w:color w:val="E97132" w:themeColor="accent2"/>
        </w:rPr>
        <w:t>Table 5 reports an emotion x morph type interaction. Did I miss a discussion of that effect, or follow-up analyses? Please explain.</w:t>
      </w:r>
    </w:p>
    <w:p w14:paraId="018ED86C" w14:textId="5BD8C289" w:rsidR="00293040"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proofErr w:type="spellStart"/>
      <w:r w:rsidRPr="00727109">
        <w:rPr>
          <w:rFonts w:ascii="Calibri" w:hAnsi="Calibri" w:cs="Calibri"/>
          <w:color w:val="C00000"/>
        </w:rPr>
        <w:t>ToDo</w:t>
      </w:r>
      <w:proofErr w:type="spellEnd"/>
      <w:r w:rsidR="00293040" w:rsidRPr="00727109">
        <w:rPr>
          <w:rFonts w:ascii="Calibri" w:hAnsi="Calibri" w:cs="Calibri"/>
          <w:b/>
          <w:bCs/>
        </w:rPr>
        <w:br/>
      </w:r>
      <w:r w:rsidR="00293040" w:rsidRPr="00727109">
        <w:rPr>
          <w:rFonts w:ascii="Calibri" w:hAnsi="Calibri" w:cs="Calibri"/>
          <w:b/>
          <w:bCs/>
        </w:rPr>
        <w:br/>
      </w:r>
    </w:p>
    <w:p w14:paraId="27396585" w14:textId="77777777" w:rsidR="008F786B" w:rsidRPr="00727109" w:rsidRDefault="008F786B" w:rsidP="008F786B">
      <w:pPr>
        <w:rPr>
          <w:rFonts w:ascii="Calibri" w:hAnsi="Calibri" w:cs="Calibri"/>
        </w:rPr>
      </w:pPr>
    </w:p>
    <w:sectPr w:rsidR="008F786B" w:rsidRPr="00727109"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nussbaum" w:date="2025-09-03T18:13:00Z" w:initials="c">
    <w:p w14:paraId="2F163F98" w14:textId="77777777" w:rsidR="004B5A19" w:rsidRDefault="004B5A19" w:rsidP="004B5A19">
      <w:pPr>
        <w:pStyle w:val="Kommentartext"/>
      </w:pPr>
      <w:r>
        <w:rPr>
          <w:rStyle w:val="Kommentarzeichen"/>
        </w:rPr>
        <w:annotationRef/>
      </w:r>
      <w:r>
        <w:t>Jessica</w:t>
      </w:r>
    </w:p>
  </w:comment>
  <w:comment w:id="1" w:author="christine.nussbaum" w:date="2025-09-03T18:13:00Z" w:initials="c">
    <w:p w14:paraId="22805BA7" w14:textId="18119A84" w:rsidR="004B5A19" w:rsidRDefault="004B5A19" w:rsidP="004B5A19">
      <w:pPr>
        <w:pStyle w:val="Kommentartext"/>
      </w:pPr>
      <w:r>
        <w:rPr>
          <w:rStyle w:val="Kommentarzeichen"/>
        </w:rPr>
        <w:annotationRef/>
      </w:r>
      <w:r>
        <w:t xml:space="preserve">@Jessica: das betrifft den Abschnitt direkt über Figure 3. Kannste da auch nochmal wachsam drüber lesen? </w:t>
      </w:r>
    </w:p>
  </w:comment>
  <w:comment w:id="2" w:author="christine.nussbaum" w:date="2025-09-03T17:49:00Z" w:initials="c">
    <w:p w14:paraId="1DA07F73" w14:textId="106FE0F8" w:rsidR="00B44972" w:rsidRDefault="00B44972" w:rsidP="00B44972">
      <w:pPr>
        <w:pStyle w:val="Kommentartext"/>
      </w:pPr>
      <w:r>
        <w:rPr>
          <w:rStyle w:val="Kommentarzeichen"/>
        </w:rPr>
        <w:annotationRef/>
      </w:r>
      <w:r>
        <w:t xml:space="preserve">Seid ihr damit einverstanden? Habe das jetzt an knapp 30 Stellen geändert, inklusive Titel und Keywords.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163F98" w15:done="0"/>
  <w15:commentEx w15:paraId="22805BA7" w15:done="0"/>
  <w15:commentEx w15:paraId="1DA07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B75F0" w16cex:dateUtc="2025-09-03T16:13:00Z"/>
  <w16cex:commentExtensible w16cex:durableId="385664F2" w16cex:dateUtc="2025-09-03T16:13:00Z"/>
  <w16cex:commentExtensible w16cex:durableId="6D1ABAA7" w16cex:dateUtc="2025-09-0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163F98" w16cid:durableId="285B75F0"/>
  <w16cid:commentId w16cid:paraId="22805BA7" w16cid:durableId="385664F2"/>
  <w16cid:commentId w16cid:paraId="1DA07F73" w16cid:durableId="6D1A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747725359">
    <w:abstractNumId w:val="0"/>
  </w:num>
  <w:num w:numId="2" w16cid:durableId="971062482">
    <w:abstractNumId w:val="1"/>
  </w:num>
  <w:num w:numId="3" w16cid:durableId="4486229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5749E"/>
    <w:rsid w:val="000672CF"/>
    <w:rsid w:val="00115EDE"/>
    <w:rsid w:val="001C1D45"/>
    <w:rsid w:val="002665AD"/>
    <w:rsid w:val="00291B60"/>
    <w:rsid w:val="00293040"/>
    <w:rsid w:val="002A7AAC"/>
    <w:rsid w:val="004B5A19"/>
    <w:rsid w:val="00523B4D"/>
    <w:rsid w:val="00727109"/>
    <w:rsid w:val="007A40EA"/>
    <w:rsid w:val="008A0884"/>
    <w:rsid w:val="008F786B"/>
    <w:rsid w:val="009A5FCE"/>
    <w:rsid w:val="00B01A9E"/>
    <w:rsid w:val="00B44972"/>
    <w:rsid w:val="00D958F5"/>
    <w:rsid w:val="00EA06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7/xlm00007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000000"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50597"/>
    <w:rsid w:val="0005749E"/>
    <w:rsid w:val="0028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3978</Words>
  <Characters>22676</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cp:revision>
  <dcterms:created xsi:type="dcterms:W3CDTF">2025-09-03T13:26:00Z</dcterms:created>
  <dcterms:modified xsi:type="dcterms:W3CDTF">2025-09-03T16:15:00Z</dcterms:modified>
</cp:coreProperties>
</file>