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6"/>
      </w:pPr>
      <w:r>
        <w:t>SOLUTION PACK DOCUMENT</w:t>
      </w:r>
    </w:p>
    <w:p>
      <w:pPr>
        <w:pStyle w:val="2"/>
      </w:pPr>
      <w:r>
        <w:t>1. Document Control</w:t>
      </w:r>
    </w:p>
    <w:tbl>
      <w:tblPr>
        <w:tblW w:w="10368" w:type="dxa"/>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Layout w:type="fixed"/>
        <w:tblCellMar>
          <w:top w:w="70" w:type="dxa"/>
          <w:left w:w="100" w:type="dxa"/>
          <w:bottom w:w="70" w:type="dxa"/>
          <w:right w:w="100" w:type="dxa"/>
        </w:tblCellMar>
        <w:tblLook w:firstColumn="1" w:firstRow="1" w:lastColumn="0" w:lastRow="0" w:noHBand="0" w:noVBand="1" w:val="04A0"/>
      </w:tblPr>
      <w:tblGrid>
        <w:gridCol w:w="3090"/>
        <w:gridCol w:w="7278"/>
      </w:tblGrid>
      <w:tr>
        <w:tc>
          <w:tcPr>
            <w:tcW w:type="dxa" w:w="3090"/>
            <w:shd w:val="clear" w:color="auto" w:fill="E9ECEF"/>
          </w:tcPr>
          <w:p>
            <w:r>
              <w:rPr>
                <w:b/>
                <w:color w:val="222222"/>
                <w:sz w:val="20"/>
              </w:rPr>
              <w:t>Document Name</w:t>
            </w:r>
          </w:p>
        </w:tc>
        <w:tc>
          <w:tcPr>
            <w:tcW w:type="dxa" w:w="7278"/>
          </w:tcPr>
          <w:p>
            <w:r>
              <w:rPr>
                <w:color w:val="222222"/>
                <w:sz w:val="20"/>
              </w:rPr>
              <w:t>Solution Pack Document</w:t>
            </w:r>
          </w:p>
        </w:tc>
      </w:tr>
      <w:tr>
        <w:tc>
          <w:tcPr>
            <w:tcW w:type="dxa" w:w="3090"/>
            <w:shd w:val="clear" w:color="auto" w:fill="E9ECEF"/>
          </w:tcPr>
          <w:p>
            <w:r>
              <w:rPr>
                <w:b/>
                <w:color w:val="222222"/>
                <w:sz w:val="20"/>
              </w:rPr>
              <w:t>Document Code</w:t>
            </w:r>
          </w:p>
        </w:tc>
        <w:tc>
          <w:tcPr>
            <w:tcW w:type="dxa" w:w="7278"/>
          </w:tcPr>
          <w:p>
            <w:r>
              <w:rPr>
                <w:color w:val="222222"/>
                <w:sz w:val="20"/>
              </w:rPr>
              <w:t>SPD-PUSDATIN-CSM-NETWORK-2027</w:t>
            </w:r>
          </w:p>
        </w:tc>
      </w:tr>
      <w:tr>
        <w:tc>
          <w:tcPr>
            <w:tcW w:type="dxa" w:w="3090"/>
            <w:shd w:val="clear" w:color="auto" w:fill="E9ECEF"/>
          </w:tcPr>
          <w:p>
            <w:r>
              <w:rPr>
                <w:b/>
                <w:color w:val="222222"/>
                <w:sz w:val="20"/>
              </w:rPr>
              <w:t>Project Code</w:t>
            </w:r>
          </w:p>
        </w:tc>
        <w:tc>
          <w:tcPr>
            <w:tcW w:type="dxa" w:w="7278"/>
          </w:tcPr>
          <w:p>
            <w:r>
              <w:rPr>
                <w:color w:val="222222"/>
                <w:sz w:val="20"/>
              </w:rPr>
              <w:t>PRJ-PUSDATIN-CSM-NETWORK-2027</w:t>
            </w:r>
          </w:p>
        </w:tc>
      </w:tr>
      <w:tr>
        <w:tc>
          <w:tcPr>
            <w:tcW w:type="dxa" w:w="3090"/>
            <w:shd w:val="clear" w:color="auto" w:fill="E9ECEF"/>
          </w:tcPr>
          <w:p>
            <w:r>
              <w:rPr>
                <w:b/>
                <w:color w:val="222222"/>
                <w:sz w:val="20"/>
              </w:rPr>
              <w:t>Reference Lead Code</w:t>
            </w:r>
          </w:p>
        </w:tc>
        <w:tc>
          <w:tcPr>
            <w:tcW w:type="dxa" w:w="7278"/>
          </w:tcPr>
          <w:p>
            <w:r>
              <w:rPr>
                <w:color w:val="222222"/>
                <w:sz w:val="20"/>
              </w:rPr>
              <w:t>TBD</w:t>
            </w:r>
          </w:p>
        </w:tc>
      </w:tr>
      <w:tr>
        <w:tc>
          <w:tcPr>
            <w:tcW w:type="dxa" w:w="3090"/>
            <w:shd w:val="clear" w:color="auto" w:fill="E9ECEF"/>
          </w:tcPr>
          <w:p>
            <w:r>
              <w:rPr>
                <w:b/>
                <w:color w:val="222222"/>
                <w:sz w:val="20"/>
              </w:rPr>
              <w:t>Lead Name</w:t>
            </w:r>
          </w:p>
        </w:tc>
        <w:tc>
          <w:tcPr>
            <w:tcW w:type="dxa" w:w="7278"/>
          </w:tcPr>
          <w:p>
            <w:r>
              <w:rPr>
                <w:color w:val="222222"/>
                <w:sz w:val="20"/>
              </w:rPr>
            </w:r>
          </w:p>
        </w:tc>
      </w:tr>
      <w:tr>
        <w:tc>
          <w:tcPr>
            <w:tcW w:type="dxa" w:w="3090"/>
            <w:shd w:val="clear" w:color="auto" w:fill="E9ECEF"/>
          </w:tcPr>
          <w:p>
            <w:r>
              <w:rPr>
                <w:b/>
                <w:color w:val="222222"/>
                <w:sz w:val="20"/>
              </w:rPr>
              <w:t>Customer Name</w:t>
            </w:r>
          </w:p>
        </w:tc>
        <w:tc>
          <w:tcPr>
            <w:tcW w:type="dxa" w:w="7278"/>
          </w:tcPr>
          <w:p>
            <w:r>
              <w:rPr>
                <w:color w:val="222222"/>
                <w:sz w:val="20"/>
              </w:rPr>
              <w:t>Kementerian Pertahanan Republik Indonesia</w:t>
            </w:r>
          </w:p>
        </w:tc>
      </w:tr>
      <w:tr>
        <w:tc>
          <w:tcPr>
            <w:tcW w:type="dxa" w:w="3090"/>
            <w:shd w:val="clear" w:color="auto" w:fill="E9ECEF"/>
          </w:tcPr>
          <w:p>
            <w:r>
              <w:rPr>
                <w:b/>
                <w:color w:val="222222"/>
                <w:sz w:val="20"/>
              </w:rPr>
              <w:t>End User</w:t>
            </w:r>
          </w:p>
        </w:tc>
        <w:tc>
          <w:tcPr>
            <w:tcW w:type="dxa" w:w="7278"/>
          </w:tcPr>
          <w:p>
            <w:r>
              <w:rPr>
                <w:color w:val="222222"/>
                <w:sz w:val="20"/>
              </w:rPr>
              <w:t>Pusdatin Kemhan</w:t>
            </w:r>
          </w:p>
        </w:tc>
      </w:tr>
      <w:tr>
        <w:tc>
          <w:tcPr>
            <w:tcW w:type="dxa" w:w="3090"/>
            <w:shd w:val="clear" w:color="auto" w:fill="E9ECEF"/>
          </w:tcPr>
          <w:p>
            <w:r>
              <w:rPr>
                <w:b/>
                <w:color w:val="222222"/>
                <w:sz w:val="20"/>
              </w:rPr>
              <w:t>Year &amp; Semester Delivery</w:t>
            </w:r>
          </w:p>
        </w:tc>
        <w:tc>
          <w:tcPr>
            <w:tcW w:type="dxa" w:w="7278"/>
          </w:tcPr>
          <w:p>
            <w:r>
              <w:rPr>
                <w:color w:val="222222"/>
                <w:sz w:val="20"/>
              </w:rPr>
              <w:t>TBD</w:t>
            </w:r>
          </w:p>
        </w:tc>
      </w:tr>
      <w:tr>
        <w:tc>
          <w:tcPr>
            <w:tcW w:type="dxa" w:w="3090"/>
            <w:shd w:val="clear" w:color="auto" w:fill="E9ECEF"/>
          </w:tcPr>
          <w:p>
            <w:r>
              <w:rPr>
                <w:b/>
                <w:color w:val="222222"/>
                <w:sz w:val="20"/>
              </w:rPr>
              <w:t>Version</w:t>
            </w:r>
          </w:p>
        </w:tc>
        <w:tc>
          <w:tcPr>
            <w:tcW w:type="dxa" w:w="7278"/>
          </w:tcPr>
          <w:p>
            <w:r>
              <w:rPr>
                <w:color w:val="222222"/>
                <w:sz w:val="20"/>
              </w:rPr>
              <w:t>V1.0 (initial draft)</w:t>
            </w:r>
          </w:p>
        </w:tc>
      </w:tr>
      <w:tr>
        <w:tc>
          <w:tcPr>
            <w:tcW w:type="dxa" w:w="3090"/>
            <w:shd w:val="clear" w:color="auto" w:fill="E9ECEF"/>
          </w:tcPr>
          <w:p>
            <w:r>
              <w:rPr>
                <w:b/>
                <w:color w:val="222222"/>
                <w:sz w:val="20"/>
              </w:rPr>
              <w:t>Document Owner</w:t>
            </w:r>
          </w:p>
        </w:tc>
        <w:tc>
          <w:tcPr>
            <w:tcW w:type="dxa" w:w="7278"/>
          </w:tcPr>
          <w:p>
            <w:r>
              <w:rPr>
                <w:color w:val="222222"/>
                <w:sz w:val="20"/>
              </w:rPr>
              <w:t>PreSales / PGO</w:t>
            </w:r>
          </w:p>
        </w:tc>
      </w:tr>
      <w:tr>
        <w:tc>
          <w:tcPr>
            <w:tcW w:type="dxa" w:w="3090"/>
            <w:shd w:val="clear" w:color="auto" w:fill="E9ECEF"/>
          </w:tcPr>
          <w:p>
            <w:r>
              <w:rPr>
                <w:b/>
                <w:color w:val="222222"/>
                <w:sz w:val="20"/>
              </w:rPr>
              <w:t>Document Status</w:t>
            </w:r>
          </w:p>
        </w:tc>
        <w:tc>
          <w:tcPr>
            <w:tcW w:type="dxa" w:w="7278"/>
          </w:tcPr>
          <w:p>
            <w:r>
              <w:rPr>
                <w:color w:val="222222"/>
                <w:sz w:val="20"/>
              </w:rPr>
              <w:t>Draft for S03 Review</w:t>
            </w:r>
          </w:p>
        </w:tc>
      </w:tr>
      <w:tr>
        <w:tc>
          <w:tcPr>
            <w:tcW w:type="dxa" w:w="3090"/>
            <w:shd w:val="clear" w:color="auto" w:fill="E9ECEF"/>
          </w:tcPr>
          <w:p>
            <w:r>
              <w:rPr>
                <w:b/>
                <w:color w:val="222222"/>
                <w:sz w:val="20"/>
              </w:rPr>
              <w:t>Branding Rule</w:t>
            </w:r>
          </w:p>
        </w:tc>
        <w:tc>
          <w:tcPr>
            <w:tcW w:type="dxa" w:w="7278"/>
          </w:tcPr>
          <w:p>
            <w:r>
              <w:rPr>
                <w:color w:val="222222"/>
                <w:sz w:val="20"/>
              </w:rPr>
            </w:r>
          </w:p>
        </w:tc>
      </w:tr>
    </w:tbl>
    <w:p>
      <w:r>
        <w:br w:type="page"/>
      </w:r>
    </w:p>
    <w:p>
      <w:pPr>
        <w:pStyle w:val="2"/>
      </w:pPr>
      <w:r>
        <w:t>2. Project Background</w:t>
      </w:r>
    </w:p>
    <w:p>
      <w:pPr>
        <w:pStyle w:val="3"/>
      </w:pPr>
      <w:r>
        <w:t>2.1 Customer Background</w:t>
      </w:r>
    </w:p>
    <w:p>
      <w:pPr>
        <w:pStyle w:val="167"/>
      </w:pPr>
      <w:r>
        <w:t>Pusat Data dan Informasi Kementerian Pertahanan (Pusdatin Kemhan) memiliki peran penting dalam mendukung layanan data, aplikasi, infrastruktur teknologi informasi, konektivitas, dan pengamanan sistem informasi di lingkungan Kementerian Pertahanan. Berdasarkan hasil audiensi kebutuhan Tahun Anggaran 2027, Counter Surveillance Mobile (CSM) menjadi salah satu prioritas untuk mendukung kegiatan counter-surveillance dan sterilisasi pimpinan.</w:t>
      </w:r>
    </w:p>
    <w:p>
      <w:pPr>
        <w:pStyle w:val="3"/>
      </w:pPr>
      <w:r>
        <w:t>2.2 Problem Statement</w:t>
      </w:r>
    </w:p>
    <w:p>
      <w:pPr>
        <w:pStyle w:val="167"/>
      </w:pPr>
      <w:r>
        <w:t>Kegiatan pengamanan pimpinan dan area strategis menghadapi ancaman yang berasal dari perangkat penyadapan RF, perangkat elektronik tersembunyi, kamera tersembunyi, rogue atau fake Wi-Fi, perangkat seluler yang tidak diotorisasi, serta aktivitas drone di sekitar area pengamanan.</w:t>
      </w:r>
    </w:p>
    <w:p>
      <w:pPr>
        <w:pStyle w:val="167"/>
      </w:pPr>
      <w:r>
        <w:t>Peralatan yang tersedia masih perlu diperkuat dengan kemampuan modern, mobile, terintegrasi, dan dapat dioperasikan secara cepat untuk mendukung deteksi, identifikasi, sterilisasi, pencatatan kejadian, dan respons lapangan.</w:t>
      </w:r>
    </w:p>
    <w:p>
      <w:pPr>
        <w:pStyle w:val="3"/>
      </w:pPr>
      <w:r>
        <w:t>2.3 Objective</w:t>
      </w:r>
    </w:p>
    <w:p>
      <w:pPr>
        <w:pStyle w:val="BulletList-H2"/>
      </w:pPr>
      <w:r>
        <w:t>Menyediakan platform Counter Surveillance Mobile untuk kegiatan sterilisasi pimpinan, ruang, kendaraan, dan area strategis.</w:t>
      </w:r>
    </w:p>
    <w:p>
      <w:pPr>
        <w:pStyle w:val="BulletList-H2"/>
      </w:pPr>
      <w:r>
        <w:t>Menyediakan IMSI Radar dan Jammer WB (Whitelist/Blacklist) untuk mendeteksi presence perangkat seluler dan menerapkan kebijakan akses komunikasi secara selektif.</w:t>
      </w:r>
    </w:p>
    <w:p>
      <w:pPr>
        <w:pStyle w:val="BulletList-H2"/>
      </w:pPr>
      <w:r>
        <w:t>Menyediakan Drone Detection Radar berbasis RF dan perangkat mitigasi Counter-UAS untuk deteksi dini serta penanganan drone tidak berizin.</w:t>
      </w:r>
    </w:p>
    <w:p>
      <w:pPr>
        <w:pStyle w:val="BulletList-H2"/>
      </w:pPr>
      <w:r>
        <w:t>Meningkatkan kemampuan penyisiran terhadap perangkat sadap aktif maupun pasif, kamera tersembunyi, sinyal RF, jaringan Wi-Fi, dan perangkat elektronik tersembunyi.</w:t>
      </w:r>
    </w:p>
    <w:p>
      <w:pPr>
        <w:pStyle w:val="BulletList-H2"/>
      </w:pPr>
      <w:r>
        <w:t>Menyediakan monitoring, alert, logging, reporting, dan pengolahan data untuk mendukung keputusan operasional.</w:t>
      </w:r>
    </w:p>
    <w:p>
      <w:r>
        <w:br w:type="page"/>
      </w:r>
    </w:p>
    <w:p>
      <w:pPr>
        <w:pStyle w:val="2"/>
      </w:pPr>
      <w:r>
        <w:t>3. User Requirement Summary</w:t>
      </w:r>
    </w:p>
    <w:tbl>
      <w:tblPr>
        <w:tblW w:w="10368" w:type="dxa"/>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Layout w:type="fixed"/>
        <w:tblCellMar>
          <w:top w:w="70" w:type="dxa"/>
          <w:left w:w="100" w:type="dxa"/>
          <w:bottom w:w="70" w:type="dxa"/>
          <w:right w:w="100" w:type="dxa"/>
        </w:tblCellMar>
        <w:tblLook w:firstColumn="1" w:firstRow="1" w:lastColumn="0" w:lastRow="0" w:noHBand="0" w:noVBand="1" w:val="04A0"/>
      </w:tblPr>
      <w:tblGrid>
        <w:gridCol w:w="605"/>
        <w:gridCol w:w="2370"/>
        <w:gridCol w:w="7393"/>
      </w:tblGrid>
      <w:tr>
        <w:trPr>
          <w:cantSplit/>
          <w:tblHeader/>
        </w:trPr>
        <w:tc>
          <w:tcPr>
            <w:tcW w:type="dxa" w:w="605"/>
            <w:shd w:val="clear" w:color="auto" w:fill="4F81BD"/>
            <w:vAlign w:val="center"/>
          </w:tcPr>
          <w:p>
            <w:pPr>
              <w:jc w:val="center"/>
            </w:pPr>
            <w:r>
              <w:rPr>
                <w:b/>
                <w:color w:val="FFFFFF"/>
                <w:sz w:val="20"/>
              </w:rPr>
              <w:t>No</w:t>
            </w:r>
          </w:p>
        </w:tc>
        <w:tc>
          <w:tcPr>
            <w:tcW w:type="dxa" w:w="2370"/>
            <w:shd w:val="clear" w:color="auto" w:fill="4F81BD"/>
            <w:vAlign w:val="center"/>
          </w:tcPr>
          <w:p>
            <w:pPr>
              <w:jc w:val="center"/>
            </w:pPr>
            <w:r>
              <w:rPr>
                <w:b/>
                <w:color w:val="FFFFFF"/>
                <w:sz w:val="20"/>
              </w:rPr>
              <w:t>User Requirement</w:t>
            </w:r>
          </w:p>
        </w:tc>
        <w:tc>
          <w:tcPr>
            <w:tcW w:type="dxa" w:w="7393"/>
            <w:shd w:val="clear" w:color="auto" w:fill="4F81BD"/>
            <w:vAlign w:val="center"/>
          </w:tcPr>
          <w:p>
            <w:pPr>
              <w:jc w:val="center"/>
            </w:pPr>
            <w:r>
              <w:rPr>
                <w:b/>
                <w:color w:val="FFFFFF"/>
                <w:sz w:val="20"/>
              </w:rPr>
              <w:t>Deskripsi</w:t>
            </w:r>
          </w:p>
        </w:tc>
      </w:tr>
      <w:tr>
        <w:tc>
          <w:tcPr>
            <w:tcW w:type="dxa" w:w="605"/>
            <w:shd w:val="clear" w:color="auto" w:fill="DBE5F1"/>
            <w:vAlign w:val="center"/>
          </w:tcPr>
          <w:p>
            <w:pPr>
              <w:numPr>
                <w:ilvl w:val="0"/>
                <w:numId w:val="7"/>
              </w:numPr>
            </w:pPr>
          </w:p>
        </w:tc>
        <w:tc>
          <w:tcPr>
            <w:tcW w:type="dxa" w:w="2370"/>
            <w:shd w:val="clear" w:color="auto" w:fill="DBE5F1"/>
            <w:vAlign w:val="center"/>
          </w:tcPr>
          <w:p>
            <w:pPr>
              <w:pStyle w:val="166"/>
            </w:pPr>
            <w:r>
              <w:t>Counter Surveillance Mobile</w:t>
            </w:r>
          </w:p>
        </w:tc>
        <w:tc>
          <w:tcPr>
            <w:tcW w:type="dxa" w:w="7393"/>
            <w:shd w:val="clear" w:color="auto" w:fill="DBE5F1"/>
            <w:vAlign w:val="center"/>
          </w:tcPr>
          <w:p>
            <w:pPr>
              <w:pStyle w:val="Table-Description"/>
            </w:pPr>
            <w:r>
              <w:t>Platform bergerak untuk membawa, mengoperasikan, dan mengintegrasikan perangkat counter-surveillance serta perangkat sterilisasi di lokasi kegiatan.</w:t>
            </w:r>
          </w:p>
        </w:tc>
      </w:tr>
      <w:tr>
        <w:tc>
          <w:tcPr>
            <w:tcW w:type="dxa" w:w="605"/>
            <w:shd w:val="clear" w:color="auto" w:fill="FFFFFF"/>
            <w:vAlign w:val="center"/>
          </w:tcPr>
          <w:p>
            <w:pPr>
              <w:numPr>
                <w:ilvl w:val="0"/>
                <w:numId w:val="7"/>
              </w:numPr>
            </w:pPr>
          </w:p>
        </w:tc>
        <w:tc>
          <w:tcPr>
            <w:tcW w:type="dxa" w:w="2370"/>
            <w:shd w:val="clear" w:color="auto" w:fill="FFFFFF"/>
            <w:vAlign w:val="center"/>
          </w:tcPr>
          <w:p>
            <w:pPr>
              <w:pStyle w:val="166"/>
            </w:pPr>
            <w:r>
              <w:t>IMSI Radar</w:t>
            </w:r>
          </w:p>
        </w:tc>
        <w:tc>
          <w:tcPr>
            <w:tcW w:type="dxa" w:w="7393"/>
            <w:shd w:val="clear" w:color="auto" w:fill="FFFFFF"/>
            <w:vAlign w:val="center"/>
          </w:tcPr>
          <w:p>
            <w:pPr>
              <w:pStyle w:val="Table-Description"/>
            </w:pPr>
            <w:r>
              <w:t>Mendeteksi dan menampilkan jumlah atau presence IMSI/perangkat seluler di sekitar area operasi secara real-time.</w:t>
            </w:r>
          </w:p>
        </w:tc>
      </w:tr>
      <w:tr>
        <w:tc>
          <w:tcPr>
            <w:tcW w:type="dxa" w:w="605"/>
            <w:shd w:val="clear" w:color="auto" w:fill="DBE5F1"/>
            <w:vAlign w:val="center"/>
          </w:tcPr>
          <w:p>
            <w:pPr>
              <w:numPr>
                <w:ilvl w:val="0"/>
                <w:numId w:val="7"/>
              </w:numPr>
            </w:pPr>
          </w:p>
        </w:tc>
        <w:tc>
          <w:tcPr>
            <w:tcW w:type="dxa" w:w="2370"/>
            <w:shd w:val="clear" w:color="auto" w:fill="DBE5F1"/>
            <w:vAlign w:val="center"/>
          </w:tcPr>
          <w:p>
            <w:pPr>
              <w:pStyle w:val="166"/>
            </w:pPr>
            <w:r>
              <w:t>Jammer WB (Whitelist/Blacklist)</w:t>
            </w:r>
          </w:p>
        </w:tc>
        <w:tc>
          <w:tcPr>
            <w:tcW w:type="dxa" w:w="7393"/>
            <w:shd w:val="clear" w:color="auto" w:fill="DBE5F1"/>
            <w:vAlign w:val="center"/>
          </w:tcPr>
          <w:p>
            <w:pPr>
              <w:pStyle w:val="Table-Description"/>
            </w:pPr>
            <w:r>
              <w:t>Menerapkan kebijakan komunikasi selektif sehingga perangkat yang diotorisasi dapat dikecualikan, sedangkan perangkat dalam blacklist dapat dibatasi sesuai SOP dan kewenangan.</w:t>
            </w:r>
          </w:p>
        </w:tc>
      </w:tr>
      <w:tr>
        <w:tc>
          <w:tcPr>
            <w:tcW w:type="dxa" w:w="605"/>
            <w:shd w:val="clear" w:color="auto" w:fill="FFFFFF"/>
            <w:vAlign w:val="center"/>
          </w:tcPr>
          <w:p>
            <w:pPr>
              <w:numPr>
                <w:ilvl w:val="0"/>
                <w:numId w:val="7"/>
              </w:numPr>
            </w:pPr>
          </w:p>
        </w:tc>
        <w:tc>
          <w:tcPr>
            <w:tcW w:type="dxa" w:w="2370"/>
            <w:shd w:val="clear" w:color="auto" w:fill="FFFFFF"/>
            <w:vAlign w:val="center"/>
          </w:tcPr>
          <w:p>
            <w:pPr>
              <w:pStyle w:val="166"/>
            </w:pPr>
            <w:r>
              <w:t>Drone Detection Radar &amp; Counter-UAS</w:t>
            </w:r>
          </w:p>
        </w:tc>
        <w:tc>
          <w:tcPr>
            <w:tcW w:type="dxa" w:w="7393"/>
            <w:shd w:val="clear" w:color="auto" w:fill="FFFFFF"/>
            <w:vAlign w:val="center"/>
          </w:tcPr>
          <w:p>
            <w:pPr>
              <w:pStyle w:val="Table-Description"/>
            </w:pPr>
            <w:r>
              <w:t>Mendeteksi aktivitas drone secara omnidirectional, memberikan early warning, dan mendukung mitigasi terhadap drone yang tidak berizin.</w:t>
            </w:r>
          </w:p>
        </w:tc>
      </w:tr>
      <w:tr>
        <w:tc>
          <w:tcPr>
            <w:tcW w:type="dxa" w:w="605"/>
            <w:shd w:val="clear" w:color="auto" w:fill="DBE5F1"/>
            <w:vAlign w:val="center"/>
          </w:tcPr>
          <w:p>
            <w:pPr>
              <w:numPr>
                <w:ilvl w:val="0"/>
                <w:numId w:val="7"/>
              </w:numPr>
            </w:pPr>
          </w:p>
        </w:tc>
        <w:tc>
          <w:tcPr>
            <w:tcW w:type="dxa" w:w="2370"/>
            <w:shd w:val="clear" w:color="auto" w:fill="DBE5F1"/>
            <w:vAlign w:val="center"/>
          </w:tcPr>
          <w:p>
            <w:pPr>
              <w:pStyle w:val="166"/>
            </w:pPr>
            <w:r>
              <w:t>RF, Wired &amp; Hidden Camera Sterilization</w:t>
            </w:r>
          </w:p>
        </w:tc>
        <w:tc>
          <w:tcPr>
            <w:tcW w:type="dxa" w:w="7393"/>
            <w:shd w:val="clear" w:color="auto" w:fill="DBE5F1"/>
            <w:vAlign w:val="center"/>
          </w:tcPr>
          <w:p>
            <w:pPr>
              <w:pStyle w:val="Table-Description"/>
            </w:pPr>
            <w:r>
              <w:t>Mendeteksi perangkat penyadapan RF maupun wired, aktivitas transmisi, kamera tersembunyi, IR, laser, visible beam, serta menyimpan hasil pemeriksaan.</w:t>
            </w:r>
          </w:p>
        </w:tc>
      </w:tr>
      <w:tr>
        <w:tc>
          <w:tcPr>
            <w:tcW w:type="dxa" w:w="605"/>
            <w:shd w:val="clear" w:color="auto" w:fill="FFFFFF"/>
            <w:vAlign w:val="center"/>
          </w:tcPr>
          <w:p>
            <w:pPr>
              <w:numPr>
                <w:ilvl w:val="0"/>
                <w:numId w:val="7"/>
              </w:numPr>
            </w:pPr>
          </w:p>
        </w:tc>
        <w:tc>
          <w:tcPr>
            <w:tcW w:type="dxa" w:w="2370"/>
            <w:shd w:val="clear" w:color="auto" w:fill="FFFFFF"/>
            <w:vAlign w:val="center"/>
          </w:tcPr>
          <w:p>
            <w:pPr>
              <w:pStyle w:val="166"/>
            </w:pPr>
            <w:r>
              <w:t>Passive Electronic Device Detection</w:t>
            </w:r>
          </w:p>
        </w:tc>
        <w:tc>
          <w:tcPr>
            <w:tcW w:type="dxa" w:w="7393"/>
            <w:shd w:val="clear" w:color="auto" w:fill="FFFFFF"/>
            <w:vAlign w:val="center"/>
          </w:tcPr>
          <w:p>
            <w:pPr>
              <w:pStyle w:val="Table-Description"/>
            </w:pPr>
            <w:r>
              <w:t>Mendeteksi perangkat elektronik berbasis semikonduktor dalam kondisi aktif maupun tidak aktif melalui perangkat pasif/NLJD.</w:t>
            </w:r>
          </w:p>
        </w:tc>
      </w:tr>
      <w:tr>
        <w:tc>
          <w:tcPr>
            <w:tcW w:type="dxa" w:w="605"/>
            <w:shd w:val="clear" w:color="auto" w:fill="DBE5F1"/>
            <w:vAlign w:val="center"/>
          </w:tcPr>
          <w:p>
            <w:pPr>
              <w:numPr>
                <w:ilvl w:val="0"/>
                <w:numId w:val="7"/>
              </w:numPr>
            </w:pPr>
          </w:p>
        </w:tc>
        <w:tc>
          <w:tcPr>
            <w:tcW w:type="dxa" w:w="2370"/>
            <w:shd w:val="clear" w:color="auto" w:fill="DBE5F1"/>
            <w:vAlign w:val="center"/>
          </w:tcPr>
          <w:p>
            <w:pPr>
              <w:pStyle w:val="166"/>
            </w:pPr>
            <w:r>
              <w:t>Wireless &amp; Wi-Fi Identification</w:t>
            </w:r>
          </w:p>
        </w:tc>
        <w:tc>
          <w:tcPr>
            <w:tcW w:type="dxa" w:w="7393"/>
            <w:shd w:val="clear" w:color="auto" w:fill="DBE5F1"/>
            <w:vAlign w:val="center"/>
          </w:tcPr>
          <w:p>
            <w:pPr>
              <w:pStyle w:val="Table-Description"/>
            </w:pPr>
            <w:r>
              <w:t>Mengidentifikasi access point, client, parameter jaringan, rogue/fake Wi-Fi, dan aktivitas paket di sekitar area operasi.</w:t>
            </w:r>
          </w:p>
        </w:tc>
      </w:tr>
      <w:tr>
        <w:tc>
          <w:tcPr>
            <w:tcW w:type="dxa" w:w="605"/>
            <w:shd w:val="clear" w:color="auto" w:fill="FFFFFF"/>
            <w:vAlign w:val="center"/>
          </w:tcPr>
          <w:p>
            <w:pPr>
              <w:numPr>
                <w:ilvl w:val="0"/>
                <w:numId w:val="7"/>
              </w:numPr>
            </w:pPr>
          </w:p>
        </w:tc>
        <w:tc>
          <w:tcPr>
            <w:tcW w:type="dxa" w:w="2370"/>
            <w:shd w:val="clear" w:color="auto" w:fill="FFFFFF"/>
            <w:vAlign w:val="center"/>
          </w:tcPr>
          <w:p>
            <w:pPr>
              <w:pStyle w:val="166"/>
            </w:pPr>
            <w:r>
              <w:t>Operational Monitoring &amp; Reporting</w:t>
            </w:r>
          </w:p>
        </w:tc>
        <w:tc>
          <w:tcPr>
            <w:tcW w:type="dxa" w:w="7393"/>
            <w:shd w:val="clear" w:color="auto" w:fill="FFFFFF"/>
            <w:vAlign w:val="center"/>
          </w:tcPr>
          <w:p>
            <w:pPr>
              <w:pStyle w:val="Table-Description"/>
            </w:pPr>
            <w:r>
              <w:t>Menyediakan dashboard, status perangkat, alert, event logging, audit trail, histori campaign, dan laporan operasional.</w:t>
            </w:r>
          </w:p>
        </w:tc>
      </w:tr>
      <w:tr>
        <w:tc>
          <w:tcPr>
            <w:tcW w:type="dxa" w:w="605"/>
            <w:shd w:val="clear" w:color="auto" w:fill="DBE5F1"/>
            <w:vAlign w:val="center"/>
          </w:tcPr>
          <w:p>
            <w:pPr>
              <w:numPr>
                <w:ilvl w:val="0"/>
                <w:numId w:val="7"/>
              </w:numPr>
            </w:pPr>
          </w:p>
        </w:tc>
        <w:tc>
          <w:tcPr>
            <w:tcW w:type="dxa" w:w="2370"/>
            <w:shd w:val="clear" w:color="auto" w:fill="DBE5F1"/>
            <w:vAlign w:val="center"/>
          </w:tcPr>
          <w:p>
            <w:pPr>
              <w:pStyle w:val="166"/>
            </w:pPr>
            <w:r>
              <w:t>Secure Data Processing</w:t>
            </w:r>
          </w:p>
        </w:tc>
        <w:tc>
          <w:tcPr>
            <w:tcW w:type="dxa" w:w="7393"/>
            <w:shd w:val="clear" w:color="auto" w:fill="DBE5F1"/>
            <w:vAlign w:val="center"/>
          </w:tcPr>
          <w:p>
            <w:pPr>
              <w:pStyle w:val="Table-Description"/>
            </w:pPr>
            <w:r>
              <w:t>Menyediakan perangkat pengolah data dan media penyimpanan terenkripsi untuk mendukung pengelolaan hasil operasi.</w:t>
            </w:r>
          </w:p>
        </w:tc>
      </w:tr>
      <w:tr>
        <w:tc>
          <w:tcPr>
            <w:tcW w:type="dxa" w:w="605"/>
            <w:shd w:val="clear" w:color="auto" w:fill="FFFFFF"/>
            <w:vAlign w:val="center"/>
          </w:tcPr>
          <w:p>
            <w:pPr>
              <w:numPr>
                <w:ilvl w:val="0"/>
                <w:numId w:val="7"/>
              </w:numPr>
            </w:pPr>
          </w:p>
        </w:tc>
        <w:tc>
          <w:tcPr>
            <w:tcW w:type="dxa" w:w="2370"/>
            <w:shd w:val="clear" w:color="auto" w:fill="FFFFFF"/>
            <w:vAlign w:val="center"/>
          </w:tcPr>
          <w:p>
            <w:pPr>
              <w:pStyle w:val="166"/>
            </w:pPr>
            <w:r>
              <w:t>Inter-Building Network</w:t>
            </w:r>
          </w:p>
        </w:tc>
        <w:tc>
          <w:tcPr>
            <w:tcW w:type="dxa" w:w="7393"/>
            <w:shd w:val="clear" w:color="auto" w:fill="FFFFFF"/>
            <w:vAlign w:val="center"/>
          </w:tcPr>
          <w:p>
            <w:pPr>
              <w:pStyle w:val="Table-Description"/>
            </w:pPr>
            <w:r>
              <w:t>Menyediakan perangkat aktif jaringan, rack, distribusi daya, dan proteksi kelistrikan; spesifikasi serta volume ditetapkan setelah survei terpisah.</w:t>
            </w:r>
          </w:p>
        </w:tc>
      </w:tr>
    </w:tbl>
    <w:p>
      <w:r>
        <w:br w:type="page"/>
      </w:r>
    </w:p>
    <w:p>
      <w:pPr>
        <w:pStyle w:val="2"/>
      </w:pPr>
      <w:r>
        <w:t>4. Proposed Solution</w:t>
      </w:r>
    </w:p>
    <w:p>
      <w:pPr>
        <w:pStyle w:val="3"/>
      </w:pPr>
      <w:r>
        <w:t>4.1 Solution Name</w:t>
      </w:r>
    </w:p>
    <w:tbl>
      <w:tblPr>
        <w:tblW w:w="10368" w:type="dxa"/>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Layout w:type="fixed"/>
        <w:tblCellMar>
          <w:top w:w="70" w:type="dxa"/>
          <w:left w:w="100" w:type="dxa"/>
          <w:bottom w:w="70" w:type="dxa"/>
          <w:right w:w="100" w:type="dxa"/>
        </w:tblCellMar>
        <w:tblLook w:firstColumn="1" w:firstRow="1" w:lastColumn="0" w:lastRow="0" w:noHBand="0" w:noVBand="1" w:val="04A0"/>
      </w:tblPr>
      <w:tblGrid>
        <w:gridCol w:w="3090"/>
        <w:gridCol w:w="7278"/>
      </w:tblGrid>
      <w:tr>
        <w:tc>
          <w:tcPr>
            <w:tcW w:type="dxa" w:w="3090"/>
            <w:shd w:val="clear" w:color="auto" w:fill="4F81BD"/>
            <w:vAlign w:val="center"/>
          </w:tcPr>
          <w:p>
            <w:pPr>
              <w:pStyle w:val="166"/>
              <w:jc w:val="center"/>
            </w:pPr>
            <w:r>
              <w:rPr>
                <w:color w:val="FFFFFF"/>
              </w:rPr>
              <w:t>Item</w:t>
            </w:r>
          </w:p>
        </w:tc>
        <w:tc>
          <w:tcPr>
            <w:tcW w:type="dxa" w:w="7278"/>
            <w:shd w:val="clear" w:color="auto" w:fill="4F81BD"/>
            <w:vAlign w:val="center"/>
          </w:tcPr>
          <w:p>
            <w:pPr>
              <w:pStyle w:val="166"/>
              <w:jc w:val="center"/>
            </w:pPr>
            <w:r>
              <w:rPr>
                <w:color w:val="FFFFFF"/>
              </w:rPr>
              <w:t>Deskripsi</w:t>
            </w:r>
          </w:p>
        </w:tc>
      </w:tr>
      <w:tr>
        <w:tc>
          <w:tcPr>
            <w:tcW w:type="dxa" w:w="3090"/>
            <w:shd w:val="clear" w:color="auto" w:fill="E9ECEF"/>
            <w:vAlign w:val="center"/>
          </w:tcPr>
          <w:p>
            <w:pPr>
              <w:pStyle w:val="166"/>
            </w:pPr>
            <w:r>
              <w:t>Solution Name</w:t>
            </w:r>
          </w:p>
        </w:tc>
        <w:tc>
          <w:tcPr>
            <w:tcW w:type="dxa" w:w="7278"/>
            <w:vAlign w:val="center"/>
          </w:tcPr>
          <w:p>
            <w:pPr>
              <w:pStyle w:val="Table-Description"/>
            </w:pPr>
            <w:r>
              <w:t>Integrated Counter Surveillance Mobile System</w:t>
            </w:r>
          </w:p>
        </w:tc>
      </w:tr>
      <w:tr>
        <w:tc>
          <w:tcPr>
            <w:tcW w:type="dxa" w:w="3090"/>
            <w:shd w:val="clear" w:color="auto" w:fill="E9ECEF"/>
            <w:vAlign w:val="center"/>
          </w:tcPr>
          <w:p>
            <w:pPr>
              <w:pStyle w:val="166"/>
            </w:pPr>
            <w:r>
              <w:t>Solution Category</w:t>
            </w:r>
          </w:p>
        </w:tc>
        <w:tc>
          <w:tcPr>
            <w:tcW w:type="dxa" w:w="7278"/>
            <w:vAlign w:val="center"/>
          </w:tcPr>
          <w:p>
            <w:pPr>
              <w:pStyle w:val="Table-Description"/>
            </w:pPr>
            <w:r>
              <w:t>Counter Surveillance, Electronic Security &amp; Counter-UAS</w:t>
            </w:r>
          </w:p>
        </w:tc>
      </w:tr>
      <w:tr>
        <w:tc>
          <w:tcPr>
            <w:tcW w:type="dxa" w:w="3090"/>
            <w:shd w:val="clear" w:color="auto" w:fill="E9ECEF"/>
            <w:vAlign w:val="center"/>
          </w:tcPr>
          <w:p>
            <w:pPr>
              <w:pStyle w:val="166"/>
            </w:pPr>
            <w:r>
              <w:t>Deployment Context</w:t>
            </w:r>
          </w:p>
        </w:tc>
        <w:tc>
          <w:tcPr>
            <w:tcW w:type="dxa" w:w="7278"/>
            <w:vAlign w:val="center"/>
          </w:tcPr>
          <w:p>
            <w:pPr>
              <w:pStyle w:val="Table-Description"/>
            </w:pPr>
            <w:r>
              <w:t>Mobile Leadership Sterilization / Strategic Area Protection</w:t>
            </w:r>
          </w:p>
        </w:tc>
      </w:tr>
    </w:tbl>
    <w:p>
      <w:pPr>
        <w:pStyle w:val="3"/>
      </w:pPr>
      <w:r>
        <w:t>4.2 Solution Overview</w:t>
      </w:r>
    </w:p>
    <w:p>
      <w:pPr>
        <w:pStyle w:val="167"/>
      </w:pPr>
      <w:r>
        <w:t>Solusi yang diusulkan mengintegrasikan empat lapisan kemampuan. Lapisan pertama adalah IMSI Radar dan Jammer WB (Whitelist/Blacklist) untuk memberikan awareness terhadap presence perangkat seluler serta menerapkan kebijakan komunikasi selektif. Lapisan kedua adalah Drone Detection Radar berbasis RF dan perangkat Counter-UAS untuk deteksi dini, pemantauan 360 derajat, dan mitigasi drone tidak berizin. Lapisan ketiga adalah perangkat sterilisasi yang mencakup deteksi RF dan wired, hidden camera optics, perangkat elektronik pasif, analisis spektrum, direction finding, identifikasi Wi-Fi, serta acoustic countermeasure. Seluruh perangkat utama dioperasikan melalui platform Counter Surveillance Mobile dan didukung pengolahan serta penyimpanan data yang aman.</w:t>
      </w:r>
    </w:p>
    <w:p>
      <w:pPr>
        <w:pStyle w:val="167"/>
      </w:pPr>
      <w:r>
        <w:t>Catatan operasional: aktivasi fungsi jamming dan mitigasi Counter-UAS dilaksanakan hanya oleh personel berwenang sesuai SOP, izin penggunaan spektrum, dan ketentuan yang berlaku.</w:t>
      </w:r>
    </w:p>
    <w:sectPr>
      <w:headerReference w:type="default" r:id="rId13"/>
      <w:footerReference w:type="default" r:id="rId14"/>
      <w:pgSz w:w="12240" w:h="15840"/>
      <w:pgMar w:top="936" w:right="936" w:bottom="936" w:left="936"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1"/>
      </w:pPr>
      <w:r>
        <w:separator/>
      </w:r>
    </w:p>
  </w:endnote>
  <w:endnote w:type="continuationSeparator" w:id="1">
    <w:p>
      <w:pPr>
        <w:spacing w:line="240" w:lineRule="auto"/>
        <w:ind w:firstLine="4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等线">
    <w:altName w:val="苹方-简"/>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Georgia">
    <w:panose1 w:val="02040502050405090303"/>
    <w:charset w:val="01"/>
    <w:family w:val="roman"/>
    <w:pitch w:val="default"/>
    <w:sig w:usb0="00000287" w:usb1="00000000" w:usb2="00000000" w:usb3="00000000" w:csb0="2000009F" w:csb1="00000000"/>
  </w:font>
  <w:font w:name="Cali">
    <w:altName w:val="苹方-简"/>
    <w:panose1 w:val="00000000000000000000"/>
    <w:charset w:val="00"/>
    <w:family w:val="auto"/>
    <w:pitch w:val="default"/>
    <w:sig w:usb0="00000000" w:usb1="00000000" w:usb2="00000000" w:usb3="00000000" w:csb0="00000000" w:csb1="00000000"/>
  </w:font>
  <w:font w:name="Calibri (Heading)">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18"/>
      <w:jc w:val="center"/>
    </w:pPr>
  </w:p>
  <w:p>
    <w:pPr>
      <w:pStyle w:val="18"/>
      <w:jc w:val="center"/>
    </w:pPr>
    <w:r>
      <w:rPr>
        <w:color w:val="5A5A5A"/>
        <w:sz w:val="16"/>
      </w:rPr>
      <w:t>Internal Draft - S03 Approval Use Only</w:t>
    </w:r>
  </w:p>
  <w:p>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ind w:firstLine="41"/>
      </w:pPr>
      <w:r>
        <w:separator/>
      </w:r>
    </w:p>
  </w:footnote>
  <w:footnote w:type="continuationSeparator" w:id="1">
    <w:p>
      <w:pPr>
        <w:spacing w:before="0" w:after="0" w:line="252" w:lineRule="auto"/>
        <w:ind w:firstLine="41"/>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19"/>
    </w:pPr>
    <w:r>
      <w:rPr>
        <w:sz w:val="18"/>
      </w:rPr>
      <w:pict>
        <v:shape id="PowerPlusWaterMarkObject1" o:spid="_x0000_s2049" o:spt="136" type="#_x0000_t136" style="position:absolute;left:0pt;height:168.8pt;width:418.45pt;mso-position-horizontal:center;mso-position-horizontal-relative:margin;mso-position-vertical:center;mso-position-vertical-relative:margin;rotation:-2949120f;z-index:-251657216;mso-width-relative:page;mso-height-relative:page;" fillcolor="#C0C0C0" filled="t" stroked="f" coordsize="21600,21600" adj="10800">
          <v:path/>
          <v:fill on="t" focussize="0,0"/>
          <v:stroke on="f"/>
          <v:imagedata o:title=""/>
          <o:lock v:ext="edit" aspectratio="t"/>
          <v:textpath on="t" fitshape="t" fitpath="t" trim="t" xscale="f" string="DRAFT" style="font-family:Arial Unicode MS;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DF52AE"/>
    <w:multiLevelType w:val="singleLevel"/>
    <w:tmpl w:val="B9DF52AE"/>
    <w:lvl w:ilvl="0" w:tentative="0">
      <w:start w:val="1"/>
      <w:numFmt w:val="decimal"/>
      <w:lvlText w:val="%1."/>
      <w:lvlJc w:val="left"/>
      <w:pPr>
        <w:tabs>
          <w:tab w:val="left" w:pos="425"/>
        </w:tabs>
        <w:ind w:left="425" w:leftChars="0" w:hanging="425" w:firstLineChars="0"/>
      </w:pPr>
      <w:rPr>
        <w:rFonts w:hint="default"/>
      </w:rPr>
    </w:lvl>
  </w:abstractNum>
  <w:abstractNum w:abstractNumId="1">
    <w:nsid w:val="BDF99BA1"/>
    <w:multiLevelType w:val="singleLevel"/>
    <w:tmpl w:val="BDF99B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93C7354"/>
    <w:multiLevelType w:val="singleLevel"/>
    <w:tmpl w:val="D93C73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BBD8579"/>
    <w:multiLevelType w:val="singleLevel"/>
    <w:tmpl w:val="DBBD85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BFA0E7A"/>
    <w:multiLevelType w:val="singleLevel"/>
    <w:tmpl w:val="DBFA0E7A"/>
    <w:lvl w:ilvl="0" w:tentative="0">
      <w:start w:val="1"/>
      <w:numFmt w:val="decimal"/>
      <w:lvlText w:val="%1."/>
      <w:lvlJc w:val="left"/>
      <w:pPr>
        <w:tabs>
          <w:tab w:val="left" w:pos="425"/>
        </w:tabs>
        <w:ind w:left="425" w:leftChars="0" w:hanging="425" w:firstLineChars="0"/>
      </w:pPr>
      <w:rPr>
        <w:rFonts w:hint="default"/>
      </w:rPr>
    </w:lvl>
  </w:abstractNum>
  <w:abstractNum w:abstractNumId="5">
    <w:nsid w:val="DFD7C849"/>
    <w:multiLevelType w:val="singleLevel"/>
    <w:tmpl w:val="DFD7C8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BE7BD9C"/>
    <w:multiLevelType w:val="multilevel"/>
    <w:tmpl w:val="FBE7BD9C"/>
    <w:lvl w:ilvl="0" w:tentative="0">
      <w:start w:val="1"/>
      <w:numFmt w:val="decimal"/>
      <w:lvlText w:val="%1)"/>
      <w:lvlJc w:val="left"/>
      <w:pPr>
        <w:tabs>
          <w:tab w:val="left" w:pos="0"/>
        </w:tabs>
        <w:ind w:left="122" w:hanging="267"/>
      </w:pPr>
      <w:rPr>
        <w:rFonts w:hint="default" w:eastAsia="Cali" w:cs="Cali" w:asciiTheme="majorAscii" w:hAnsiTheme="majorAscii"/>
        <w:b w:val="0"/>
        <w:bCs w:val="0"/>
        <w:i w:val="0"/>
        <w:iCs w:val="0"/>
        <w:spacing w:val="-1"/>
        <w:w w:val="109"/>
        <w:sz w:val="22"/>
        <w:szCs w:val="22"/>
        <w:lang w:val="id-ID" w:eastAsia="en-US" w:bidi="ar-SA"/>
      </w:rPr>
    </w:lvl>
    <w:lvl w:ilvl="1" w:tentative="0">
      <w:start w:val="0"/>
      <w:numFmt w:val="bullet"/>
      <w:lvlText w:val=""/>
      <w:lvlJc w:val="left"/>
      <w:pPr>
        <w:tabs>
          <w:tab w:val="left" w:pos="0"/>
        </w:tabs>
        <w:ind w:left="479" w:hanging="267"/>
      </w:pPr>
      <w:rPr>
        <w:rFonts w:hint="default" w:ascii="Symbol" w:hAnsi="Symbol" w:cs="Symbol"/>
        <w:lang w:val="id-ID" w:eastAsia="en-US" w:bidi="ar-SA"/>
      </w:rPr>
    </w:lvl>
    <w:lvl w:ilvl="2" w:tentative="0">
      <w:start w:val="0"/>
      <w:numFmt w:val="bullet"/>
      <w:lvlText w:val=""/>
      <w:lvlJc w:val="left"/>
      <w:pPr>
        <w:tabs>
          <w:tab w:val="left" w:pos="0"/>
        </w:tabs>
        <w:ind w:left="838" w:hanging="267"/>
      </w:pPr>
      <w:rPr>
        <w:rFonts w:hint="default" w:ascii="Symbol" w:hAnsi="Symbol" w:cs="Symbol"/>
        <w:lang w:val="id-ID" w:eastAsia="en-US" w:bidi="ar-SA"/>
      </w:rPr>
    </w:lvl>
    <w:lvl w:ilvl="3" w:tentative="0">
      <w:start w:val="0"/>
      <w:numFmt w:val="bullet"/>
      <w:lvlText w:val=""/>
      <w:lvlJc w:val="left"/>
      <w:pPr>
        <w:tabs>
          <w:tab w:val="left" w:pos="0"/>
        </w:tabs>
        <w:ind w:left="1197" w:hanging="267"/>
      </w:pPr>
      <w:rPr>
        <w:rFonts w:hint="default" w:ascii="Symbol" w:hAnsi="Symbol" w:cs="Symbol"/>
        <w:lang w:val="id-ID" w:eastAsia="en-US" w:bidi="ar-SA"/>
      </w:rPr>
    </w:lvl>
    <w:lvl w:ilvl="4" w:tentative="0">
      <w:start w:val="0"/>
      <w:numFmt w:val="bullet"/>
      <w:lvlText w:val=""/>
      <w:lvlJc w:val="left"/>
      <w:pPr>
        <w:tabs>
          <w:tab w:val="left" w:pos="0"/>
        </w:tabs>
        <w:ind w:left="1556" w:hanging="267"/>
      </w:pPr>
      <w:rPr>
        <w:rFonts w:hint="default" w:ascii="Symbol" w:hAnsi="Symbol" w:cs="Symbol"/>
        <w:lang w:val="id-ID" w:eastAsia="en-US" w:bidi="ar-SA"/>
      </w:rPr>
    </w:lvl>
    <w:lvl w:ilvl="5" w:tentative="0">
      <w:start w:val="0"/>
      <w:numFmt w:val="bullet"/>
      <w:lvlText w:val=""/>
      <w:lvlJc w:val="left"/>
      <w:pPr>
        <w:tabs>
          <w:tab w:val="left" w:pos="0"/>
        </w:tabs>
        <w:ind w:left="1915" w:hanging="267"/>
      </w:pPr>
      <w:rPr>
        <w:rFonts w:hint="default" w:ascii="Symbol" w:hAnsi="Symbol" w:cs="Symbol"/>
        <w:lang w:val="id-ID" w:eastAsia="en-US" w:bidi="ar-SA"/>
      </w:rPr>
    </w:lvl>
    <w:lvl w:ilvl="6" w:tentative="0">
      <w:start w:val="0"/>
      <w:numFmt w:val="bullet"/>
      <w:lvlText w:val=""/>
      <w:lvlJc w:val="left"/>
      <w:pPr>
        <w:tabs>
          <w:tab w:val="left" w:pos="0"/>
        </w:tabs>
        <w:ind w:left="2274" w:hanging="267"/>
      </w:pPr>
      <w:rPr>
        <w:rFonts w:hint="default" w:ascii="Symbol" w:hAnsi="Symbol" w:cs="Symbol"/>
        <w:lang w:val="id-ID" w:eastAsia="en-US" w:bidi="ar-SA"/>
      </w:rPr>
    </w:lvl>
    <w:lvl w:ilvl="7" w:tentative="0">
      <w:start w:val="0"/>
      <w:numFmt w:val="bullet"/>
      <w:lvlText w:val=""/>
      <w:lvlJc w:val="left"/>
      <w:pPr>
        <w:tabs>
          <w:tab w:val="left" w:pos="0"/>
        </w:tabs>
        <w:ind w:left="2633" w:hanging="267"/>
      </w:pPr>
      <w:rPr>
        <w:rFonts w:hint="default" w:ascii="Symbol" w:hAnsi="Symbol" w:cs="Symbol"/>
        <w:lang w:val="id-ID" w:eastAsia="en-US" w:bidi="ar-SA"/>
      </w:rPr>
    </w:lvl>
    <w:lvl w:ilvl="8" w:tentative="0">
      <w:start w:val="0"/>
      <w:numFmt w:val="bullet"/>
      <w:lvlText w:val=""/>
      <w:lvlJc w:val="left"/>
      <w:pPr>
        <w:tabs>
          <w:tab w:val="left" w:pos="0"/>
        </w:tabs>
        <w:ind w:left="2992" w:hanging="267"/>
      </w:pPr>
      <w:rPr>
        <w:rFonts w:hint="default" w:ascii="Symbol" w:hAnsi="Symbol" w:cs="Symbol"/>
        <w:lang w:val="id-ID" w:eastAsia="en-US" w:bidi="ar-SA"/>
      </w:rPr>
    </w:lvl>
  </w:abstractNum>
  <w:abstractNum w:abstractNumId="7">
    <w:nsid w:val="FE7BC8C0"/>
    <w:multiLevelType w:val="multilevel"/>
    <w:tmpl w:val="FE7BC8C0"/>
    <w:lvl w:ilvl="0" w:tentative="0">
      <w:start w:val="1"/>
      <w:numFmt w:val="decimal"/>
      <w:lvlText w:val="%1)"/>
      <w:lvlJc w:val="left"/>
      <w:pPr>
        <w:tabs>
          <w:tab w:val="left" w:pos="0"/>
        </w:tabs>
        <w:ind w:left="122" w:hanging="263"/>
      </w:pPr>
      <w:rPr>
        <w:rFonts w:hint="default" w:eastAsia="Georgia" w:cs="Georgia" w:asciiTheme="majorAscii" w:hAnsiTheme="majorAscii"/>
        <w:b w:val="0"/>
        <w:bCs w:val="0"/>
        <w:i w:val="0"/>
        <w:iCs w:val="0"/>
        <w:spacing w:val="-1"/>
        <w:w w:val="107"/>
        <w:sz w:val="22"/>
        <w:szCs w:val="22"/>
        <w:lang w:val="id-ID" w:eastAsia="en-US" w:bidi="ar-SA"/>
      </w:rPr>
    </w:lvl>
    <w:lvl w:ilvl="1" w:tentative="0">
      <w:start w:val="0"/>
      <w:numFmt w:val="bullet"/>
      <w:lvlText w:val=""/>
      <w:lvlJc w:val="left"/>
      <w:pPr>
        <w:tabs>
          <w:tab w:val="left" w:pos="0"/>
        </w:tabs>
        <w:ind w:left="479" w:hanging="263"/>
      </w:pPr>
      <w:rPr>
        <w:rFonts w:hint="default" w:ascii="Symbol" w:hAnsi="Symbol" w:cs="Symbol"/>
        <w:lang w:val="id-ID" w:eastAsia="en-US" w:bidi="ar-SA"/>
      </w:rPr>
    </w:lvl>
    <w:lvl w:ilvl="2" w:tentative="0">
      <w:start w:val="0"/>
      <w:numFmt w:val="bullet"/>
      <w:lvlText w:val=""/>
      <w:lvlJc w:val="left"/>
      <w:pPr>
        <w:tabs>
          <w:tab w:val="left" w:pos="0"/>
        </w:tabs>
        <w:ind w:left="838" w:hanging="263"/>
      </w:pPr>
      <w:rPr>
        <w:rFonts w:hint="default" w:ascii="Symbol" w:hAnsi="Symbol" w:cs="Symbol"/>
        <w:lang w:val="id-ID" w:eastAsia="en-US" w:bidi="ar-SA"/>
      </w:rPr>
    </w:lvl>
    <w:lvl w:ilvl="3" w:tentative="0">
      <w:start w:val="0"/>
      <w:numFmt w:val="bullet"/>
      <w:lvlText w:val=""/>
      <w:lvlJc w:val="left"/>
      <w:pPr>
        <w:tabs>
          <w:tab w:val="left" w:pos="0"/>
        </w:tabs>
        <w:ind w:left="1197" w:hanging="263"/>
      </w:pPr>
      <w:rPr>
        <w:rFonts w:hint="default" w:ascii="Symbol" w:hAnsi="Symbol" w:cs="Symbol"/>
        <w:lang w:val="id-ID" w:eastAsia="en-US" w:bidi="ar-SA"/>
      </w:rPr>
    </w:lvl>
    <w:lvl w:ilvl="4" w:tentative="0">
      <w:start w:val="0"/>
      <w:numFmt w:val="bullet"/>
      <w:lvlText w:val=""/>
      <w:lvlJc w:val="left"/>
      <w:pPr>
        <w:tabs>
          <w:tab w:val="left" w:pos="0"/>
        </w:tabs>
        <w:ind w:left="1556" w:hanging="263"/>
      </w:pPr>
      <w:rPr>
        <w:rFonts w:hint="default" w:ascii="Symbol" w:hAnsi="Symbol" w:cs="Symbol"/>
        <w:lang w:val="id-ID" w:eastAsia="en-US" w:bidi="ar-SA"/>
      </w:rPr>
    </w:lvl>
    <w:lvl w:ilvl="5" w:tentative="0">
      <w:start w:val="0"/>
      <w:numFmt w:val="bullet"/>
      <w:lvlText w:val=""/>
      <w:lvlJc w:val="left"/>
      <w:pPr>
        <w:tabs>
          <w:tab w:val="left" w:pos="0"/>
        </w:tabs>
        <w:ind w:left="1915" w:hanging="263"/>
      </w:pPr>
      <w:rPr>
        <w:rFonts w:hint="default" w:ascii="Symbol" w:hAnsi="Symbol" w:cs="Symbol"/>
        <w:lang w:val="id-ID" w:eastAsia="en-US" w:bidi="ar-SA"/>
      </w:rPr>
    </w:lvl>
    <w:lvl w:ilvl="6" w:tentative="0">
      <w:start w:val="0"/>
      <w:numFmt w:val="bullet"/>
      <w:lvlText w:val=""/>
      <w:lvlJc w:val="left"/>
      <w:pPr>
        <w:tabs>
          <w:tab w:val="left" w:pos="0"/>
        </w:tabs>
        <w:ind w:left="2274" w:hanging="263"/>
      </w:pPr>
      <w:rPr>
        <w:rFonts w:hint="default" w:ascii="Symbol" w:hAnsi="Symbol" w:cs="Symbol"/>
        <w:lang w:val="id-ID" w:eastAsia="en-US" w:bidi="ar-SA"/>
      </w:rPr>
    </w:lvl>
    <w:lvl w:ilvl="7" w:tentative="0">
      <w:start w:val="0"/>
      <w:numFmt w:val="bullet"/>
      <w:lvlText w:val=""/>
      <w:lvlJc w:val="left"/>
      <w:pPr>
        <w:tabs>
          <w:tab w:val="left" w:pos="0"/>
        </w:tabs>
        <w:ind w:left="2633" w:hanging="263"/>
      </w:pPr>
      <w:rPr>
        <w:rFonts w:hint="default" w:ascii="Symbol" w:hAnsi="Symbol" w:cs="Symbol"/>
        <w:lang w:val="id-ID" w:eastAsia="en-US" w:bidi="ar-SA"/>
      </w:rPr>
    </w:lvl>
    <w:lvl w:ilvl="8" w:tentative="0">
      <w:start w:val="0"/>
      <w:numFmt w:val="bullet"/>
      <w:lvlText w:val=""/>
      <w:lvlJc w:val="left"/>
      <w:pPr>
        <w:tabs>
          <w:tab w:val="left" w:pos="0"/>
        </w:tabs>
        <w:ind w:left="2992" w:hanging="263"/>
      </w:pPr>
      <w:rPr>
        <w:rFonts w:hint="default" w:ascii="Symbol" w:hAnsi="Symbol" w:cs="Symbol"/>
        <w:lang w:val="id-ID" w:eastAsia="en-US" w:bidi="ar-SA"/>
      </w:rPr>
    </w:lvl>
  </w:abstractNum>
  <w:abstractNum w:abstractNumId="8">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9">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10">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11">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2">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3">
    <w:nsid w:val="FFFFFF89"/>
    <w:multiLevelType w:val="singleLevel"/>
    <w:tmpl w:val="FFFFFF89"/>
    <w:lvl w:ilvl="0" w:tentative="0">
      <w:start w:val="1"/>
      <w:numFmt w:val="bullet"/>
      <w:pStyle w:val="23"/>
      <w:lvlText w:val=""/>
      <w:lvlJc w:val="left"/>
      <w:pPr>
        <w:tabs>
          <w:tab w:val="left" w:pos="1200"/>
        </w:tabs>
        <w:ind w:left="1200" w:hanging="360"/>
      </w:pPr>
      <w:rPr>
        <w:rFonts w:hint="default" w:ascii="Symbol" w:hAnsi="Symbol"/>
      </w:rPr>
    </w:lvl>
  </w:abstractNum>
  <w:abstractNum w:abstractNumId="14">
    <w:nsid w:val="2F3F7B2F"/>
    <w:multiLevelType w:val="multilevel"/>
    <w:tmpl w:val="2F3F7B2F"/>
    <w:lvl w:ilvl="0" w:tentative="0">
      <w:start w:val="0"/>
      <w:numFmt w:val="bullet"/>
      <w:lvlText w:val="-"/>
      <w:lvlJc w:val="left"/>
      <w:pPr>
        <w:tabs>
          <w:tab w:val="left" w:pos="0"/>
        </w:tabs>
        <w:ind w:left="111" w:hanging="146"/>
      </w:pPr>
      <w:rPr>
        <w:rFonts w:hint="default" w:ascii="Georgia" w:hAnsi="Georgia" w:cs="Georgia"/>
        <w:b w:val="0"/>
        <w:bCs w:val="0"/>
        <w:i w:val="0"/>
        <w:iCs w:val="0"/>
        <w:spacing w:val="0"/>
        <w:w w:val="88"/>
        <w:sz w:val="22"/>
        <w:szCs w:val="22"/>
        <w:lang w:val="id-ID" w:eastAsia="en-US" w:bidi="ar-SA"/>
      </w:rPr>
    </w:lvl>
    <w:lvl w:ilvl="1" w:tentative="0">
      <w:start w:val="0"/>
      <w:numFmt w:val="bullet"/>
      <w:lvlText w:val=""/>
      <w:lvlJc w:val="left"/>
      <w:pPr>
        <w:tabs>
          <w:tab w:val="left" w:pos="0"/>
        </w:tabs>
        <w:ind w:left="479" w:hanging="146"/>
      </w:pPr>
      <w:rPr>
        <w:rFonts w:hint="default" w:ascii="Symbol" w:hAnsi="Symbol" w:cs="Symbol"/>
        <w:lang w:val="id-ID" w:eastAsia="en-US" w:bidi="ar-SA"/>
      </w:rPr>
    </w:lvl>
    <w:lvl w:ilvl="2" w:tentative="0">
      <w:start w:val="0"/>
      <w:numFmt w:val="bullet"/>
      <w:lvlText w:val=""/>
      <w:lvlJc w:val="left"/>
      <w:pPr>
        <w:tabs>
          <w:tab w:val="left" w:pos="0"/>
        </w:tabs>
        <w:ind w:left="838" w:hanging="146"/>
      </w:pPr>
      <w:rPr>
        <w:rFonts w:hint="default" w:ascii="Symbol" w:hAnsi="Symbol" w:cs="Symbol"/>
        <w:lang w:val="id-ID" w:eastAsia="en-US" w:bidi="ar-SA"/>
      </w:rPr>
    </w:lvl>
    <w:lvl w:ilvl="3" w:tentative="0">
      <w:start w:val="0"/>
      <w:numFmt w:val="bullet"/>
      <w:lvlText w:val=""/>
      <w:lvlJc w:val="left"/>
      <w:pPr>
        <w:tabs>
          <w:tab w:val="left" w:pos="0"/>
        </w:tabs>
        <w:ind w:left="1197" w:hanging="146"/>
      </w:pPr>
      <w:rPr>
        <w:rFonts w:hint="default" w:ascii="Symbol" w:hAnsi="Symbol" w:cs="Symbol"/>
        <w:lang w:val="id-ID" w:eastAsia="en-US" w:bidi="ar-SA"/>
      </w:rPr>
    </w:lvl>
    <w:lvl w:ilvl="4" w:tentative="0">
      <w:start w:val="0"/>
      <w:numFmt w:val="bullet"/>
      <w:lvlText w:val=""/>
      <w:lvlJc w:val="left"/>
      <w:pPr>
        <w:tabs>
          <w:tab w:val="left" w:pos="0"/>
        </w:tabs>
        <w:ind w:left="1556" w:hanging="146"/>
      </w:pPr>
      <w:rPr>
        <w:rFonts w:hint="default" w:ascii="Symbol" w:hAnsi="Symbol" w:cs="Symbol"/>
        <w:lang w:val="id-ID" w:eastAsia="en-US" w:bidi="ar-SA"/>
      </w:rPr>
    </w:lvl>
    <w:lvl w:ilvl="5" w:tentative="0">
      <w:start w:val="0"/>
      <w:numFmt w:val="bullet"/>
      <w:lvlText w:val=""/>
      <w:lvlJc w:val="left"/>
      <w:pPr>
        <w:tabs>
          <w:tab w:val="left" w:pos="0"/>
        </w:tabs>
        <w:ind w:left="1915" w:hanging="146"/>
      </w:pPr>
      <w:rPr>
        <w:rFonts w:hint="default" w:ascii="Symbol" w:hAnsi="Symbol" w:cs="Symbol"/>
        <w:lang w:val="id-ID" w:eastAsia="en-US" w:bidi="ar-SA"/>
      </w:rPr>
    </w:lvl>
    <w:lvl w:ilvl="6" w:tentative="0">
      <w:start w:val="0"/>
      <w:numFmt w:val="bullet"/>
      <w:lvlText w:val=""/>
      <w:lvlJc w:val="left"/>
      <w:pPr>
        <w:tabs>
          <w:tab w:val="left" w:pos="0"/>
        </w:tabs>
        <w:ind w:left="2274" w:hanging="146"/>
      </w:pPr>
      <w:rPr>
        <w:rFonts w:hint="default" w:ascii="Symbol" w:hAnsi="Symbol" w:cs="Symbol"/>
        <w:lang w:val="id-ID" w:eastAsia="en-US" w:bidi="ar-SA"/>
      </w:rPr>
    </w:lvl>
    <w:lvl w:ilvl="7" w:tentative="0">
      <w:start w:val="0"/>
      <w:numFmt w:val="bullet"/>
      <w:lvlText w:val=""/>
      <w:lvlJc w:val="left"/>
      <w:pPr>
        <w:tabs>
          <w:tab w:val="left" w:pos="0"/>
        </w:tabs>
        <w:ind w:left="2633" w:hanging="146"/>
      </w:pPr>
      <w:rPr>
        <w:rFonts w:hint="default" w:ascii="Symbol" w:hAnsi="Symbol" w:cs="Symbol"/>
        <w:lang w:val="id-ID" w:eastAsia="en-US" w:bidi="ar-SA"/>
      </w:rPr>
    </w:lvl>
    <w:lvl w:ilvl="8" w:tentative="0">
      <w:start w:val="0"/>
      <w:numFmt w:val="bullet"/>
      <w:lvlText w:val=""/>
      <w:lvlJc w:val="left"/>
      <w:pPr>
        <w:tabs>
          <w:tab w:val="left" w:pos="0"/>
        </w:tabs>
        <w:ind w:left="2992" w:hanging="146"/>
      </w:pPr>
      <w:rPr>
        <w:rFonts w:hint="default" w:ascii="Symbol" w:hAnsi="Symbol" w:cs="Symbol"/>
        <w:lang w:val="id-ID" w:eastAsia="en-US" w:bidi="ar-SA"/>
      </w:rPr>
    </w:lvl>
  </w:abstractNum>
  <w:num w:numId="1">
    <w:abstractNumId w:val="13"/>
  </w:num>
  <w:num w:numId="2">
    <w:abstractNumId w:val="11"/>
  </w:num>
  <w:num w:numId="3">
    <w:abstractNumId w:val="10"/>
  </w:num>
  <w:num w:numId="4">
    <w:abstractNumId w:val="12"/>
  </w:num>
  <w:num w:numId="5">
    <w:abstractNumId w:val="9"/>
  </w:num>
  <w:num w:numId="6">
    <w:abstractNumId w:val="8"/>
  </w:num>
  <w:num w:numId="7">
    <w:abstractNumId w:val="0"/>
  </w:num>
  <w:num w:numId="8">
    <w:abstractNumId w:val="4"/>
  </w:num>
  <w:num w:numId="9">
    <w:abstractNumId w:val="14"/>
  </w:num>
  <w:num w:numId="10">
    <w:abstractNumId w:val="7"/>
  </w:num>
  <w:num w:numId="11">
    <w:abstractNumId w:val="6"/>
  </w:num>
  <w:num w:numId="12">
    <w:abstractNumId w:val="3"/>
  </w:num>
  <w:num w:numId="13">
    <w:abstractNumId w:val="2"/>
  </w:num>
  <w:num w:numId="14">
    <w:abstractNumId w:val="5"/>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BA1C51"/>
    <w:rsid w:val="1E8A2B1F"/>
    <w:rsid w:val="2EEFDD00"/>
    <w:rsid w:val="33DF607A"/>
    <w:rsid w:val="3D59012C"/>
    <w:rsid w:val="3FDEAEB1"/>
    <w:rsid w:val="45DF9604"/>
    <w:rsid w:val="479B34A9"/>
    <w:rsid w:val="4B77E1C1"/>
    <w:rsid w:val="4D2F8AFE"/>
    <w:rsid w:val="57DFACB3"/>
    <w:rsid w:val="5DFB2C9A"/>
    <w:rsid w:val="5DFD7571"/>
    <w:rsid w:val="663F6D5A"/>
    <w:rsid w:val="665FBD65"/>
    <w:rsid w:val="6F77DDD3"/>
    <w:rsid w:val="6FEF4F9A"/>
    <w:rsid w:val="6FFCE7C9"/>
    <w:rsid w:val="71BFDB40"/>
    <w:rsid w:val="74F74C64"/>
    <w:rsid w:val="76DFBB36"/>
    <w:rsid w:val="77EB33DB"/>
    <w:rsid w:val="77FE2F91"/>
    <w:rsid w:val="7B674BA5"/>
    <w:rsid w:val="7B7B0C3D"/>
    <w:rsid w:val="7B7DCD87"/>
    <w:rsid w:val="7BF93E45"/>
    <w:rsid w:val="7C17DF3E"/>
    <w:rsid w:val="7C4B3A43"/>
    <w:rsid w:val="7D4A3604"/>
    <w:rsid w:val="7DFE797D"/>
    <w:rsid w:val="7F7DD703"/>
    <w:rsid w:val="7FB70EF2"/>
    <w:rsid w:val="7FB7F201"/>
    <w:rsid w:val="7FDCCFB3"/>
    <w:rsid w:val="7FECD7EA"/>
    <w:rsid w:val="7FF93BF1"/>
    <w:rsid w:val="7FFEA0BA"/>
    <w:rsid w:val="7FFEA4C3"/>
    <w:rsid w:val="A17D8DB2"/>
    <w:rsid w:val="AA725D23"/>
    <w:rsid w:val="B6FBBDDB"/>
    <w:rsid w:val="B87E0F0B"/>
    <w:rsid w:val="BFDF9E7F"/>
    <w:rsid w:val="CDDE8AD9"/>
    <w:rsid w:val="D5E352D0"/>
    <w:rsid w:val="D7FF1A5D"/>
    <w:rsid w:val="EB79CCF8"/>
    <w:rsid w:val="EC7BC4D2"/>
    <w:rsid w:val="EEC33FDD"/>
    <w:rsid w:val="EFCFACE1"/>
    <w:rsid w:val="EFFDB845"/>
    <w:rsid w:val="EFFF3584"/>
    <w:rsid w:val="F71FB32A"/>
    <w:rsid w:val="F7EFE102"/>
    <w:rsid w:val="F7EFF813"/>
    <w:rsid w:val="FA6F09E6"/>
    <w:rsid w:val="FBE3DA43"/>
    <w:rsid w:val="FBFE50B6"/>
    <w:rsid w:val="FDBB3503"/>
    <w:rsid w:val="FDD70850"/>
    <w:rsid w:val="FDD7DF4E"/>
    <w:rsid w:val="FE3FD2ED"/>
    <w:rsid w:val="FE9FEE9A"/>
    <w:rsid w:val="FFE7F800"/>
    <w:rsid w:val="FFFDB8BA"/>
    <w:rsid w:val="FFFF2341"/>
    <w:rsid w:val="FFFF9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60" w:line="252" w:lineRule="auto"/>
      <w:ind w:left="720" w:firstLine="91" w:firstLineChars="19"/>
    </w:pPr>
    <w:rPr>
      <w:rFonts w:eastAsia="Calibri" w:cs="Calibri" w:asciiTheme="minorAscii" w:hAnsiTheme="minorAscii"/>
      <w:color w:val="222222"/>
      <w:sz w:val="22"/>
      <w:szCs w:val="22"/>
      <w:lang w:val="en-US" w:eastAsia="en-US" w:bidi="ar-SA"/>
    </w:rPr>
  </w:style>
  <w:style w:type="paragraph" w:styleId="2">
    <w:name w:val="heading 1"/>
    <w:basedOn w:val="1"/>
    <w:next w:val="1"/>
    <w:link w:val="139"/>
    <w:qFormat/>
    <w:uiPriority w:val="9"/>
    <w:pPr>
      <w:keepNext/>
      <w:keepLines/>
      <w:spacing w:before="0" w:after="60" w:line="252" w:lineRule="auto"/>
      <w:ind w:left="0" w:firstLine="0" w:firstLineChars="0"/>
      <w:jc w:val="left"/>
      <w:outlineLvl w:val="0"/>
    </w:pPr>
    <w:rPr>
      <w:rFonts w:asciiTheme="majorAscii" w:hAnsiTheme="majorAscii" w:eastAsiaTheme="majorEastAsia" w:cstheme="majorBidi"/>
      <w:b/>
      <w:bCs/>
      <w:color w:val="123555"/>
      <w:sz w:val="32"/>
      <w:szCs w:val="28"/>
    </w:rPr>
  </w:style>
  <w:style w:type="paragraph" w:styleId="3">
    <w:name w:val="heading 2"/>
    <w:basedOn w:val="1"/>
    <w:next w:val="1"/>
    <w:link w:val="140"/>
    <w:unhideWhenUsed/>
    <w:qFormat/>
    <w:uiPriority w:val="9"/>
    <w:pPr>
      <w:keepNext/>
      <w:keepLines/>
      <w:spacing w:before="0" w:after="60" w:line="252" w:lineRule="auto"/>
      <w:ind w:left="400" w:leftChars="200" w:firstLine="0" w:firstLineChars="0"/>
      <w:outlineLvl w:val="1"/>
    </w:pPr>
    <w:rPr>
      <w:rFonts w:asciiTheme="majorAscii" w:hAnsiTheme="majorAscii" w:eastAsiaTheme="majorEastAsia" w:cstheme="majorBidi"/>
      <w:b/>
      <w:bCs/>
      <w:color w:val="1F497D" w:themeColor="text2"/>
      <w:sz w:val="28"/>
      <w:szCs w:val="26"/>
      <w14:textFill>
        <w14:solidFill>
          <w14:schemeClr w14:val="tx2"/>
        </w14:solidFill>
      </w14:textFill>
    </w:rPr>
  </w:style>
  <w:style w:type="paragraph" w:styleId="4">
    <w:name w:val="heading 3"/>
    <w:basedOn w:val="1"/>
    <w:next w:val="1"/>
    <w:link w:val="141"/>
    <w:unhideWhenUsed/>
    <w:qFormat/>
    <w:uiPriority w:val="9"/>
    <w:pPr>
      <w:keepNext/>
      <w:keepLines/>
      <w:spacing w:before="0" w:after="60" w:line="252" w:lineRule="auto"/>
      <w:ind w:left="635" w:hanging="419"/>
      <w:outlineLvl w:val="2"/>
    </w:pPr>
    <w:rPr>
      <w:rFonts w:asciiTheme="majorAscii" w:hAnsiTheme="majorAscii" w:eastAsiaTheme="majorEastAsia" w:cstheme="majorBidi"/>
      <w:b/>
      <w:bCs/>
      <w:color w:val="123555"/>
      <w:sz w:val="22"/>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tabs>
        <w:tab w:val="left" w:pos="360"/>
        <w:tab w:val="clear" w:pos="1200"/>
      </w:tabs>
      <w:contextualSpacing/>
    </w:pPr>
    <w:rPr>
      <w:sz w:val="22"/>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2"/>
    <w:qFormat/>
    <w:uiPriority w:val="10"/>
    <w:pPr>
      <w:pBdr>
        <w:top w:val="none" w:color="auto" w:sz="0" w:space="1"/>
        <w:left w:val="none" w:color="auto" w:sz="0" w:space="4"/>
        <w:bottom w:val="none" w:color="4F81BD" w:themeColor="accent1" w:sz="0" w:space="1"/>
        <w:right w:val="none" w:color="auto" w:sz="0" w:space="4"/>
      </w:pBdr>
      <w:spacing w:after="300" w:line="240" w:lineRule="auto"/>
      <w:ind w:firstLine="0" w:firstLineChars="0"/>
      <w:contextualSpacing/>
      <w:jc w:val="center"/>
    </w:pPr>
    <w:rPr>
      <w:rFonts w:asciiTheme="majorAscii" w:hAnsiTheme="majorAscii" w:eastAsiaTheme="majorEastAsia" w:cstheme="majorBidi"/>
      <w:b/>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35">
    <w:name w:val="Table - Normal"/>
    <w:basedOn w:val="1"/>
    <w:uiPriority w:val="0"/>
    <w:pPr>
      <w:ind w:left="0" w:firstLine="0" w:firstLineChars="0"/>
      <w:jc w:val="both"/>
    </w:pPr>
    <w:rPr>
      <w:szCs w:val="20"/>
    </w:r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Ascii" w:hAnsiTheme="majorAscii" w:eastAsiaTheme="majorEastAsia" w:cstheme="majorBidi"/>
      <w:b/>
      <w:bCs/>
      <w:color w:val="376092" w:themeColor="accent1" w:themeShade="BF"/>
      <w:sz w:val="32"/>
      <w:szCs w:val="28"/>
    </w:rPr>
  </w:style>
  <w:style w:type="character" w:customStyle="1" w:styleId="140">
    <w:name w:val="Heading 2 Char"/>
    <w:basedOn w:val="11"/>
    <w:link w:val="3"/>
    <w:uiPriority w:val="9"/>
    <w:rPr>
      <w:rFonts w:asciiTheme="majorAscii" w:hAnsiTheme="majorAscii" w:eastAsiaTheme="majorEastAsia" w:cstheme="majorBidi"/>
      <w:b/>
      <w:bCs/>
      <w:color w:val="1F497D" w:themeColor="text2"/>
      <w:sz w:val="28"/>
      <w:szCs w:val="26"/>
      <w14:textFill>
        <w14:solidFill>
          <w14:schemeClr w14:val="tx2"/>
        </w14:solidFill>
      </w14:textFill>
    </w:rPr>
  </w:style>
  <w:style w:type="character" w:customStyle="1" w:styleId="141">
    <w:name w:val="Heading 3 Char"/>
    <w:basedOn w:val="11"/>
    <w:link w:val="4"/>
    <w:uiPriority w:val="9"/>
    <w:rPr>
      <w:rFonts w:asciiTheme="majorAscii" w:hAnsiTheme="majorAscii" w:eastAsiaTheme="majorEastAsia" w:cstheme="majorBidi"/>
      <w:b/>
      <w:bCs/>
      <w:color w:val="4F81BD" w:themeColor="accent1"/>
      <w:sz w:val="22"/>
      <w14:textFill>
        <w14:solidFill>
          <w14:schemeClr w14:val="accent1"/>
        </w14:solidFill>
      </w14:textFill>
    </w:rPr>
  </w:style>
  <w:style w:type="character" w:customStyle="1" w:styleId="142">
    <w:name w:val="Title Char"/>
    <w:basedOn w:val="11"/>
    <w:link w:val="36"/>
    <w:uiPriority w:val="10"/>
    <w:rPr>
      <w:rFonts w:asciiTheme="majorAscii" w:hAnsiTheme="majorAscii" w:eastAsiaTheme="majorEastAsia" w:cstheme="majorBidi"/>
      <w:b/>
      <w:color w:val="17375E" w:themeColor="text2" w:themeShade="BF"/>
      <w:spacing w:val="5"/>
      <w:kern w:val="28"/>
      <w:sz w:val="48"/>
      <w:szCs w:val="52"/>
    </w:rPr>
  </w:style>
  <w:style w:type="character" w:customStyle="1" w:styleId="143">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Table Paragraph"/>
    <w:basedOn w:val="1"/>
    <w:qFormat/>
    <w:uiPriority w:val="1"/>
    <w:pPr>
      <w:widowControl w:val="0"/>
      <w:spacing w:before="0" w:after="0" w:line="240" w:lineRule="auto"/>
    </w:pPr>
    <w:rPr>
      <w:rFonts w:eastAsia="Georgia" w:cs="Georgia"/>
      <w:sz w:val="20"/>
      <w:lang w:val="id-ID"/>
    </w:rPr>
  </w:style>
  <w:style w:type="paragraph" w:customStyle="1" w:styleId="166">
    <w:name w:val="Table - Item"/>
    <w:basedOn w:val="1"/>
    <w:uiPriority w:val="0"/>
    <w:pPr>
      <w:ind w:left="0" w:firstLine="0" w:firstLineChars="0"/>
      <w:jc w:val="left"/>
    </w:pPr>
    <w:rPr>
      <w:b/>
    </w:rPr>
  </w:style>
  <w:style w:type="paragraph" w:customStyle="1" w:styleId="167">
    <w:name w:val="Normal - H2"/>
    <w:basedOn w:val="1"/>
    <w:uiPriority w:val="0"/>
    <w:pPr>
      <w:ind w:left="965" w:firstLine="274" w:firstLineChars="0"/>
      <w:jc w:val="both"/>
    </w:pPr>
  </w:style>
  <w:style w:type="paragraph" w:customStyle="1" w:styleId="BulletList-H2">
    <w:name w:val="Bullet List - H2"/>
    <w:basedOn w:val="1"/>
    <w:pPr>
      <w:spacing w:before="0" w:after="60" w:line="252" w:lineRule="auto"/>
      <w:jc w:val="both"/>
      <w:ind w:left="533" w:leftChars="400" w:hanging="133" w:hangingChars="100"/>
      <w:numPr>
        <w:ilvl w:val="0"/>
        <w:numId w:val="1"/>
      </w:numPr>
    </w:pPr>
  </w:style>
  <w:style w:type="paragraph" w:customStyle="1" w:styleId="Table-Description">
    <w:name w:val="Table - Description"/>
    <w:basedOn w:val="1"/>
    <w:pPr>
      <w:spacing w:before="0" w:after="60" w:line="252" w:lineRule="auto"/>
      <w:ind w:left="0" w:firstLine="0"/>
      <w:jc w:val="both"/>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6</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2013-12-25T10:15:00Z</dcterms:created>
  <dc:creator>PreSales / PGO</dc:creator>
  <dc:description>SPD-PUSDATIN-CSM-NETWORK-2027 | V1.0 (initial draft)</dc:description>
  <cp:lastModifiedBy>PreSales / PGO</cp:lastModifiedBy>
  <dcterms:modified xsi:type="dcterms:W3CDTF">2026-09-16T11:38:12Z</dcterms:modified>
  <cp:revision>1</cp:revision>
  <dc:title>PENGADAAN KENDARAAN DARAT KHUSUS COUNTER SURVEILLANCE MOBILE PUSDATIN T.A 2027</dc:title>
  <dc:subject>Kementerian Pertahanan Republik Indonesia</dc:subject>
  <cp:category>Solution Pack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F4643B6F475C5BFC9B1CAA6A4DB1D718_43</vt:lpwstr>
  </property>
</Properties>
</file>