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C5589" w14:textId="77777777" w:rsidR="006E4849" w:rsidRPr="00B60727" w:rsidRDefault="006E4849" w:rsidP="00B60727">
      <w:pPr>
        <w:pStyle w:val="Department"/>
        <w:spacing w:after="240"/>
      </w:pPr>
      <w:bookmarkStart w:id="0" w:name="u13qpvfuiyc9" w:colFirst="0" w:colLast="0"/>
      <w:bookmarkEnd w:id="0"/>
      <w:r w:rsidRPr="00B60727">
        <w:rPr>
          <w:rFonts w:eastAsia="Arial"/>
        </w:rPr>
        <w:t>DEPARTMENT OF REGULATORY AGENCIES</w:t>
      </w:r>
    </w:p>
    <w:p w14:paraId="725A466D" w14:textId="77777777" w:rsidR="006E4849" w:rsidRPr="00B60727" w:rsidRDefault="006E4849" w:rsidP="00B60727">
      <w:pPr>
        <w:pStyle w:val="Agency"/>
        <w:spacing w:after="240"/>
        <w:rPr>
          <w:rFonts w:ascii="Arial" w:hAnsi="Arial" w:cs="Arial"/>
        </w:rPr>
      </w:pPr>
      <w:r w:rsidRPr="00B60727">
        <w:rPr>
          <w:rFonts w:ascii="Arial" w:eastAsia="Arial" w:hAnsi="Arial" w:cs="Arial"/>
        </w:rPr>
        <w:t>Division of Insurance</w:t>
      </w:r>
    </w:p>
    <w:p w14:paraId="0C4CC5C0" w14:textId="77777777" w:rsidR="006E4849" w:rsidRPr="00B60727" w:rsidRDefault="006E4849" w:rsidP="00B60727">
      <w:pPr>
        <w:pStyle w:val="CCRNumber"/>
        <w:spacing w:before="0" w:after="240"/>
      </w:pPr>
      <w:r w:rsidRPr="00B60727">
        <w:rPr>
          <w:rFonts w:eastAsia="Arial"/>
        </w:rPr>
        <w:t>3 CCR 702-4</w:t>
      </w:r>
    </w:p>
    <w:p w14:paraId="784B1DDB" w14:textId="77777777" w:rsidR="006E4849" w:rsidRPr="00B60727" w:rsidRDefault="006E4849" w:rsidP="00B60727">
      <w:pPr>
        <w:pStyle w:val="CCRTitle"/>
        <w:spacing w:before="0" w:after="240"/>
      </w:pPr>
      <w:r w:rsidRPr="00B60727">
        <w:rPr>
          <w:rFonts w:eastAsia="Arial"/>
        </w:rPr>
        <w:t>LIFE, ACCIDENT AND HEALTH</w:t>
      </w:r>
    </w:p>
    <w:p w14:paraId="74C542DB" w14:textId="5D94D3D3" w:rsidR="006E4849" w:rsidRPr="00B60727" w:rsidRDefault="006E4849" w:rsidP="00B60727">
      <w:pPr>
        <w:pStyle w:val="Heading1"/>
        <w:spacing w:after="240"/>
        <w:rPr>
          <w:rFonts w:ascii="Arial" w:hAnsi="Arial" w:cs="Arial"/>
          <w:i/>
          <w:iCs/>
          <w:color w:val="366091"/>
          <w:sz w:val="24"/>
          <w:szCs w:val="24"/>
        </w:rPr>
      </w:pPr>
      <w:r w:rsidRPr="00B60727">
        <w:rPr>
          <w:rFonts w:ascii="Arial" w:hAnsi="Arial" w:cs="Arial"/>
          <w:sz w:val="24"/>
          <w:szCs w:val="24"/>
        </w:rPr>
        <w:t xml:space="preserve">Amended </w:t>
      </w:r>
      <w:r w:rsidRPr="00B60727">
        <w:rPr>
          <w:rFonts w:ascii="Arial" w:eastAsia="Arial" w:hAnsi="Arial" w:cs="Arial"/>
          <w:color w:val="000000"/>
          <w:sz w:val="24"/>
          <w:szCs w:val="24"/>
        </w:rPr>
        <w:t>Regulation 4-2-99</w:t>
      </w:r>
    </w:p>
    <w:p w14:paraId="4EA2C5C4" w14:textId="77777777" w:rsidR="006E4849" w:rsidRPr="00310EF1" w:rsidRDefault="006E4849" w:rsidP="00310EF1">
      <w:pPr>
        <w:pStyle w:val="Heading1"/>
        <w:spacing w:after="240"/>
        <w:rPr>
          <w:rFonts w:ascii="Arial" w:hAnsi="Arial" w:cs="Arial"/>
          <w:i/>
          <w:iCs/>
          <w:color w:val="000000"/>
          <w:sz w:val="24"/>
          <w:szCs w:val="24"/>
        </w:rPr>
      </w:pPr>
      <w:r w:rsidRPr="00310EF1">
        <w:rPr>
          <w:rFonts w:ascii="Arial" w:eastAsia="Arial" w:hAnsi="Arial" w:cs="Arial"/>
          <w:color w:val="000000"/>
          <w:sz w:val="24"/>
          <w:szCs w:val="24"/>
        </w:rPr>
        <w:t xml:space="preserve">DENTAL </w:t>
      </w:r>
      <w:proofErr w:type="gramStart"/>
      <w:r w:rsidRPr="00310EF1">
        <w:rPr>
          <w:rFonts w:ascii="Arial" w:eastAsia="Arial" w:hAnsi="Arial" w:cs="Arial"/>
          <w:color w:val="000000"/>
          <w:sz w:val="24"/>
          <w:szCs w:val="24"/>
        </w:rPr>
        <w:t>LOSS RATIO</w:t>
      </w:r>
      <w:proofErr w:type="gramEnd"/>
      <w:r w:rsidRPr="00310EF1">
        <w:rPr>
          <w:rFonts w:ascii="Arial" w:eastAsia="Arial" w:hAnsi="Arial" w:cs="Arial"/>
          <w:color w:val="000000"/>
          <w:sz w:val="24"/>
          <w:szCs w:val="24"/>
        </w:rPr>
        <w:t xml:space="preserve"> REPORTING REQUIREMENTS </w:t>
      </w:r>
    </w:p>
    <w:p w14:paraId="5589D3EF" w14:textId="77777777" w:rsidR="006E4849" w:rsidRPr="00A23EC6" w:rsidRDefault="006E4849" w:rsidP="00A23EC6">
      <w:pPr>
        <w:pStyle w:val="par1"/>
        <w:spacing w:after="0"/>
        <w:rPr>
          <w:rFonts w:ascii="Arial" w:hAnsi="Arial" w:cs="Arial"/>
          <w:sz w:val="20"/>
          <w:szCs w:val="20"/>
        </w:rPr>
      </w:pPr>
      <w:r w:rsidRPr="00A23EC6">
        <w:rPr>
          <w:rFonts w:ascii="Arial" w:eastAsia="Arial" w:hAnsi="Arial" w:cs="Arial"/>
          <w:sz w:val="20"/>
          <w:szCs w:val="20"/>
        </w:rPr>
        <w:t>Section 1</w:t>
      </w:r>
      <w:r w:rsidRPr="00A23EC6">
        <w:rPr>
          <w:rFonts w:ascii="Arial" w:eastAsia="Arial" w:hAnsi="Arial" w:cs="Arial"/>
          <w:sz w:val="20"/>
          <w:szCs w:val="20"/>
        </w:rPr>
        <w:tab/>
        <w:t>Authority</w:t>
      </w:r>
    </w:p>
    <w:p w14:paraId="23944899" w14:textId="77777777" w:rsidR="006E4849" w:rsidRPr="00A23EC6" w:rsidRDefault="006E4849" w:rsidP="00A23EC6">
      <w:pPr>
        <w:pStyle w:val="par1"/>
        <w:spacing w:after="0"/>
        <w:rPr>
          <w:rFonts w:ascii="Arial" w:hAnsi="Arial" w:cs="Arial"/>
          <w:sz w:val="20"/>
          <w:szCs w:val="20"/>
        </w:rPr>
      </w:pPr>
      <w:r w:rsidRPr="00A23EC6">
        <w:rPr>
          <w:rFonts w:ascii="Arial" w:eastAsia="Arial" w:hAnsi="Arial" w:cs="Arial"/>
          <w:sz w:val="20"/>
          <w:szCs w:val="20"/>
        </w:rPr>
        <w:t>Section 2</w:t>
      </w:r>
      <w:r w:rsidRPr="00A23EC6">
        <w:rPr>
          <w:rFonts w:ascii="Arial" w:eastAsia="Arial" w:hAnsi="Arial" w:cs="Arial"/>
          <w:sz w:val="20"/>
          <w:szCs w:val="20"/>
        </w:rPr>
        <w:tab/>
        <w:t xml:space="preserve">Scope and Purpose </w:t>
      </w:r>
    </w:p>
    <w:p w14:paraId="0AB1E815" w14:textId="77777777" w:rsidR="006E4849" w:rsidRPr="00A23EC6" w:rsidRDefault="006E4849" w:rsidP="00A23EC6">
      <w:pPr>
        <w:pStyle w:val="par1"/>
        <w:spacing w:after="0"/>
        <w:rPr>
          <w:rFonts w:ascii="Arial" w:hAnsi="Arial" w:cs="Arial"/>
          <w:sz w:val="20"/>
          <w:szCs w:val="20"/>
        </w:rPr>
      </w:pPr>
      <w:r w:rsidRPr="00A23EC6">
        <w:rPr>
          <w:rFonts w:ascii="Arial" w:eastAsia="Arial" w:hAnsi="Arial" w:cs="Arial"/>
          <w:sz w:val="20"/>
          <w:szCs w:val="20"/>
        </w:rPr>
        <w:t>Section 3</w:t>
      </w:r>
      <w:r w:rsidRPr="00A23EC6">
        <w:rPr>
          <w:rFonts w:ascii="Arial" w:eastAsia="Arial" w:hAnsi="Arial" w:cs="Arial"/>
          <w:sz w:val="20"/>
          <w:szCs w:val="20"/>
        </w:rPr>
        <w:tab/>
        <w:t>Applicability</w:t>
      </w:r>
    </w:p>
    <w:p w14:paraId="66212094" w14:textId="77777777" w:rsidR="006E4849" w:rsidRPr="00A23EC6" w:rsidRDefault="006E4849" w:rsidP="00A23EC6">
      <w:pPr>
        <w:pStyle w:val="par1"/>
        <w:spacing w:after="0"/>
        <w:rPr>
          <w:rFonts w:ascii="Arial" w:hAnsi="Arial" w:cs="Arial"/>
          <w:sz w:val="20"/>
          <w:szCs w:val="20"/>
        </w:rPr>
      </w:pPr>
      <w:r w:rsidRPr="00A23EC6">
        <w:rPr>
          <w:rFonts w:ascii="Arial" w:eastAsia="Arial" w:hAnsi="Arial" w:cs="Arial"/>
          <w:sz w:val="20"/>
          <w:szCs w:val="20"/>
        </w:rPr>
        <w:t>Section 4</w:t>
      </w:r>
      <w:r w:rsidRPr="00A23EC6">
        <w:rPr>
          <w:rFonts w:ascii="Arial" w:eastAsia="Arial" w:hAnsi="Arial" w:cs="Arial"/>
          <w:sz w:val="20"/>
          <w:szCs w:val="20"/>
        </w:rPr>
        <w:tab/>
        <w:t>Definitions</w:t>
      </w:r>
    </w:p>
    <w:p w14:paraId="1FEBBB63" w14:textId="77777777" w:rsidR="006E4849" w:rsidRPr="00A23EC6" w:rsidRDefault="006E4849" w:rsidP="00A23EC6">
      <w:pPr>
        <w:pStyle w:val="par1"/>
        <w:spacing w:after="0"/>
        <w:rPr>
          <w:rFonts w:ascii="Arial" w:hAnsi="Arial" w:cs="Arial"/>
          <w:sz w:val="20"/>
          <w:szCs w:val="20"/>
        </w:rPr>
      </w:pPr>
      <w:r w:rsidRPr="00A23EC6">
        <w:rPr>
          <w:rFonts w:ascii="Arial" w:eastAsia="Arial" w:hAnsi="Arial" w:cs="Arial"/>
          <w:sz w:val="20"/>
          <w:szCs w:val="20"/>
        </w:rPr>
        <w:t>Section 5</w:t>
      </w:r>
      <w:r w:rsidRPr="00A23EC6">
        <w:rPr>
          <w:rFonts w:ascii="Arial" w:eastAsia="Arial" w:hAnsi="Arial" w:cs="Arial"/>
          <w:sz w:val="20"/>
          <w:szCs w:val="20"/>
        </w:rPr>
        <w:tab/>
        <w:t>Expenditures for Clinical Dental Services</w:t>
      </w:r>
    </w:p>
    <w:p w14:paraId="318094D7" w14:textId="77777777" w:rsidR="006E4849" w:rsidRPr="00A23EC6" w:rsidRDefault="006E4849" w:rsidP="00A23EC6">
      <w:pPr>
        <w:pStyle w:val="par1"/>
        <w:spacing w:after="0"/>
        <w:rPr>
          <w:rFonts w:ascii="Arial" w:hAnsi="Arial" w:cs="Arial"/>
          <w:sz w:val="20"/>
          <w:szCs w:val="20"/>
        </w:rPr>
      </w:pPr>
      <w:r w:rsidRPr="00A23EC6">
        <w:rPr>
          <w:rFonts w:ascii="Arial" w:eastAsia="Arial" w:hAnsi="Arial" w:cs="Arial"/>
          <w:sz w:val="20"/>
          <w:szCs w:val="20"/>
        </w:rPr>
        <w:t>Section 6</w:t>
      </w:r>
      <w:r w:rsidRPr="00A23EC6">
        <w:rPr>
          <w:rFonts w:ascii="Arial" w:eastAsia="Arial" w:hAnsi="Arial" w:cs="Arial"/>
          <w:sz w:val="20"/>
          <w:szCs w:val="20"/>
        </w:rPr>
        <w:tab/>
        <w:t>Activities that Improve Dental Care Quality</w:t>
      </w:r>
    </w:p>
    <w:p w14:paraId="2CDAC7B6" w14:textId="77777777" w:rsidR="006E4849" w:rsidRPr="00A23EC6" w:rsidRDefault="006E4849" w:rsidP="00A23EC6">
      <w:pPr>
        <w:pStyle w:val="par1"/>
        <w:spacing w:after="0"/>
        <w:rPr>
          <w:rFonts w:ascii="Arial" w:hAnsi="Arial" w:cs="Arial"/>
          <w:sz w:val="20"/>
          <w:szCs w:val="20"/>
        </w:rPr>
      </w:pPr>
      <w:r w:rsidRPr="00A23EC6">
        <w:rPr>
          <w:rFonts w:ascii="Arial" w:eastAsia="Arial" w:hAnsi="Arial" w:cs="Arial"/>
          <w:sz w:val="20"/>
          <w:szCs w:val="20"/>
        </w:rPr>
        <w:t>Section 7</w:t>
      </w:r>
      <w:r w:rsidRPr="00A23EC6">
        <w:rPr>
          <w:rFonts w:ascii="Arial" w:eastAsia="Arial" w:hAnsi="Arial" w:cs="Arial"/>
          <w:sz w:val="20"/>
          <w:szCs w:val="20"/>
        </w:rPr>
        <w:tab/>
        <w:t>Overhead and Administrative Cost Expenditures</w:t>
      </w:r>
    </w:p>
    <w:p w14:paraId="602C4F28" w14:textId="77777777" w:rsidR="006E4849" w:rsidRPr="00A23EC6" w:rsidRDefault="006E4849" w:rsidP="00A23EC6">
      <w:pPr>
        <w:pStyle w:val="par1"/>
        <w:spacing w:after="0"/>
        <w:rPr>
          <w:rFonts w:ascii="Arial" w:hAnsi="Arial" w:cs="Arial"/>
          <w:sz w:val="20"/>
          <w:szCs w:val="20"/>
        </w:rPr>
      </w:pPr>
      <w:r w:rsidRPr="00A23EC6">
        <w:rPr>
          <w:rFonts w:ascii="Arial" w:eastAsia="Arial" w:hAnsi="Arial" w:cs="Arial"/>
          <w:sz w:val="20"/>
          <w:szCs w:val="20"/>
        </w:rPr>
        <w:t>Section 8</w:t>
      </w:r>
      <w:r w:rsidRPr="00A23EC6">
        <w:rPr>
          <w:rFonts w:ascii="Arial" w:eastAsia="Arial" w:hAnsi="Arial" w:cs="Arial"/>
          <w:sz w:val="20"/>
          <w:szCs w:val="20"/>
        </w:rPr>
        <w:tab/>
        <w:t>Nonprofit Community Benefit Expenditures</w:t>
      </w:r>
    </w:p>
    <w:p w14:paraId="1EE59AA8" w14:textId="77777777" w:rsidR="006E4849" w:rsidRPr="00A23EC6" w:rsidRDefault="006E4849" w:rsidP="00A23EC6">
      <w:pPr>
        <w:pStyle w:val="par1"/>
        <w:spacing w:after="0"/>
        <w:rPr>
          <w:rFonts w:ascii="Arial" w:hAnsi="Arial" w:cs="Arial"/>
          <w:sz w:val="20"/>
          <w:szCs w:val="20"/>
        </w:rPr>
      </w:pPr>
      <w:r w:rsidRPr="00A23EC6">
        <w:rPr>
          <w:rFonts w:ascii="Arial" w:eastAsia="Arial" w:hAnsi="Arial" w:cs="Arial"/>
          <w:sz w:val="20"/>
          <w:szCs w:val="20"/>
        </w:rPr>
        <w:t>Section 9</w:t>
      </w:r>
      <w:r w:rsidRPr="00A23EC6">
        <w:rPr>
          <w:rFonts w:ascii="Arial" w:eastAsia="Arial" w:hAnsi="Arial" w:cs="Arial"/>
          <w:sz w:val="20"/>
          <w:szCs w:val="20"/>
        </w:rPr>
        <w:tab/>
        <w:t>Dental Loss Ratio Calculation and Reporting</w:t>
      </w:r>
    </w:p>
    <w:p w14:paraId="696AF2CD" w14:textId="77777777" w:rsidR="006E4849" w:rsidRPr="00A23EC6" w:rsidRDefault="006E4849" w:rsidP="00A23EC6">
      <w:pPr>
        <w:pStyle w:val="par1"/>
        <w:spacing w:after="0"/>
        <w:rPr>
          <w:rFonts w:ascii="Arial" w:hAnsi="Arial" w:cs="Arial"/>
          <w:sz w:val="20"/>
          <w:szCs w:val="20"/>
        </w:rPr>
      </w:pPr>
      <w:r w:rsidRPr="00A23EC6">
        <w:rPr>
          <w:rFonts w:ascii="Arial" w:eastAsia="Arial" w:hAnsi="Arial" w:cs="Arial"/>
          <w:sz w:val="20"/>
          <w:szCs w:val="20"/>
        </w:rPr>
        <w:t>Section 10</w:t>
      </w:r>
      <w:r w:rsidRPr="00A23EC6">
        <w:rPr>
          <w:rFonts w:ascii="Arial" w:eastAsia="Arial" w:hAnsi="Arial" w:cs="Arial"/>
          <w:sz w:val="20"/>
          <w:szCs w:val="20"/>
        </w:rPr>
        <w:tab/>
        <w:t xml:space="preserve">Additional Data Reporting </w:t>
      </w:r>
    </w:p>
    <w:p w14:paraId="46F17F29" w14:textId="77777777" w:rsidR="006E4849" w:rsidRPr="00A23EC6" w:rsidRDefault="006E4849" w:rsidP="00A23EC6">
      <w:pPr>
        <w:pStyle w:val="par1"/>
        <w:spacing w:after="0"/>
        <w:rPr>
          <w:rFonts w:ascii="Arial" w:hAnsi="Arial" w:cs="Arial"/>
          <w:sz w:val="20"/>
          <w:szCs w:val="20"/>
        </w:rPr>
      </w:pPr>
      <w:r w:rsidRPr="00A23EC6">
        <w:rPr>
          <w:rFonts w:ascii="Arial" w:hAnsi="Arial" w:cs="Arial"/>
          <w:sz w:val="20"/>
          <w:szCs w:val="20"/>
        </w:rPr>
        <w:t>Section 11</w:t>
      </w:r>
      <w:r w:rsidRPr="00A23EC6">
        <w:rPr>
          <w:rFonts w:ascii="Arial" w:hAnsi="Arial" w:cs="Arial"/>
          <w:sz w:val="20"/>
          <w:szCs w:val="20"/>
        </w:rPr>
        <w:tab/>
        <w:t>Credibility Adjustment and Outlier Identification</w:t>
      </w:r>
    </w:p>
    <w:p w14:paraId="39A815D2" w14:textId="0F219734" w:rsidR="006E4849" w:rsidRPr="00A23EC6" w:rsidRDefault="006E4849" w:rsidP="00A23EC6">
      <w:pPr>
        <w:pStyle w:val="par1"/>
        <w:spacing w:after="0"/>
        <w:rPr>
          <w:rFonts w:ascii="Arial" w:hAnsi="Arial" w:cs="Arial"/>
          <w:sz w:val="20"/>
          <w:szCs w:val="20"/>
        </w:rPr>
      </w:pPr>
      <w:r w:rsidRPr="00A23EC6">
        <w:rPr>
          <w:rFonts w:ascii="Arial" w:eastAsia="Arial" w:hAnsi="Arial" w:cs="Arial"/>
          <w:sz w:val="20"/>
          <w:szCs w:val="20"/>
        </w:rPr>
        <w:t>Section 1</w:t>
      </w:r>
      <w:r w:rsidRPr="00A23EC6">
        <w:rPr>
          <w:rFonts w:ascii="Arial" w:hAnsi="Arial" w:cs="Arial"/>
          <w:sz w:val="20"/>
          <w:szCs w:val="20"/>
        </w:rPr>
        <w:t>2</w:t>
      </w:r>
      <w:r w:rsidRPr="00A23EC6">
        <w:rPr>
          <w:rFonts w:ascii="Arial" w:eastAsia="Arial" w:hAnsi="Arial" w:cs="Arial"/>
          <w:sz w:val="20"/>
          <w:szCs w:val="20"/>
        </w:rPr>
        <w:tab/>
        <w:t>Severability</w:t>
      </w:r>
    </w:p>
    <w:p w14:paraId="0059EF89" w14:textId="16B26116" w:rsidR="006E4849" w:rsidRPr="00A23EC6" w:rsidRDefault="006E4849" w:rsidP="00A23EC6">
      <w:pPr>
        <w:pStyle w:val="par1"/>
        <w:spacing w:after="0"/>
        <w:rPr>
          <w:rFonts w:ascii="Arial" w:hAnsi="Arial" w:cs="Arial"/>
          <w:sz w:val="20"/>
          <w:szCs w:val="20"/>
        </w:rPr>
      </w:pPr>
      <w:r w:rsidRPr="00A23EC6">
        <w:rPr>
          <w:rFonts w:ascii="Arial" w:eastAsia="Arial" w:hAnsi="Arial" w:cs="Arial"/>
          <w:sz w:val="20"/>
          <w:szCs w:val="20"/>
        </w:rPr>
        <w:t>Section 1</w:t>
      </w:r>
      <w:r w:rsidRPr="00A23EC6">
        <w:rPr>
          <w:rFonts w:ascii="Arial" w:hAnsi="Arial" w:cs="Arial"/>
          <w:sz w:val="20"/>
          <w:szCs w:val="20"/>
        </w:rPr>
        <w:t>3</w:t>
      </w:r>
      <w:r w:rsidRPr="00A23EC6">
        <w:rPr>
          <w:rFonts w:ascii="Arial" w:eastAsia="Arial" w:hAnsi="Arial" w:cs="Arial"/>
          <w:sz w:val="20"/>
          <w:szCs w:val="20"/>
        </w:rPr>
        <w:tab/>
        <w:t>Enforcement</w:t>
      </w:r>
    </w:p>
    <w:p w14:paraId="154710DF" w14:textId="54434F80" w:rsidR="006E4849" w:rsidRPr="00A23EC6" w:rsidRDefault="006E4849" w:rsidP="00A23EC6">
      <w:pPr>
        <w:pStyle w:val="par1"/>
        <w:spacing w:after="0"/>
        <w:rPr>
          <w:rFonts w:ascii="Arial" w:hAnsi="Arial" w:cs="Arial"/>
          <w:sz w:val="20"/>
          <w:szCs w:val="20"/>
        </w:rPr>
      </w:pPr>
      <w:r w:rsidRPr="00A23EC6">
        <w:rPr>
          <w:rFonts w:ascii="Arial" w:eastAsia="Arial" w:hAnsi="Arial" w:cs="Arial"/>
          <w:sz w:val="20"/>
          <w:szCs w:val="20"/>
        </w:rPr>
        <w:t>Section 1</w:t>
      </w:r>
      <w:r w:rsidRPr="00A23EC6">
        <w:rPr>
          <w:rFonts w:ascii="Arial" w:hAnsi="Arial" w:cs="Arial"/>
          <w:sz w:val="20"/>
          <w:szCs w:val="20"/>
        </w:rPr>
        <w:t>4</w:t>
      </w:r>
      <w:r w:rsidRPr="00A23EC6">
        <w:rPr>
          <w:rFonts w:ascii="Arial" w:eastAsia="Arial" w:hAnsi="Arial" w:cs="Arial"/>
          <w:sz w:val="20"/>
          <w:szCs w:val="20"/>
        </w:rPr>
        <w:tab/>
        <w:t>Effective Date</w:t>
      </w:r>
    </w:p>
    <w:p w14:paraId="625EF408" w14:textId="354DB86B" w:rsidR="006E4849" w:rsidRPr="00A23EC6" w:rsidRDefault="006E4849" w:rsidP="00A23EC6">
      <w:pPr>
        <w:pStyle w:val="par1"/>
        <w:spacing w:after="240"/>
        <w:rPr>
          <w:rFonts w:ascii="Arial" w:hAnsi="Arial" w:cs="Arial"/>
          <w:sz w:val="20"/>
          <w:szCs w:val="20"/>
        </w:rPr>
      </w:pPr>
      <w:r w:rsidRPr="00A23EC6">
        <w:rPr>
          <w:rFonts w:ascii="Arial" w:eastAsia="Arial" w:hAnsi="Arial" w:cs="Arial"/>
          <w:sz w:val="20"/>
          <w:szCs w:val="20"/>
        </w:rPr>
        <w:t>Section 1</w:t>
      </w:r>
      <w:r w:rsidRPr="00A23EC6">
        <w:rPr>
          <w:rFonts w:ascii="Arial" w:hAnsi="Arial" w:cs="Arial"/>
          <w:sz w:val="20"/>
          <w:szCs w:val="20"/>
        </w:rPr>
        <w:t>5</w:t>
      </w:r>
      <w:r w:rsidRPr="00A23EC6">
        <w:rPr>
          <w:rFonts w:ascii="Arial" w:eastAsia="Arial" w:hAnsi="Arial" w:cs="Arial"/>
          <w:sz w:val="20"/>
          <w:szCs w:val="20"/>
        </w:rPr>
        <w:tab/>
        <w:t>History</w:t>
      </w:r>
    </w:p>
    <w:p w14:paraId="6FC4C7E0" w14:textId="77777777" w:rsidR="006E4849" w:rsidRPr="00A23EC6" w:rsidRDefault="006E4849" w:rsidP="00530161">
      <w:pPr>
        <w:pStyle w:val="Title1"/>
        <w:spacing w:after="240"/>
        <w:rPr>
          <w:rFonts w:ascii="Arial" w:hAnsi="Arial"/>
          <w:sz w:val="20"/>
          <w:szCs w:val="20"/>
        </w:rPr>
      </w:pPr>
      <w:r w:rsidRPr="00A23EC6">
        <w:rPr>
          <w:rFonts w:ascii="Arial" w:eastAsia="Arial" w:hAnsi="Arial"/>
          <w:sz w:val="20"/>
          <w:szCs w:val="20"/>
        </w:rPr>
        <w:t>Section 1</w:t>
      </w:r>
      <w:r w:rsidRPr="00A23EC6">
        <w:rPr>
          <w:rFonts w:ascii="Arial" w:eastAsia="Arial" w:hAnsi="Arial"/>
          <w:sz w:val="20"/>
          <w:szCs w:val="20"/>
        </w:rPr>
        <w:tab/>
        <w:t>Authority</w:t>
      </w:r>
    </w:p>
    <w:p w14:paraId="6B34E125" w14:textId="77777777" w:rsidR="006E4849" w:rsidRPr="00A23EC6" w:rsidRDefault="006E4849" w:rsidP="00530161">
      <w:pPr>
        <w:pStyle w:val="upar1"/>
        <w:spacing w:after="240"/>
        <w:rPr>
          <w:rFonts w:ascii="Arial" w:hAnsi="Arial"/>
          <w:sz w:val="20"/>
          <w:szCs w:val="20"/>
        </w:rPr>
      </w:pPr>
      <w:r w:rsidRPr="00A23EC6">
        <w:rPr>
          <w:rFonts w:ascii="Arial" w:eastAsia="Arial" w:hAnsi="Arial"/>
          <w:sz w:val="20"/>
          <w:szCs w:val="20"/>
        </w:rPr>
        <w:t>This regulation is promulgated and adopted by the Commissioner of Insurance under the authority of §§ 10-16-109, 10-1-109(1) and 10-16-165, C.R.S.</w:t>
      </w:r>
    </w:p>
    <w:p w14:paraId="66AE438C" w14:textId="77777777" w:rsidR="006E4849" w:rsidRPr="00A23EC6" w:rsidRDefault="006E4849" w:rsidP="00530161">
      <w:pPr>
        <w:pStyle w:val="Title2"/>
        <w:spacing w:after="240"/>
        <w:rPr>
          <w:rFonts w:ascii="Arial" w:hAnsi="Arial"/>
          <w:sz w:val="20"/>
          <w:szCs w:val="20"/>
        </w:rPr>
      </w:pPr>
      <w:r w:rsidRPr="00A23EC6">
        <w:rPr>
          <w:rFonts w:ascii="Arial" w:eastAsia="Arial" w:hAnsi="Arial"/>
          <w:sz w:val="20"/>
          <w:szCs w:val="20"/>
        </w:rPr>
        <w:t>Section 2</w:t>
      </w:r>
      <w:r w:rsidRPr="00A23EC6">
        <w:rPr>
          <w:rFonts w:ascii="Arial" w:eastAsia="Arial" w:hAnsi="Arial"/>
          <w:sz w:val="20"/>
          <w:szCs w:val="20"/>
        </w:rPr>
        <w:tab/>
        <w:t>Scope and Purpose</w:t>
      </w:r>
    </w:p>
    <w:p w14:paraId="46623C7B" w14:textId="27097DCD" w:rsidR="006E4849" w:rsidRPr="00A23EC6" w:rsidRDefault="006E4849" w:rsidP="00530161">
      <w:pPr>
        <w:pStyle w:val="upar1"/>
        <w:spacing w:after="240"/>
        <w:rPr>
          <w:rFonts w:ascii="Arial" w:hAnsi="Arial"/>
          <w:color w:val="000000"/>
          <w:sz w:val="20"/>
          <w:szCs w:val="20"/>
        </w:rPr>
      </w:pPr>
      <w:r w:rsidRPr="00A23EC6">
        <w:rPr>
          <w:rFonts w:ascii="Arial" w:eastAsia="Arial" w:hAnsi="Arial"/>
          <w:color w:val="000000"/>
          <w:sz w:val="20"/>
          <w:szCs w:val="20"/>
        </w:rPr>
        <w:t xml:space="preserve">The purpose of this regulation is to </w:t>
      </w:r>
      <w:r w:rsidRPr="00A23EC6">
        <w:rPr>
          <w:rFonts w:ascii="Arial" w:hAnsi="Arial"/>
          <w:sz w:val="20"/>
          <w:szCs w:val="20"/>
        </w:rPr>
        <w:t>provide carriers offering dental coverage plans with the necessary guidance to ensure compliance with Colorado’s dental loss ratio requirements.</w:t>
      </w:r>
    </w:p>
    <w:p w14:paraId="41B726BB" w14:textId="77777777" w:rsidR="006E4849" w:rsidRPr="00A23EC6" w:rsidRDefault="006E4849" w:rsidP="00530161">
      <w:pPr>
        <w:pStyle w:val="Title2"/>
        <w:spacing w:after="240"/>
        <w:rPr>
          <w:rFonts w:ascii="Arial" w:hAnsi="Arial"/>
          <w:sz w:val="20"/>
          <w:szCs w:val="20"/>
        </w:rPr>
      </w:pPr>
      <w:r w:rsidRPr="00A23EC6">
        <w:rPr>
          <w:rFonts w:ascii="Arial" w:eastAsia="Arial" w:hAnsi="Arial"/>
          <w:sz w:val="20"/>
          <w:szCs w:val="20"/>
        </w:rPr>
        <w:t>Section 3</w:t>
      </w:r>
      <w:r w:rsidRPr="00A23EC6">
        <w:rPr>
          <w:rFonts w:ascii="Arial" w:eastAsia="Arial" w:hAnsi="Arial"/>
          <w:sz w:val="20"/>
          <w:szCs w:val="20"/>
        </w:rPr>
        <w:tab/>
        <w:t>Applicability</w:t>
      </w:r>
    </w:p>
    <w:p w14:paraId="2A55AAED" w14:textId="59D8FB90" w:rsidR="006E4849" w:rsidRPr="00A23EC6" w:rsidRDefault="006E4849" w:rsidP="00530161">
      <w:pPr>
        <w:pStyle w:val="upar1"/>
        <w:spacing w:after="240"/>
        <w:rPr>
          <w:rFonts w:ascii="Arial" w:hAnsi="Arial"/>
          <w:sz w:val="20"/>
          <w:szCs w:val="20"/>
        </w:rPr>
      </w:pPr>
      <w:r w:rsidRPr="00A23EC6">
        <w:rPr>
          <w:rFonts w:ascii="Arial" w:eastAsia="Arial" w:hAnsi="Arial"/>
          <w:sz w:val="20"/>
          <w:szCs w:val="20"/>
        </w:rPr>
        <w:t>This regulation applies to all carriers, includ</w:t>
      </w:r>
      <w:r w:rsidRPr="00A23EC6">
        <w:rPr>
          <w:rFonts w:ascii="Arial" w:hAnsi="Arial"/>
          <w:sz w:val="20"/>
          <w:szCs w:val="20"/>
        </w:rPr>
        <w:t>ing</w:t>
      </w:r>
      <w:r w:rsidRPr="00A23EC6">
        <w:rPr>
          <w:rFonts w:ascii="Arial" w:eastAsia="Arial" w:hAnsi="Arial"/>
          <w:sz w:val="20"/>
          <w:szCs w:val="20"/>
        </w:rPr>
        <w:t xml:space="preserve"> prepaid dental care </w:t>
      </w:r>
      <w:proofErr w:type="gramStart"/>
      <w:r w:rsidRPr="00A23EC6">
        <w:rPr>
          <w:rFonts w:ascii="Arial" w:eastAsia="Arial" w:hAnsi="Arial"/>
          <w:sz w:val="20"/>
          <w:szCs w:val="20"/>
        </w:rPr>
        <w:t>plan</w:t>
      </w:r>
      <w:proofErr w:type="gramEnd"/>
      <w:r w:rsidRPr="00A23EC6">
        <w:rPr>
          <w:rFonts w:ascii="Arial" w:eastAsia="Arial" w:hAnsi="Arial"/>
          <w:sz w:val="20"/>
          <w:szCs w:val="20"/>
        </w:rPr>
        <w:t xml:space="preserve"> organizations, that offer dental coverage plans. </w:t>
      </w:r>
    </w:p>
    <w:p w14:paraId="338B1B84" w14:textId="77777777" w:rsidR="006E4849" w:rsidRPr="00A23EC6" w:rsidRDefault="006E4849" w:rsidP="00530161">
      <w:pPr>
        <w:pStyle w:val="Title2"/>
        <w:spacing w:after="240"/>
        <w:rPr>
          <w:rFonts w:ascii="Arial" w:hAnsi="Arial"/>
          <w:sz w:val="20"/>
          <w:szCs w:val="20"/>
        </w:rPr>
      </w:pPr>
      <w:r w:rsidRPr="00A23EC6">
        <w:rPr>
          <w:rFonts w:ascii="Arial" w:eastAsia="Arial" w:hAnsi="Arial"/>
          <w:sz w:val="20"/>
          <w:szCs w:val="20"/>
        </w:rPr>
        <w:t>Section 4</w:t>
      </w:r>
      <w:r w:rsidRPr="00A23EC6">
        <w:rPr>
          <w:rFonts w:ascii="Arial" w:eastAsia="Arial" w:hAnsi="Arial"/>
          <w:sz w:val="20"/>
          <w:szCs w:val="20"/>
        </w:rPr>
        <w:tab/>
        <w:t>Definitions</w:t>
      </w:r>
    </w:p>
    <w:p w14:paraId="7AAB737C" w14:textId="77777777" w:rsidR="006E4849" w:rsidRPr="00A23EC6" w:rsidRDefault="006E4849" w:rsidP="00530161">
      <w:pPr>
        <w:pStyle w:val="par1"/>
        <w:spacing w:after="240"/>
        <w:rPr>
          <w:rFonts w:ascii="Arial" w:hAnsi="Arial" w:cs="Arial"/>
          <w:sz w:val="20"/>
          <w:szCs w:val="20"/>
        </w:rPr>
      </w:pPr>
      <w:r w:rsidRPr="00A23EC6">
        <w:rPr>
          <w:rFonts w:ascii="Arial" w:eastAsia="Arial" w:hAnsi="Arial" w:cs="Arial"/>
          <w:sz w:val="20"/>
          <w:szCs w:val="20"/>
        </w:rPr>
        <w:t>A.</w:t>
      </w:r>
      <w:r w:rsidRPr="00A23EC6">
        <w:rPr>
          <w:rFonts w:ascii="Arial" w:eastAsia="Arial" w:hAnsi="Arial" w:cs="Arial"/>
          <w:sz w:val="20"/>
          <w:szCs w:val="20"/>
        </w:rPr>
        <w:tab/>
        <w:t>“Carrier” shall have the same meaning as found at § 10-16-102(8), C.R.S.</w:t>
      </w:r>
    </w:p>
    <w:p w14:paraId="5911DF79" w14:textId="44E2FAF8" w:rsidR="006E4849" w:rsidRPr="00A23EC6" w:rsidRDefault="007D5A4A" w:rsidP="00530161">
      <w:pPr>
        <w:pStyle w:val="par1"/>
        <w:spacing w:after="240"/>
        <w:rPr>
          <w:rFonts w:ascii="Arial" w:hAnsi="Arial" w:cs="Arial"/>
          <w:sz w:val="20"/>
          <w:szCs w:val="20"/>
        </w:rPr>
      </w:pPr>
      <w:r w:rsidRPr="00A23EC6">
        <w:rPr>
          <w:rFonts w:ascii="Arial" w:eastAsia="Arial" w:hAnsi="Arial" w:cs="Arial"/>
          <w:sz w:val="20"/>
          <w:szCs w:val="20"/>
        </w:rPr>
        <w:t>B</w:t>
      </w:r>
      <w:r w:rsidR="006E4849" w:rsidRPr="00A23EC6">
        <w:rPr>
          <w:rFonts w:ascii="Arial" w:eastAsia="Arial" w:hAnsi="Arial" w:cs="Arial"/>
          <w:sz w:val="20"/>
          <w:szCs w:val="20"/>
        </w:rPr>
        <w:t>.</w:t>
      </w:r>
      <w:r w:rsidR="006E4849" w:rsidRPr="00A23EC6">
        <w:rPr>
          <w:rFonts w:ascii="Arial" w:eastAsia="Arial" w:hAnsi="Arial" w:cs="Arial"/>
          <w:sz w:val="20"/>
          <w:szCs w:val="20"/>
        </w:rPr>
        <w:tab/>
        <w:t>“Community benefit expenditure” shall have the same meaning as found at § 10-16-165(1)(a), C.R.S.</w:t>
      </w:r>
    </w:p>
    <w:p w14:paraId="1DB70E9C" w14:textId="7437B37A" w:rsidR="006E4849" w:rsidRPr="00A23EC6" w:rsidRDefault="00B44CC3" w:rsidP="00530161">
      <w:pPr>
        <w:pStyle w:val="par1"/>
        <w:spacing w:after="240"/>
        <w:rPr>
          <w:rFonts w:ascii="Arial" w:hAnsi="Arial" w:cs="Arial"/>
          <w:sz w:val="20"/>
          <w:szCs w:val="20"/>
        </w:rPr>
      </w:pPr>
      <w:r>
        <w:rPr>
          <w:rFonts w:ascii="Arial" w:hAnsi="Arial" w:cs="Arial"/>
          <w:sz w:val="20"/>
          <w:szCs w:val="20"/>
        </w:rPr>
        <w:lastRenderedPageBreak/>
        <w:t>C</w:t>
      </w:r>
      <w:r w:rsidR="006E4849" w:rsidRPr="00A23EC6">
        <w:rPr>
          <w:rFonts w:ascii="Arial" w:hAnsi="Arial" w:cs="Arial"/>
          <w:sz w:val="20"/>
          <w:szCs w:val="20"/>
        </w:rPr>
        <w:t xml:space="preserve">. </w:t>
      </w:r>
      <w:r w:rsidR="006E4849" w:rsidRPr="00A23EC6">
        <w:rPr>
          <w:rFonts w:ascii="Arial" w:hAnsi="Arial" w:cs="Arial"/>
          <w:sz w:val="20"/>
          <w:szCs w:val="20"/>
        </w:rPr>
        <w:tab/>
        <w:t>“Credibility adjustment” means, for the purposes of this regulation, an adjustment to the DLR due to random statistical variation.</w:t>
      </w:r>
    </w:p>
    <w:p w14:paraId="12B82E7F" w14:textId="17ED4C4E" w:rsidR="006E4849" w:rsidRPr="00A23EC6" w:rsidRDefault="00B44CC3" w:rsidP="00530161">
      <w:pPr>
        <w:pStyle w:val="par1"/>
        <w:spacing w:after="240"/>
        <w:rPr>
          <w:rFonts w:ascii="Arial" w:hAnsi="Arial" w:cs="Arial"/>
          <w:sz w:val="20"/>
          <w:szCs w:val="20"/>
        </w:rPr>
      </w:pPr>
      <w:r>
        <w:rPr>
          <w:rFonts w:ascii="Arial" w:hAnsi="Arial" w:cs="Arial"/>
          <w:sz w:val="20"/>
          <w:szCs w:val="20"/>
        </w:rPr>
        <w:t>D</w:t>
      </w:r>
      <w:r w:rsidR="006E4849" w:rsidRPr="00A23EC6">
        <w:rPr>
          <w:rFonts w:ascii="Arial" w:eastAsia="Arial" w:hAnsi="Arial" w:cs="Arial"/>
          <w:sz w:val="20"/>
          <w:szCs w:val="20"/>
        </w:rPr>
        <w:t>.</w:t>
      </w:r>
      <w:r w:rsidR="006E4849" w:rsidRPr="00A23EC6">
        <w:rPr>
          <w:rFonts w:ascii="Arial" w:eastAsia="Arial" w:hAnsi="Arial" w:cs="Arial"/>
          <w:sz w:val="20"/>
          <w:szCs w:val="20"/>
        </w:rPr>
        <w:tab/>
        <w:t>“Dental coverage plan” shall have the same meaning as found at § 10-16-165(1)(b), C.R.S.</w:t>
      </w:r>
    </w:p>
    <w:p w14:paraId="3EDC7DFA" w14:textId="0594FEEB" w:rsidR="006E4849" w:rsidRPr="00A23EC6" w:rsidRDefault="00B44CC3" w:rsidP="00530161">
      <w:pPr>
        <w:pStyle w:val="par1"/>
        <w:spacing w:after="240"/>
        <w:rPr>
          <w:rFonts w:ascii="Arial" w:hAnsi="Arial" w:cs="Arial"/>
          <w:sz w:val="20"/>
          <w:szCs w:val="20"/>
          <w:highlight w:val="yellow"/>
        </w:rPr>
      </w:pPr>
      <w:r>
        <w:rPr>
          <w:rFonts w:ascii="Arial" w:hAnsi="Arial" w:cs="Arial"/>
          <w:sz w:val="20"/>
          <w:szCs w:val="20"/>
        </w:rPr>
        <w:t>E</w:t>
      </w:r>
      <w:r w:rsidR="006E4849" w:rsidRPr="00A23EC6">
        <w:rPr>
          <w:rFonts w:ascii="Arial" w:eastAsia="Arial" w:hAnsi="Arial" w:cs="Arial"/>
          <w:sz w:val="20"/>
          <w:szCs w:val="20"/>
        </w:rPr>
        <w:t>.</w:t>
      </w:r>
      <w:r w:rsidR="006E4849" w:rsidRPr="00A23EC6">
        <w:rPr>
          <w:rFonts w:ascii="Arial" w:eastAsia="Arial" w:hAnsi="Arial" w:cs="Arial"/>
          <w:sz w:val="20"/>
          <w:szCs w:val="20"/>
        </w:rPr>
        <w:tab/>
        <w:t>“Dental plan” means, for the purposes of this regulation, the specific benefits and cost-sharing provisions available to a covered person.</w:t>
      </w:r>
    </w:p>
    <w:p w14:paraId="2BD9B05F" w14:textId="400421C9" w:rsidR="006E4849" w:rsidRPr="00A23EC6" w:rsidRDefault="00B44CC3" w:rsidP="00530161">
      <w:pPr>
        <w:pStyle w:val="par1"/>
        <w:spacing w:after="240"/>
        <w:rPr>
          <w:rFonts w:ascii="Arial" w:hAnsi="Arial" w:cs="Arial"/>
          <w:sz w:val="20"/>
          <w:szCs w:val="20"/>
        </w:rPr>
      </w:pPr>
      <w:r>
        <w:rPr>
          <w:rFonts w:ascii="Arial" w:hAnsi="Arial" w:cs="Arial"/>
          <w:sz w:val="20"/>
          <w:szCs w:val="20"/>
        </w:rPr>
        <w:t>F</w:t>
      </w:r>
      <w:r w:rsidR="006E4849" w:rsidRPr="00A23EC6">
        <w:rPr>
          <w:rFonts w:ascii="Arial" w:eastAsia="Arial" w:hAnsi="Arial" w:cs="Arial"/>
          <w:sz w:val="20"/>
          <w:szCs w:val="20"/>
        </w:rPr>
        <w:t>.</w:t>
      </w:r>
      <w:r w:rsidR="006E4849" w:rsidRPr="00A23EC6">
        <w:rPr>
          <w:rFonts w:ascii="Arial" w:eastAsia="Arial" w:hAnsi="Arial" w:cs="Arial"/>
          <w:sz w:val="20"/>
          <w:szCs w:val="20"/>
        </w:rPr>
        <w:tab/>
        <w:t>“Dental loss ratio” or “DLR” shall have the same meaning as found at § 10-16-165(1)(c), C.R.S.</w:t>
      </w:r>
    </w:p>
    <w:p w14:paraId="594FEA1A" w14:textId="7991007F" w:rsidR="006E4849" w:rsidRPr="00A23EC6" w:rsidRDefault="00B44CC3" w:rsidP="00530161">
      <w:pPr>
        <w:pStyle w:val="par1"/>
        <w:spacing w:after="240"/>
        <w:rPr>
          <w:rFonts w:ascii="Arial" w:hAnsi="Arial" w:cs="Arial"/>
          <w:sz w:val="20"/>
          <w:szCs w:val="20"/>
        </w:rPr>
      </w:pPr>
      <w:r>
        <w:rPr>
          <w:rFonts w:ascii="Arial" w:hAnsi="Arial" w:cs="Arial"/>
          <w:sz w:val="20"/>
          <w:szCs w:val="20"/>
        </w:rPr>
        <w:t>G</w:t>
      </w:r>
      <w:r w:rsidR="006E4849" w:rsidRPr="00A23EC6">
        <w:rPr>
          <w:rFonts w:ascii="Arial" w:eastAsia="Arial" w:hAnsi="Arial" w:cs="Arial"/>
          <w:sz w:val="20"/>
          <w:szCs w:val="20"/>
        </w:rPr>
        <w:t>.</w:t>
      </w:r>
      <w:r w:rsidR="006E4849" w:rsidRPr="00A23EC6">
        <w:rPr>
          <w:rFonts w:ascii="Arial" w:eastAsia="Arial" w:hAnsi="Arial" w:cs="Arial"/>
          <w:sz w:val="20"/>
          <w:szCs w:val="20"/>
        </w:rPr>
        <w:tab/>
        <w:t xml:space="preserve">“Market segment” means, for the purposes of this regulation, the individual, small group, or large group market. </w:t>
      </w:r>
    </w:p>
    <w:p w14:paraId="69D4CD1F" w14:textId="4ACCF83B" w:rsidR="006E4849" w:rsidRPr="00A23EC6" w:rsidRDefault="00B44CC3" w:rsidP="00530161">
      <w:pPr>
        <w:pStyle w:val="par1"/>
        <w:spacing w:after="240"/>
        <w:rPr>
          <w:rFonts w:ascii="Arial" w:hAnsi="Arial" w:cs="Arial"/>
          <w:sz w:val="20"/>
          <w:szCs w:val="20"/>
        </w:rPr>
      </w:pPr>
      <w:r>
        <w:rPr>
          <w:rFonts w:ascii="Arial" w:hAnsi="Arial" w:cs="Arial"/>
          <w:sz w:val="20"/>
          <w:szCs w:val="20"/>
        </w:rPr>
        <w:t>H</w:t>
      </w:r>
      <w:r w:rsidR="006E4849" w:rsidRPr="00A23EC6">
        <w:rPr>
          <w:rFonts w:ascii="Arial" w:hAnsi="Arial" w:cs="Arial"/>
          <w:sz w:val="20"/>
          <w:szCs w:val="20"/>
        </w:rPr>
        <w:t>.</w:t>
      </w:r>
      <w:r w:rsidR="006E4849" w:rsidRPr="00A23EC6">
        <w:rPr>
          <w:rFonts w:ascii="Arial" w:hAnsi="Arial" w:cs="Arial"/>
          <w:sz w:val="20"/>
          <w:szCs w:val="20"/>
        </w:rPr>
        <w:tab/>
        <w:t xml:space="preserve">“Observed Dental Loss Ratio” or “Observed DLR” means, for the purposes of this regulation, the dental loss ratio calculated according to section 9.A of this regulation by market segment, using the carrier’s experience data over the most recent three-year period, prior to the credibility adjustment. </w:t>
      </w:r>
    </w:p>
    <w:p w14:paraId="23CE0AC3" w14:textId="345BBF15" w:rsidR="006E4849" w:rsidRPr="00A23EC6" w:rsidRDefault="00B44CC3" w:rsidP="00530161">
      <w:pPr>
        <w:pStyle w:val="par1"/>
        <w:spacing w:after="240"/>
        <w:rPr>
          <w:rFonts w:ascii="Arial" w:hAnsi="Arial" w:cs="Arial"/>
          <w:color w:val="000000"/>
          <w:sz w:val="20"/>
          <w:szCs w:val="20"/>
        </w:rPr>
      </w:pPr>
      <w:r>
        <w:rPr>
          <w:rFonts w:ascii="Arial" w:hAnsi="Arial" w:cs="Arial"/>
          <w:sz w:val="20"/>
          <w:szCs w:val="20"/>
        </w:rPr>
        <w:t>I</w:t>
      </w:r>
      <w:r w:rsidR="006E4849" w:rsidRPr="00A23EC6">
        <w:rPr>
          <w:rFonts w:ascii="Arial" w:eastAsia="Arial" w:hAnsi="Arial" w:cs="Arial"/>
          <w:color w:val="000000"/>
          <w:sz w:val="20"/>
          <w:szCs w:val="20"/>
        </w:rPr>
        <w:t>.</w:t>
      </w:r>
      <w:r w:rsidR="006E4849" w:rsidRPr="00A23EC6">
        <w:rPr>
          <w:rFonts w:ascii="Arial" w:eastAsia="Arial" w:hAnsi="Arial" w:cs="Arial"/>
          <w:color w:val="000000"/>
          <w:sz w:val="20"/>
          <w:szCs w:val="20"/>
        </w:rPr>
        <w:tab/>
        <w:t>“Prepaid dental care plan organization” shall have the same meaning as found at § 10-16-102 (53), C.R.S.</w:t>
      </w:r>
    </w:p>
    <w:p w14:paraId="327F8EEB" w14:textId="3EBE65B1" w:rsidR="006E4849" w:rsidRPr="00A23EC6" w:rsidRDefault="00B44CC3" w:rsidP="00B60727">
      <w:pPr>
        <w:pStyle w:val="par1"/>
        <w:spacing w:after="240"/>
        <w:rPr>
          <w:rFonts w:ascii="Arial" w:hAnsi="Arial" w:cs="Arial"/>
          <w:color w:val="000000"/>
          <w:sz w:val="20"/>
          <w:szCs w:val="20"/>
        </w:rPr>
      </w:pPr>
      <w:r>
        <w:rPr>
          <w:rFonts w:ascii="Arial" w:hAnsi="Arial" w:cs="Arial"/>
          <w:sz w:val="20"/>
          <w:szCs w:val="20"/>
        </w:rPr>
        <w:t>J</w:t>
      </w:r>
      <w:r w:rsidR="006E4849" w:rsidRPr="00A23EC6">
        <w:rPr>
          <w:rFonts w:ascii="Arial" w:eastAsia="Arial" w:hAnsi="Arial" w:cs="Arial"/>
          <w:color w:val="000000"/>
          <w:sz w:val="20"/>
          <w:szCs w:val="20"/>
        </w:rPr>
        <w:t>.</w:t>
      </w:r>
      <w:r w:rsidR="006E4849" w:rsidRPr="00A23EC6">
        <w:rPr>
          <w:rFonts w:ascii="Arial" w:eastAsia="Arial" w:hAnsi="Arial" w:cs="Arial"/>
          <w:color w:val="000000"/>
          <w:sz w:val="20"/>
          <w:szCs w:val="20"/>
        </w:rPr>
        <w:tab/>
        <w:t>“Product(s)” means, for the purposes of this regulation, a discrete package of dental coverage benefits that are offered using a particular product network type (such as dental health maintenance organization, preferred provider organization, exclusive provider organization, etc.) within a service area.</w:t>
      </w:r>
    </w:p>
    <w:p w14:paraId="5DAF6698" w14:textId="5B1F71CA" w:rsidR="006E4849" w:rsidRPr="00A23EC6" w:rsidRDefault="006E4849" w:rsidP="00B60727">
      <w:pPr>
        <w:pStyle w:val="Title2"/>
        <w:spacing w:after="240"/>
        <w:rPr>
          <w:rFonts w:ascii="Arial" w:hAnsi="Arial"/>
          <w:sz w:val="20"/>
          <w:szCs w:val="20"/>
        </w:rPr>
      </w:pPr>
      <w:r w:rsidRPr="00A23EC6">
        <w:rPr>
          <w:rFonts w:ascii="Arial" w:eastAsia="Arial" w:hAnsi="Arial"/>
          <w:sz w:val="20"/>
          <w:szCs w:val="20"/>
        </w:rPr>
        <w:t>Section 5</w:t>
      </w:r>
      <w:r w:rsidRPr="00A23EC6">
        <w:rPr>
          <w:rFonts w:ascii="Arial" w:eastAsia="Arial" w:hAnsi="Arial"/>
          <w:sz w:val="20"/>
          <w:szCs w:val="20"/>
        </w:rPr>
        <w:tab/>
        <w:t>Expenditures for Clinical Dental Services</w:t>
      </w:r>
    </w:p>
    <w:p w14:paraId="2CFFCCCE" w14:textId="5B65279B" w:rsidR="006E4849" w:rsidRPr="00A23EC6" w:rsidRDefault="006E4849" w:rsidP="00530161">
      <w:pPr>
        <w:pStyle w:val="upar1"/>
        <w:spacing w:after="240"/>
        <w:rPr>
          <w:rFonts w:ascii="Arial" w:hAnsi="Arial"/>
          <w:sz w:val="20"/>
          <w:szCs w:val="20"/>
        </w:rPr>
      </w:pPr>
      <w:r w:rsidRPr="00A23EC6">
        <w:rPr>
          <w:rFonts w:ascii="Arial" w:eastAsia="Arial" w:hAnsi="Arial"/>
          <w:sz w:val="20"/>
          <w:szCs w:val="20"/>
        </w:rPr>
        <w:t xml:space="preserve">Expenditures for clinical dental care services shall mean claims incurred, including claims incurred but not reported, by a carrier offering dental coverage plans for clinical dental care services provided to enrollees, and payments under capitation contracts with dental providers whose services are covered by the contract. </w:t>
      </w:r>
      <w:proofErr w:type="gramStart"/>
      <w:r w:rsidRPr="00A23EC6">
        <w:rPr>
          <w:rFonts w:ascii="Arial" w:eastAsia="Arial" w:hAnsi="Arial"/>
          <w:sz w:val="20"/>
          <w:szCs w:val="20"/>
        </w:rPr>
        <w:t>Expenditures</w:t>
      </w:r>
      <w:proofErr w:type="gramEnd"/>
      <w:r w:rsidRPr="00A23EC6">
        <w:rPr>
          <w:rFonts w:ascii="Arial" w:eastAsia="Arial" w:hAnsi="Arial"/>
          <w:sz w:val="20"/>
          <w:szCs w:val="20"/>
        </w:rPr>
        <w:t xml:space="preserve"> </w:t>
      </w:r>
      <w:proofErr w:type="gramStart"/>
      <w:r w:rsidRPr="00A23EC6">
        <w:rPr>
          <w:rFonts w:ascii="Arial" w:eastAsia="Arial" w:hAnsi="Arial"/>
          <w:sz w:val="20"/>
          <w:szCs w:val="20"/>
        </w:rPr>
        <w:t>for</w:t>
      </w:r>
      <w:proofErr w:type="gramEnd"/>
      <w:r w:rsidRPr="00A23EC6">
        <w:rPr>
          <w:rFonts w:ascii="Arial" w:eastAsia="Arial" w:hAnsi="Arial"/>
          <w:sz w:val="20"/>
          <w:szCs w:val="20"/>
        </w:rPr>
        <w:t xml:space="preserve"> clinical dental care services shall not include the following:</w:t>
      </w:r>
    </w:p>
    <w:p w14:paraId="6C60D0C7" w14:textId="7228905C" w:rsidR="006E4849" w:rsidRPr="00530161" w:rsidRDefault="00530161" w:rsidP="00530161">
      <w:pPr>
        <w:pStyle w:val="par1"/>
        <w:spacing w:after="240"/>
        <w:rPr>
          <w:rFonts w:ascii="Arial" w:hAnsi="Arial" w:cs="Arial"/>
          <w:sz w:val="20"/>
          <w:szCs w:val="20"/>
        </w:rPr>
      </w:pPr>
      <w:r>
        <w:rPr>
          <w:rFonts w:ascii="Arial" w:hAnsi="Arial" w:cs="Arial"/>
          <w:sz w:val="20"/>
          <w:szCs w:val="20"/>
        </w:rPr>
        <w:t>A</w:t>
      </w:r>
      <w:r w:rsidR="006E4849" w:rsidRPr="00530161">
        <w:rPr>
          <w:rFonts w:ascii="Arial" w:hAnsi="Arial" w:cs="Arial"/>
          <w:sz w:val="20"/>
          <w:szCs w:val="20"/>
        </w:rPr>
        <w:t>.</w:t>
      </w:r>
      <w:r w:rsidR="006E4849" w:rsidRPr="00530161">
        <w:rPr>
          <w:rFonts w:ascii="Arial" w:hAnsi="Arial" w:cs="Arial"/>
          <w:sz w:val="20"/>
          <w:szCs w:val="20"/>
        </w:rPr>
        <w:tab/>
        <w:t>Activities that improve dental care quality as defined in Section 6.A.</w:t>
      </w:r>
    </w:p>
    <w:p w14:paraId="5936493E" w14:textId="6E020D5B" w:rsidR="006E4849" w:rsidRPr="00530161" w:rsidRDefault="00530161" w:rsidP="00530161">
      <w:pPr>
        <w:pStyle w:val="par1"/>
        <w:spacing w:after="240"/>
        <w:rPr>
          <w:rFonts w:ascii="Arial" w:hAnsi="Arial" w:cs="Arial"/>
          <w:sz w:val="20"/>
          <w:szCs w:val="20"/>
        </w:rPr>
      </w:pPr>
      <w:r>
        <w:rPr>
          <w:rFonts w:ascii="Arial" w:hAnsi="Arial" w:cs="Arial"/>
          <w:sz w:val="20"/>
          <w:szCs w:val="20"/>
        </w:rPr>
        <w:t>B</w:t>
      </w:r>
      <w:r w:rsidR="006E4849" w:rsidRPr="00530161">
        <w:rPr>
          <w:rFonts w:ascii="Arial" w:hAnsi="Arial" w:cs="Arial"/>
          <w:sz w:val="20"/>
          <w:szCs w:val="20"/>
        </w:rPr>
        <w:t>.</w:t>
      </w:r>
      <w:r w:rsidR="006E4849" w:rsidRPr="00530161">
        <w:rPr>
          <w:rFonts w:ascii="Arial" w:hAnsi="Arial" w:cs="Arial"/>
          <w:sz w:val="20"/>
          <w:szCs w:val="20"/>
        </w:rPr>
        <w:tab/>
        <w:t xml:space="preserve">Overhead and administrative cost expenditures as defined in Section 7. </w:t>
      </w:r>
    </w:p>
    <w:p w14:paraId="12A4BF8B" w14:textId="7EE06003" w:rsidR="006E4849" w:rsidRPr="00530161" w:rsidRDefault="00530161" w:rsidP="00530161">
      <w:pPr>
        <w:pStyle w:val="par1"/>
        <w:spacing w:after="240"/>
        <w:rPr>
          <w:rFonts w:ascii="Arial" w:hAnsi="Arial" w:cs="Arial"/>
          <w:sz w:val="20"/>
          <w:szCs w:val="20"/>
        </w:rPr>
      </w:pPr>
      <w:r>
        <w:rPr>
          <w:rFonts w:ascii="Arial" w:hAnsi="Arial" w:cs="Arial"/>
          <w:sz w:val="20"/>
          <w:szCs w:val="20"/>
        </w:rPr>
        <w:t>C</w:t>
      </w:r>
      <w:r w:rsidR="006E4849" w:rsidRPr="00530161">
        <w:rPr>
          <w:rFonts w:ascii="Arial" w:hAnsi="Arial" w:cs="Arial"/>
          <w:sz w:val="20"/>
          <w:szCs w:val="20"/>
        </w:rPr>
        <w:t>.</w:t>
      </w:r>
      <w:r w:rsidR="006E4849" w:rsidRPr="00530161">
        <w:rPr>
          <w:rFonts w:ascii="Arial" w:hAnsi="Arial" w:cs="Arial"/>
          <w:sz w:val="20"/>
          <w:szCs w:val="20"/>
        </w:rPr>
        <w:tab/>
        <w:t>Activities that are nonprofit community benefit expenditures as defined in Section 8.</w:t>
      </w:r>
    </w:p>
    <w:p w14:paraId="5555002D" w14:textId="77777777" w:rsidR="006E4849" w:rsidRPr="00A23EC6" w:rsidRDefault="006E4849" w:rsidP="00530161">
      <w:pPr>
        <w:pStyle w:val="Title2"/>
        <w:spacing w:after="240"/>
        <w:rPr>
          <w:rFonts w:ascii="Arial" w:hAnsi="Arial"/>
          <w:sz w:val="20"/>
          <w:szCs w:val="20"/>
        </w:rPr>
      </w:pPr>
      <w:r w:rsidRPr="00A23EC6">
        <w:rPr>
          <w:rFonts w:ascii="Arial" w:eastAsia="Arial" w:hAnsi="Arial"/>
          <w:sz w:val="20"/>
          <w:szCs w:val="20"/>
        </w:rPr>
        <w:t>Section 6</w:t>
      </w:r>
      <w:r w:rsidRPr="00A23EC6">
        <w:rPr>
          <w:rFonts w:ascii="Arial" w:eastAsia="Arial" w:hAnsi="Arial"/>
          <w:sz w:val="20"/>
          <w:szCs w:val="20"/>
        </w:rPr>
        <w:tab/>
        <w:t>Activities that Improve Dental Care Quality</w:t>
      </w:r>
    </w:p>
    <w:p w14:paraId="38F49F88" w14:textId="77777777" w:rsidR="006E4849" w:rsidRPr="00A23EC6" w:rsidRDefault="006E4849" w:rsidP="00530161">
      <w:pPr>
        <w:pStyle w:val="par1"/>
        <w:spacing w:after="240"/>
        <w:rPr>
          <w:rFonts w:ascii="Arial" w:hAnsi="Arial" w:cs="Arial"/>
          <w:sz w:val="20"/>
          <w:szCs w:val="20"/>
        </w:rPr>
      </w:pPr>
      <w:r w:rsidRPr="00A23EC6">
        <w:rPr>
          <w:rFonts w:ascii="Arial" w:eastAsia="Arial" w:hAnsi="Arial" w:cs="Arial"/>
          <w:sz w:val="20"/>
          <w:szCs w:val="20"/>
        </w:rPr>
        <w:t>A.</w:t>
      </w:r>
      <w:r w:rsidRPr="00A23EC6">
        <w:rPr>
          <w:rFonts w:ascii="Arial" w:eastAsia="Arial" w:hAnsi="Arial" w:cs="Arial"/>
          <w:sz w:val="20"/>
          <w:szCs w:val="20"/>
        </w:rPr>
        <w:tab/>
        <w:t>Activities that improve dental care quality include activities conducted by a carrier offering dental coverage plans to improve quality that meet the following requirements:</w:t>
      </w:r>
    </w:p>
    <w:p w14:paraId="1B98EE70"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1.</w:t>
      </w:r>
      <w:r w:rsidRPr="00A23EC6">
        <w:rPr>
          <w:rFonts w:ascii="Arial" w:eastAsia="Arial" w:hAnsi="Arial" w:cs="Arial"/>
          <w:sz w:val="20"/>
          <w:szCs w:val="20"/>
        </w:rPr>
        <w:tab/>
        <w:t>Improve oral and overall health and advance oral health quality, including increasing the likelihood of desired outcomes compared to a baseline; reducing dental disparities among specified populations; and improving patient safety, reducing medical errors, or lowering infection in ways that are capable of being objectively measured and of producing verifiable results and achievements;</w:t>
      </w:r>
    </w:p>
    <w:p w14:paraId="550003D8"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lastRenderedPageBreak/>
        <w:t>2.</w:t>
      </w:r>
      <w:r w:rsidRPr="00A23EC6">
        <w:rPr>
          <w:rFonts w:ascii="Arial" w:eastAsia="Arial" w:hAnsi="Arial" w:cs="Arial"/>
          <w:sz w:val="20"/>
          <w:szCs w:val="20"/>
        </w:rPr>
        <w:tab/>
        <w:t xml:space="preserve">Directed toward individual enrollees or incurred for the benefit of specified segments of enrollees or provide oral health improvements to the population beyond those enrolled in coverage </w:t>
      </w:r>
      <w:proofErr w:type="gramStart"/>
      <w:r w:rsidRPr="00A23EC6">
        <w:rPr>
          <w:rFonts w:ascii="Arial" w:eastAsia="Arial" w:hAnsi="Arial" w:cs="Arial"/>
          <w:sz w:val="20"/>
          <w:szCs w:val="20"/>
        </w:rPr>
        <w:t>as long as</w:t>
      </w:r>
      <w:proofErr w:type="gramEnd"/>
      <w:r w:rsidRPr="00A23EC6">
        <w:rPr>
          <w:rFonts w:ascii="Arial" w:eastAsia="Arial" w:hAnsi="Arial" w:cs="Arial"/>
          <w:sz w:val="20"/>
          <w:szCs w:val="20"/>
        </w:rPr>
        <w:t xml:space="preserve"> no credit is taken for additional costs incurred due to the non-enrollees; and</w:t>
      </w:r>
    </w:p>
    <w:p w14:paraId="7CA06868"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3.</w:t>
      </w:r>
      <w:r w:rsidRPr="00A23EC6">
        <w:rPr>
          <w:rFonts w:ascii="Arial" w:eastAsia="Arial" w:hAnsi="Arial" w:cs="Arial"/>
          <w:sz w:val="20"/>
          <w:szCs w:val="20"/>
        </w:rPr>
        <w:tab/>
        <w:t>Grounded in the implementation, development, or improvement of evidence-based medicine, widely accepted best clinical practice, or criteria issued by recognized professional dental associations, accreditation bodies, government agencies or other nationally recognized dental care quality organizations.</w:t>
      </w:r>
    </w:p>
    <w:p w14:paraId="30D2500C" w14:textId="77777777" w:rsidR="006E4849" w:rsidRPr="00A23EC6" w:rsidRDefault="006E4849" w:rsidP="00530161">
      <w:pPr>
        <w:pStyle w:val="par1"/>
        <w:spacing w:after="240"/>
        <w:rPr>
          <w:rFonts w:ascii="Arial" w:hAnsi="Arial" w:cs="Arial"/>
          <w:sz w:val="20"/>
          <w:szCs w:val="20"/>
        </w:rPr>
      </w:pPr>
      <w:r w:rsidRPr="00A23EC6">
        <w:rPr>
          <w:rFonts w:ascii="Arial" w:eastAsia="Arial" w:hAnsi="Arial" w:cs="Arial"/>
          <w:sz w:val="20"/>
          <w:szCs w:val="20"/>
        </w:rPr>
        <w:t>B.</w:t>
      </w:r>
      <w:r w:rsidRPr="00A23EC6">
        <w:rPr>
          <w:rFonts w:ascii="Arial" w:eastAsia="Arial" w:hAnsi="Arial" w:cs="Arial"/>
          <w:sz w:val="20"/>
          <w:szCs w:val="20"/>
        </w:rPr>
        <w:tab/>
        <w:t xml:space="preserve">Activities that improve dental care quality </w:t>
      </w:r>
      <w:proofErr w:type="gramStart"/>
      <w:r w:rsidRPr="00A23EC6">
        <w:rPr>
          <w:rFonts w:ascii="Arial" w:eastAsia="Arial" w:hAnsi="Arial" w:cs="Arial"/>
          <w:sz w:val="20"/>
          <w:szCs w:val="20"/>
        </w:rPr>
        <w:t>shall</w:t>
      </w:r>
      <w:proofErr w:type="gramEnd"/>
      <w:r w:rsidRPr="00A23EC6">
        <w:rPr>
          <w:rFonts w:ascii="Arial" w:eastAsia="Arial" w:hAnsi="Arial" w:cs="Arial"/>
          <w:sz w:val="20"/>
          <w:szCs w:val="20"/>
        </w:rPr>
        <w:t xml:space="preserve"> not include: </w:t>
      </w:r>
    </w:p>
    <w:p w14:paraId="0F55B65A"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1.</w:t>
      </w:r>
      <w:r w:rsidRPr="00A23EC6">
        <w:rPr>
          <w:rFonts w:ascii="Arial" w:eastAsia="Arial" w:hAnsi="Arial" w:cs="Arial"/>
          <w:sz w:val="20"/>
          <w:szCs w:val="20"/>
        </w:rPr>
        <w:tab/>
        <w:t xml:space="preserve">Activities relating to lines of business or products other than dental, including the pro </w:t>
      </w:r>
      <w:proofErr w:type="gramStart"/>
      <w:r w:rsidRPr="00A23EC6">
        <w:rPr>
          <w:rFonts w:ascii="Arial" w:eastAsia="Arial" w:hAnsi="Arial" w:cs="Arial"/>
          <w:sz w:val="20"/>
          <w:szCs w:val="20"/>
        </w:rPr>
        <w:t>rata share</w:t>
      </w:r>
      <w:proofErr w:type="gramEnd"/>
      <w:r w:rsidRPr="00A23EC6">
        <w:rPr>
          <w:rFonts w:ascii="Arial" w:eastAsia="Arial" w:hAnsi="Arial" w:cs="Arial"/>
          <w:sz w:val="20"/>
          <w:szCs w:val="20"/>
        </w:rPr>
        <w:t xml:space="preserve"> of expenditures relating to both dental and non-dental business; </w:t>
      </w:r>
    </w:p>
    <w:p w14:paraId="664153F0"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2.</w:t>
      </w:r>
      <w:r w:rsidRPr="00A23EC6">
        <w:rPr>
          <w:rFonts w:ascii="Arial" w:eastAsia="Arial" w:hAnsi="Arial" w:cs="Arial"/>
          <w:sz w:val="20"/>
          <w:szCs w:val="20"/>
        </w:rPr>
        <w:tab/>
        <w:t xml:space="preserve">Activities paid for with grant money or other funding separate from premium revenue; </w:t>
      </w:r>
    </w:p>
    <w:p w14:paraId="733E15B2"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3.</w:t>
      </w:r>
      <w:r w:rsidRPr="00A23EC6">
        <w:rPr>
          <w:rFonts w:ascii="Arial" w:eastAsia="Arial" w:hAnsi="Arial" w:cs="Arial"/>
          <w:sz w:val="20"/>
          <w:szCs w:val="20"/>
        </w:rPr>
        <w:tab/>
        <w:t>Activities that can be billed or allocated by a provider for care delivery and are reimbursed as clinical dental services;</w:t>
      </w:r>
    </w:p>
    <w:p w14:paraId="2FD34301"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4.</w:t>
      </w:r>
      <w:r w:rsidRPr="00A23EC6">
        <w:rPr>
          <w:rFonts w:ascii="Arial" w:eastAsia="Arial" w:hAnsi="Arial" w:cs="Arial"/>
          <w:sz w:val="20"/>
          <w:szCs w:val="20"/>
        </w:rPr>
        <w:tab/>
        <w:t xml:space="preserve">Taxes and assessments; </w:t>
      </w:r>
    </w:p>
    <w:p w14:paraId="56BE4239"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5.</w:t>
      </w:r>
      <w:r w:rsidRPr="00A23EC6">
        <w:rPr>
          <w:rFonts w:ascii="Arial" w:eastAsia="Arial" w:hAnsi="Arial" w:cs="Arial"/>
          <w:sz w:val="20"/>
          <w:szCs w:val="20"/>
        </w:rPr>
        <w:tab/>
        <w:t>Fines and penalties of regulatory authorities, and fees for examinations by any State or Federal Departments; or</w:t>
      </w:r>
    </w:p>
    <w:p w14:paraId="5BFF5BC6"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6.</w:t>
      </w:r>
      <w:r w:rsidRPr="00A23EC6">
        <w:rPr>
          <w:rFonts w:ascii="Arial" w:eastAsia="Arial" w:hAnsi="Arial" w:cs="Arial"/>
          <w:sz w:val="20"/>
          <w:szCs w:val="20"/>
        </w:rPr>
        <w:tab/>
        <w:t xml:space="preserve">Any marketing component that displays the name of the carrier, or that is paid for by the carrier to any affiliate of the carrier in any way, either directly or indirectly. </w:t>
      </w:r>
    </w:p>
    <w:p w14:paraId="6E709750" w14:textId="77777777" w:rsidR="006E4849" w:rsidRPr="00A23EC6" w:rsidRDefault="006E4849" w:rsidP="00530161">
      <w:pPr>
        <w:pStyle w:val="Title1"/>
        <w:spacing w:after="240"/>
        <w:rPr>
          <w:rFonts w:ascii="Arial" w:hAnsi="Arial"/>
          <w:sz w:val="20"/>
          <w:szCs w:val="20"/>
        </w:rPr>
      </w:pPr>
      <w:r w:rsidRPr="00A23EC6">
        <w:rPr>
          <w:rFonts w:ascii="Arial" w:eastAsia="Arial" w:hAnsi="Arial"/>
          <w:sz w:val="20"/>
          <w:szCs w:val="20"/>
        </w:rPr>
        <w:t>Section 7</w:t>
      </w:r>
      <w:r w:rsidRPr="00A23EC6">
        <w:rPr>
          <w:rFonts w:ascii="Arial" w:eastAsia="Arial" w:hAnsi="Arial"/>
          <w:sz w:val="20"/>
          <w:szCs w:val="20"/>
        </w:rPr>
        <w:tab/>
        <w:t>Overhead and Administrative Cost Expenditures</w:t>
      </w:r>
    </w:p>
    <w:p w14:paraId="7069D6D7" w14:textId="77777777" w:rsidR="006E4849" w:rsidRPr="00A23EC6" w:rsidRDefault="006E4849" w:rsidP="00530161">
      <w:pPr>
        <w:pStyle w:val="par1"/>
        <w:spacing w:after="240"/>
        <w:rPr>
          <w:rFonts w:ascii="Arial" w:hAnsi="Arial" w:cs="Arial"/>
          <w:sz w:val="20"/>
          <w:szCs w:val="20"/>
        </w:rPr>
      </w:pPr>
      <w:r w:rsidRPr="00A23EC6">
        <w:rPr>
          <w:rFonts w:ascii="Arial" w:eastAsia="Arial" w:hAnsi="Arial" w:cs="Arial"/>
          <w:sz w:val="20"/>
          <w:szCs w:val="20"/>
        </w:rPr>
        <w:t>A.</w:t>
      </w:r>
      <w:r w:rsidRPr="00A23EC6">
        <w:rPr>
          <w:rFonts w:ascii="Arial" w:eastAsia="Arial" w:hAnsi="Arial" w:cs="Arial"/>
          <w:sz w:val="20"/>
          <w:szCs w:val="20"/>
        </w:rPr>
        <w:tab/>
        <w:t xml:space="preserve">Overhead </w:t>
      </w:r>
      <w:proofErr w:type="gramStart"/>
      <w:r w:rsidRPr="00A23EC6">
        <w:rPr>
          <w:rFonts w:ascii="Arial" w:eastAsia="Arial" w:hAnsi="Arial" w:cs="Arial"/>
          <w:sz w:val="20"/>
          <w:szCs w:val="20"/>
        </w:rPr>
        <w:t>expenditures</w:t>
      </w:r>
      <w:proofErr w:type="gramEnd"/>
      <w:r w:rsidRPr="00A23EC6">
        <w:rPr>
          <w:rFonts w:ascii="Arial" w:eastAsia="Arial" w:hAnsi="Arial" w:cs="Arial"/>
          <w:sz w:val="20"/>
          <w:szCs w:val="20"/>
        </w:rPr>
        <w:t xml:space="preserve"> shall include the following:</w:t>
      </w:r>
    </w:p>
    <w:p w14:paraId="2763DCD6"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1.</w:t>
      </w:r>
      <w:r w:rsidRPr="00A23EC6">
        <w:rPr>
          <w:rFonts w:ascii="Arial" w:eastAsia="Arial" w:hAnsi="Arial" w:cs="Arial"/>
          <w:sz w:val="20"/>
          <w:szCs w:val="20"/>
        </w:rPr>
        <w:tab/>
        <w:t>Rent;</w:t>
      </w:r>
    </w:p>
    <w:p w14:paraId="3D1BB26B"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2.</w:t>
      </w:r>
      <w:r w:rsidRPr="00A23EC6">
        <w:rPr>
          <w:rFonts w:ascii="Arial" w:eastAsia="Arial" w:hAnsi="Arial" w:cs="Arial"/>
          <w:sz w:val="20"/>
          <w:szCs w:val="20"/>
        </w:rPr>
        <w:tab/>
        <w:t>Legal fees and expenses;</w:t>
      </w:r>
      <w:r w:rsidRPr="00A23EC6">
        <w:rPr>
          <w:rFonts w:ascii="Arial" w:eastAsia="Arial" w:hAnsi="Arial" w:cs="Arial"/>
          <w:sz w:val="20"/>
          <w:szCs w:val="20"/>
        </w:rPr>
        <w:tab/>
      </w:r>
    </w:p>
    <w:p w14:paraId="6A9880F2"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3.</w:t>
      </w:r>
      <w:r w:rsidRPr="00A23EC6">
        <w:rPr>
          <w:rFonts w:ascii="Arial" w:eastAsia="Arial" w:hAnsi="Arial" w:cs="Arial"/>
          <w:sz w:val="20"/>
          <w:szCs w:val="20"/>
        </w:rPr>
        <w:tab/>
        <w:t>Professional consulting fees;</w:t>
      </w:r>
    </w:p>
    <w:p w14:paraId="7797A817"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4.</w:t>
      </w:r>
      <w:r w:rsidRPr="00A23EC6">
        <w:rPr>
          <w:rFonts w:ascii="Arial" w:eastAsia="Arial" w:hAnsi="Arial" w:cs="Arial"/>
          <w:sz w:val="20"/>
          <w:szCs w:val="20"/>
        </w:rPr>
        <w:tab/>
        <w:t>Travel expenditures; and</w:t>
      </w:r>
    </w:p>
    <w:p w14:paraId="101874F1"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5.</w:t>
      </w:r>
      <w:r w:rsidRPr="00A23EC6">
        <w:rPr>
          <w:rFonts w:ascii="Arial" w:eastAsia="Arial" w:hAnsi="Arial" w:cs="Arial"/>
          <w:sz w:val="20"/>
          <w:szCs w:val="20"/>
        </w:rPr>
        <w:tab/>
        <w:t>Utility expenditures.</w:t>
      </w:r>
    </w:p>
    <w:p w14:paraId="154AFB53" w14:textId="77777777" w:rsidR="006E4849" w:rsidRPr="00A23EC6" w:rsidRDefault="006E4849" w:rsidP="00530161">
      <w:pPr>
        <w:pStyle w:val="par1"/>
        <w:spacing w:after="240"/>
        <w:rPr>
          <w:rFonts w:ascii="Arial" w:hAnsi="Arial" w:cs="Arial"/>
          <w:sz w:val="20"/>
          <w:szCs w:val="20"/>
        </w:rPr>
      </w:pPr>
      <w:r w:rsidRPr="00A23EC6">
        <w:rPr>
          <w:rFonts w:ascii="Arial" w:eastAsia="Arial" w:hAnsi="Arial" w:cs="Arial"/>
          <w:sz w:val="20"/>
          <w:szCs w:val="20"/>
        </w:rPr>
        <w:t>B.</w:t>
      </w:r>
      <w:r w:rsidRPr="00A23EC6">
        <w:rPr>
          <w:rFonts w:ascii="Arial" w:eastAsia="Arial" w:hAnsi="Arial" w:cs="Arial"/>
          <w:sz w:val="20"/>
          <w:szCs w:val="20"/>
        </w:rPr>
        <w:tab/>
        <w:t xml:space="preserve">Administrative cost expenditures shall include the following: </w:t>
      </w:r>
    </w:p>
    <w:p w14:paraId="78985459"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1.</w:t>
      </w:r>
      <w:r w:rsidRPr="00A23EC6">
        <w:rPr>
          <w:rFonts w:ascii="Arial" w:eastAsia="Arial" w:hAnsi="Arial" w:cs="Arial"/>
          <w:sz w:val="20"/>
          <w:szCs w:val="20"/>
        </w:rPr>
        <w:tab/>
        <w:t xml:space="preserve">Activities designed primarily to control or contain costs; </w:t>
      </w:r>
    </w:p>
    <w:p w14:paraId="06E8D930"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2.</w:t>
      </w:r>
      <w:r w:rsidRPr="00A23EC6">
        <w:rPr>
          <w:rFonts w:ascii="Arial" w:eastAsia="Arial" w:hAnsi="Arial" w:cs="Arial"/>
          <w:sz w:val="20"/>
          <w:szCs w:val="20"/>
        </w:rPr>
        <w:tab/>
        <w:t xml:space="preserve">Establishing or maintaining a claims adjudication system, including upgrades in information technology that are designed primarily or solely to improve claims payment capabilities or to meet regulatory requirements for processing claims; </w:t>
      </w:r>
    </w:p>
    <w:p w14:paraId="2DE0CDD8"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lastRenderedPageBreak/>
        <w:t>3.</w:t>
      </w:r>
      <w:r w:rsidRPr="00A23EC6">
        <w:rPr>
          <w:rFonts w:ascii="Arial" w:eastAsia="Arial" w:hAnsi="Arial" w:cs="Arial"/>
          <w:sz w:val="20"/>
          <w:szCs w:val="20"/>
        </w:rPr>
        <w:tab/>
        <w:t>Retrospective and concurrent utilization review, and any prospective utilization review that cannot be specifically justified as meeting the definition of “activities that improve dental care quality”;</w:t>
      </w:r>
    </w:p>
    <w:p w14:paraId="2445B548"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4.</w:t>
      </w:r>
      <w:r w:rsidRPr="00A23EC6">
        <w:rPr>
          <w:rFonts w:ascii="Arial" w:eastAsia="Arial" w:hAnsi="Arial" w:cs="Arial"/>
          <w:sz w:val="20"/>
          <w:szCs w:val="20"/>
        </w:rPr>
        <w:tab/>
        <w:t>Fraud prevention activities;</w:t>
      </w:r>
    </w:p>
    <w:p w14:paraId="21484E85"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5.</w:t>
      </w:r>
      <w:r w:rsidRPr="00A23EC6">
        <w:rPr>
          <w:rFonts w:ascii="Arial" w:eastAsia="Arial" w:hAnsi="Arial" w:cs="Arial"/>
          <w:sz w:val="20"/>
          <w:szCs w:val="20"/>
        </w:rPr>
        <w:tab/>
        <w:t>Developing and executing provider contracts, including establishing or managing a provider network;</w:t>
      </w:r>
    </w:p>
    <w:p w14:paraId="6DF9031B"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6.</w:t>
      </w:r>
      <w:r w:rsidRPr="00A23EC6">
        <w:rPr>
          <w:rFonts w:ascii="Arial" w:eastAsia="Arial" w:hAnsi="Arial" w:cs="Arial"/>
          <w:sz w:val="20"/>
          <w:szCs w:val="20"/>
        </w:rPr>
        <w:tab/>
        <w:t xml:space="preserve">Provider credentialing; </w:t>
      </w:r>
    </w:p>
    <w:p w14:paraId="04F904E5"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7.</w:t>
      </w:r>
      <w:r w:rsidRPr="00A23EC6">
        <w:rPr>
          <w:rFonts w:ascii="Arial" w:eastAsia="Arial" w:hAnsi="Arial" w:cs="Arial"/>
          <w:sz w:val="20"/>
          <w:szCs w:val="20"/>
        </w:rPr>
        <w:tab/>
        <w:t xml:space="preserve">Payroll, except for positions dedicated to activities that improve oral and overall health and the pro </w:t>
      </w:r>
      <w:proofErr w:type="gramStart"/>
      <w:r w:rsidRPr="00A23EC6">
        <w:rPr>
          <w:rFonts w:ascii="Arial" w:eastAsia="Arial" w:hAnsi="Arial" w:cs="Arial"/>
          <w:sz w:val="20"/>
          <w:szCs w:val="20"/>
        </w:rPr>
        <w:t>rata share</w:t>
      </w:r>
      <w:proofErr w:type="gramEnd"/>
      <w:r w:rsidRPr="00A23EC6">
        <w:rPr>
          <w:rFonts w:ascii="Arial" w:eastAsia="Arial" w:hAnsi="Arial" w:cs="Arial"/>
          <w:sz w:val="20"/>
          <w:szCs w:val="20"/>
        </w:rPr>
        <w:t xml:space="preserve"> of payroll for positions substantially involved in such activities;</w:t>
      </w:r>
    </w:p>
    <w:p w14:paraId="603D6FD3" w14:textId="77777777" w:rsidR="006E4849" w:rsidRPr="00A23EC6" w:rsidRDefault="006E4849" w:rsidP="00530161">
      <w:pPr>
        <w:pStyle w:val="par2"/>
        <w:spacing w:after="240"/>
        <w:rPr>
          <w:rFonts w:ascii="Arial" w:hAnsi="Arial" w:cs="Arial"/>
          <w:color w:val="000000"/>
          <w:sz w:val="20"/>
          <w:szCs w:val="20"/>
        </w:rPr>
      </w:pPr>
      <w:r w:rsidRPr="00A23EC6">
        <w:rPr>
          <w:rFonts w:ascii="Arial" w:eastAsia="Arial" w:hAnsi="Arial" w:cs="Arial"/>
          <w:color w:val="000000"/>
          <w:sz w:val="20"/>
          <w:szCs w:val="20"/>
        </w:rPr>
        <w:t>8.</w:t>
      </w:r>
      <w:r w:rsidRPr="00A23EC6">
        <w:rPr>
          <w:rFonts w:ascii="Arial" w:eastAsia="Arial" w:hAnsi="Arial" w:cs="Arial"/>
          <w:color w:val="000000"/>
          <w:sz w:val="20"/>
          <w:szCs w:val="20"/>
        </w:rPr>
        <w:tab/>
        <w:t>Marketing expenses;</w:t>
      </w:r>
    </w:p>
    <w:p w14:paraId="2FF7D90E" w14:textId="77777777" w:rsidR="006E4849" w:rsidRPr="00A23EC6" w:rsidRDefault="006E4849" w:rsidP="00530161">
      <w:pPr>
        <w:pStyle w:val="par2"/>
        <w:spacing w:after="240"/>
        <w:rPr>
          <w:rFonts w:ascii="Arial" w:hAnsi="Arial" w:cs="Arial"/>
          <w:color w:val="000000"/>
          <w:sz w:val="20"/>
          <w:szCs w:val="20"/>
        </w:rPr>
      </w:pPr>
      <w:r w:rsidRPr="00A23EC6">
        <w:rPr>
          <w:rFonts w:ascii="Arial" w:eastAsia="Arial" w:hAnsi="Arial" w:cs="Arial"/>
          <w:color w:val="000000"/>
          <w:sz w:val="20"/>
          <w:szCs w:val="20"/>
        </w:rPr>
        <w:t>9.</w:t>
      </w:r>
      <w:r w:rsidRPr="00A23EC6">
        <w:rPr>
          <w:rFonts w:ascii="Arial" w:eastAsia="Arial" w:hAnsi="Arial" w:cs="Arial"/>
          <w:color w:val="000000"/>
          <w:sz w:val="20"/>
          <w:szCs w:val="20"/>
        </w:rPr>
        <w:tab/>
        <w:t>Calculating and administering individual enrollee or employee incentives unless used in the promotion of activities that improve oral and overall health;</w:t>
      </w:r>
    </w:p>
    <w:p w14:paraId="524EBB09" w14:textId="77777777" w:rsidR="006E4849" w:rsidRPr="00A23EC6" w:rsidRDefault="006E4849" w:rsidP="00530161">
      <w:pPr>
        <w:pStyle w:val="par2"/>
        <w:spacing w:after="240"/>
        <w:rPr>
          <w:rFonts w:ascii="Arial" w:hAnsi="Arial" w:cs="Arial"/>
          <w:color w:val="000000"/>
          <w:sz w:val="20"/>
          <w:szCs w:val="20"/>
        </w:rPr>
      </w:pPr>
      <w:r w:rsidRPr="00A23EC6">
        <w:rPr>
          <w:rFonts w:ascii="Arial" w:eastAsia="Arial" w:hAnsi="Arial" w:cs="Arial"/>
          <w:color w:val="000000"/>
          <w:sz w:val="20"/>
          <w:szCs w:val="20"/>
        </w:rPr>
        <w:t>10.</w:t>
      </w:r>
      <w:r w:rsidRPr="00A23EC6">
        <w:rPr>
          <w:rFonts w:ascii="Arial" w:eastAsia="Arial" w:hAnsi="Arial" w:cs="Arial"/>
          <w:color w:val="000000"/>
          <w:sz w:val="20"/>
          <w:szCs w:val="20"/>
        </w:rPr>
        <w:tab/>
        <w:t>Direct sales salaries, workforce salaries, and benefits;</w:t>
      </w:r>
    </w:p>
    <w:p w14:paraId="316A3704" w14:textId="77777777" w:rsidR="006E4849" w:rsidRPr="00A23EC6" w:rsidRDefault="006E4849" w:rsidP="00530161">
      <w:pPr>
        <w:pStyle w:val="par2"/>
        <w:spacing w:after="240"/>
        <w:rPr>
          <w:rFonts w:ascii="Arial" w:hAnsi="Arial" w:cs="Arial"/>
          <w:color w:val="000000"/>
          <w:sz w:val="20"/>
          <w:szCs w:val="20"/>
        </w:rPr>
      </w:pPr>
      <w:r w:rsidRPr="00A23EC6">
        <w:rPr>
          <w:rFonts w:ascii="Arial" w:eastAsia="Arial" w:hAnsi="Arial" w:cs="Arial"/>
          <w:color w:val="000000"/>
          <w:sz w:val="20"/>
          <w:szCs w:val="20"/>
        </w:rPr>
        <w:t>11.</w:t>
      </w:r>
      <w:r w:rsidRPr="00A23EC6">
        <w:rPr>
          <w:rFonts w:ascii="Arial" w:eastAsia="Arial" w:hAnsi="Arial" w:cs="Arial"/>
          <w:color w:val="000000"/>
          <w:sz w:val="20"/>
          <w:szCs w:val="20"/>
        </w:rPr>
        <w:tab/>
        <w:t>Agents and brokers fees and commissions; and</w:t>
      </w:r>
    </w:p>
    <w:p w14:paraId="52CD59C3" w14:textId="77777777" w:rsidR="006E4849" w:rsidRPr="00A23EC6" w:rsidRDefault="006E4849" w:rsidP="00530161">
      <w:pPr>
        <w:pStyle w:val="par2"/>
        <w:spacing w:after="240"/>
        <w:rPr>
          <w:rFonts w:ascii="Arial" w:hAnsi="Arial" w:cs="Arial"/>
          <w:color w:val="000000"/>
          <w:sz w:val="20"/>
          <w:szCs w:val="20"/>
        </w:rPr>
      </w:pPr>
      <w:r w:rsidRPr="00A23EC6">
        <w:rPr>
          <w:rFonts w:ascii="Arial" w:eastAsia="Arial" w:hAnsi="Arial" w:cs="Arial"/>
          <w:color w:val="000000"/>
          <w:sz w:val="20"/>
          <w:szCs w:val="20"/>
        </w:rPr>
        <w:t>12.</w:t>
      </w:r>
      <w:r w:rsidRPr="00A23EC6">
        <w:rPr>
          <w:rFonts w:ascii="Arial" w:eastAsia="Arial" w:hAnsi="Arial" w:cs="Arial"/>
          <w:color w:val="000000"/>
          <w:sz w:val="20"/>
          <w:szCs w:val="20"/>
        </w:rPr>
        <w:tab/>
        <w:t>General and administrative expenses.</w:t>
      </w:r>
    </w:p>
    <w:p w14:paraId="2AF9685B" w14:textId="77777777" w:rsidR="006E4849" w:rsidRPr="00A23EC6" w:rsidRDefault="006E4849" w:rsidP="00530161">
      <w:pPr>
        <w:pStyle w:val="Title2"/>
        <w:spacing w:after="240"/>
        <w:rPr>
          <w:rFonts w:ascii="Arial" w:hAnsi="Arial"/>
          <w:sz w:val="20"/>
          <w:szCs w:val="20"/>
        </w:rPr>
      </w:pPr>
      <w:r w:rsidRPr="00A23EC6">
        <w:rPr>
          <w:rFonts w:ascii="Arial" w:eastAsia="Arial" w:hAnsi="Arial"/>
          <w:sz w:val="20"/>
          <w:szCs w:val="20"/>
        </w:rPr>
        <w:t>Section 8</w:t>
      </w:r>
      <w:r w:rsidRPr="00A23EC6">
        <w:rPr>
          <w:rFonts w:ascii="Arial" w:eastAsia="Arial" w:hAnsi="Arial"/>
          <w:sz w:val="20"/>
          <w:szCs w:val="20"/>
        </w:rPr>
        <w:tab/>
        <w:t>Nonprofit Community Benefit Expenditures</w:t>
      </w:r>
    </w:p>
    <w:p w14:paraId="3D252EB8" w14:textId="77777777" w:rsidR="006E4849" w:rsidRPr="00A23EC6" w:rsidRDefault="006E4849" w:rsidP="00530161">
      <w:pPr>
        <w:pStyle w:val="par1"/>
        <w:spacing w:after="240"/>
        <w:rPr>
          <w:rFonts w:ascii="Arial" w:hAnsi="Arial" w:cs="Arial"/>
          <w:sz w:val="20"/>
          <w:szCs w:val="20"/>
        </w:rPr>
      </w:pPr>
      <w:r w:rsidRPr="00A23EC6">
        <w:rPr>
          <w:rFonts w:ascii="Arial" w:eastAsia="Arial" w:hAnsi="Arial" w:cs="Arial"/>
          <w:sz w:val="20"/>
          <w:szCs w:val="20"/>
        </w:rPr>
        <w:t>A.</w:t>
      </w:r>
      <w:r w:rsidRPr="00A23EC6">
        <w:rPr>
          <w:rFonts w:ascii="Arial" w:eastAsia="Arial" w:hAnsi="Arial" w:cs="Arial"/>
          <w:sz w:val="20"/>
          <w:szCs w:val="20"/>
        </w:rPr>
        <w:tab/>
        <w:t>Nonprofit community benefit expenditures shall mean expenditures for activities or programs, or to organizations who administer activities or programs, that seek to achieve the objectives of improving access to dental care services, enhancing oral health and relief of government burden. This includes any of the following activities that:</w:t>
      </w:r>
    </w:p>
    <w:p w14:paraId="567E2382"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1.</w:t>
      </w:r>
      <w:r w:rsidRPr="00A23EC6">
        <w:rPr>
          <w:rFonts w:ascii="Arial" w:eastAsia="Arial" w:hAnsi="Arial" w:cs="Arial"/>
          <w:sz w:val="20"/>
          <w:szCs w:val="20"/>
        </w:rPr>
        <w:tab/>
        <w:t>Are available broadly to the public and serve low-income consumers;</w:t>
      </w:r>
    </w:p>
    <w:p w14:paraId="402503D3"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2.</w:t>
      </w:r>
      <w:r w:rsidRPr="00A23EC6">
        <w:rPr>
          <w:rFonts w:ascii="Arial" w:eastAsia="Arial" w:hAnsi="Arial" w:cs="Arial"/>
          <w:sz w:val="20"/>
          <w:szCs w:val="20"/>
        </w:rPr>
        <w:tab/>
        <w:t xml:space="preserve">Reduce geographic, financial, or cultural barriers to accessing dental services, and if ceased to exist would result in access problems (for example, longer </w:t>
      </w:r>
      <w:proofErr w:type="gramStart"/>
      <w:r w:rsidRPr="00A23EC6">
        <w:rPr>
          <w:rFonts w:ascii="Arial" w:eastAsia="Arial" w:hAnsi="Arial" w:cs="Arial"/>
          <w:sz w:val="20"/>
          <w:szCs w:val="20"/>
        </w:rPr>
        <w:t>wait</w:t>
      </w:r>
      <w:proofErr w:type="gramEnd"/>
      <w:r w:rsidRPr="00A23EC6">
        <w:rPr>
          <w:rFonts w:ascii="Arial" w:eastAsia="Arial" w:hAnsi="Arial" w:cs="Arial"/>
          <w:sz w:val="20"/>
          <w:szCs w:val="20"/>
        </w:rPr>
        <w:t xml:space="preserve"> times or increased travel distances);</w:t>
      </w:r>
    </w:p>
    <w:p w14:paraId="67108812"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3.</w:t>
      </w:r>
      <w:r w:rsidRPr="00A23EC6">
        <w:rPr>
          <w:rFonts w:ascii="Arial" w:eastAsia="Arial" w:hAnsi="Arial" w:cs="Arial"/>
          <w:sz w:val="20"/>
          <w:szCs w:val="20"/>
        </w:rPr>
        <w:tab/>
        <w:t>Address Federal, State or local public health priorities, such as advancing oral health care knowledge through education or research that benefits the public;</w:t>
      </w:r>
    </w:p>
    <w:p w14:paraId="00411341"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4.</w:t>
      </w:r>
      <w:r w:rsidRPr="00A23EC6">
        <w:rPr>
          <w:rFonts w:ascii="Arial" w:eastAsia="Arial" w:hAnsi="Arial" w:cs="Arial"/>
          <w:sz w:val="20"/>
          <w:szCs w:val="20"/>
        </w:rPr>
        <w:tab/>
        <w:t xml:space="preserve">Leverage or enhance public health department activities; or </w:t>
      </w:r>
    </w:p>
    <w:p w14:paraId="5B8C49A0"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5.</w:t>
      </w:r>
      <w:r w:rsidRPr="00A23EC6">
        <w:rPr>
          <w:rFonts w:ascii="Arial" w:eastAsia="Arial" w:hAnsi="Arial" w:cs="Arial"/>
          <w:sz w:val="20"/>
          <w:szCs w:val="20"/>
        </w:rPr>
        <w:tab/>
      </w:r>
      <w:proofErr w:type="gramStart"/>
      <w:r w:rsidRPr="00A23EC6">
        <w:rPr>
          <w:rFonts w:ascii="Arial" w:eastAsia="Arial" w:hAnsi="Arial" w:cs="Arial"/>
          <w:sz w:val="20"/>
          <w:szCs w:val="20"/>
        </w:rPr>
        <w:t>Otherwise</w:t>
      </w:r>
      <w:proofErr w:type="gramEnd"/>
      <w:r w:rsidRPr="00A23EC6">
        <w:rPr>
          <w:rFonts w:ascii="Arial" w:eastAsia="Arial" w:hAnsi="Arial" w:cs="Arial"/>
          <w:sz w:val="20"/>
          <w:szCs w:val="20"/>
        </w:rPr>
        <w:t xml:space="preserve"> would become the responsibility of government or another tax-exempt organization to the degree </w:t>
      </w:r>
      <w:r w:rsidRPr="00A23EC6">
        <w:rPr>
          <w:rFonts w:ascii="Arial" w:hAnsi="Arial" w:cs="Arial"/>
          <w:sz w:val="20"/>
          <w:szCs w:val="20"/>
        </w:rPr>
        <w:t xml:space="preserve">that </w:t>
      </w:r>
      <w:r w:rsidRPr="00A23EC6">
        <w:rPr>
          <w:rFonts w:ascii="Arial" w:eastAsia="Arial" w:hAnsi="Arial" w:cs="Arial"/>
          <w:sz w:val="20"/>
          <w:szCs w:val="20"/>
        </w:rPr>
        <w:t xml:space="preserve">the activity serves to improve dental health </w:t>
      </w:r>
      <w:proofErr w:type="gramStart"/>
      <w:r w:rsidRPr="00A23EC6">
        <w:rPr>
          <w:rFonts w:ascii="Arial" w:eastAsia="Arial" w:hAnsi="Arial" w:cs="Arial"/>
          <w:sz w:val="20"/>
          <w:szCs w:val="20"/>
        </w:rPr>
        <w:t>consistent</w:t>
      </w:r>
      <w:proofErr w:type="gramEnd"/>
      <w:r w:rsidRPr="00A23EC6">
        <w:rPr>
          <w:rFonts w:ascii="Arial" w:eastAsia="Arial" w:hAnsi="Arial" w:cs="Arial"/>
          <w:sz w:val="20"/>
          <w:szCs w:val="20"/>
        </w:rPr>
        <w:t xml:space="preserve"> with this subsection A.</w:t>
      </w:r>
    </w:p>
    <w:p w14:paraId="2FF174FD" w14:textId="77777777" w:rsidR="006E4849" w:rsidRPr="00A23EC6" w:rsidRDefault="006E4849" w:rsidP="00530161">
      <w:pPr>
        <w:pStyle w:val="par1"/>
        <w:spacing w:after="240"/>
        <w:rPr>
          <w:rFonts w:ascii="Arial" w:hAnsi="Arial" w:cs="Arial"/>
          <w:sz w:val="20"/>
          <w:szCs w:val="20"/>
        </w:rPr>
      </w:pPr>
      <w:r w:rsidRPr="00A23EC6">
        <w:rPr>
          <w:rFonts w:ascii="Arial" w:eastAsia="Arial" w:hAnsi="Arial" w:cs="Arial"/>
          <w:sz w:val="20"/>
          <w:szCs w:val="20"/>
        </w:rPr>
        <w:t>B.</w:t>
      </w:r>
      <w:r w:rsidRPr="00A23EC6">
        <w:rPr>
          <w:rFonts w:ascii="Arial" w:eastAsia="Arial" w:hAnsi="Arial" w:cs="Arial"/>
          <w:sz w:val="20"/>
          <w:szCs w:val="20"/>
        </w:rPr>
        <w:tab/>
        <w:t>Nonprofit community benefit expenditures shall not include overhead or administrative cost expenditures.</w:t>
      </w:r>
    </w:p>
    <w:p w14:paraId="5D21EB6B" w14:textId="77777777" w:rsidR="006E4849" w:rsidRPr="00A23EC6" w:rsidRDefault="006E4849" w:rsidP="00530161">
      <w:pPr>
        <w:pStyle w:val="par1"/>
        <w:spacing w:after="240"/>
        <w:rPr>
          <w:rFonts w:ascii="Arial" w:hAnsi="Arial" w:cs="Arial"/>
          <w:sz w:val="20"/>
          <w:szCs w:val="20"/>
        </w:rPr>
      </w:pPr>
      <w:r w:rsidRPr="00A23EC6">
        <w:rPr>
          <w:rFonts w:ascii="Arial" w:eastAsia="Arial" w:hAnsi="Arial" w:cs="Arial"/>
          <w:sz w:val="20"/>
          <w:szCs w:val="20"/>
        </w:rPr>
        <w:lastRenderedPageBreak/>
        <w:t>C.</w:t>
      </w:r>
      <w:r w:rsidRPr="00A23EC6">
        <w:rPr>
          <w:rFonts w:ascii="Arial" w:eastAsia="Arial" w:hAnsi="Arial" w:cs="Arial"/>
          <w:sz w:val="20"/>
          <w:szCs w:val="20"/>
        </w:rPr>
        <w:tab/>
        <w:t xml:space="preserve">Nonprofit community benefit expenditures used in dental loss ratio calculations must be reported by type of expense, unless portions of the expense fit under the definition of or criteria for one type of expense and the remainder fits into a different type of expense, in which case the expense must be prorated between types of expenses. Payroll expenses included as nonprofit community benefit expenditures, as allowed under Section 7.B.7 of this regulation, should be reported separately by type of expense. </w:t>
      </w:r>
    </w:p>
    <w:p w14:paraId="79515C15" w14:textId="77777777" w:rsidR="006E4849" w:rsidRPr="00A23EC6" w:rsidRDefault="006E4849" w:rsidP="00530161">
      <w:pPr>
        <w:pStyle w:val="Title2"/>
        <w:spacing w:after="240"/>
        <w:rPr>
          <w:rFonts w:ascii="Arial" w:hAnsi="Arial"/>
          <w:sz w:val="20"/>
          <w:szCs w:val="20"/>
        </w:rPr>
      </w:pPr>
      <w:r w:rsidRPr="00A23EC6">
        <w:rPr>
          <w:rFonts w:ascii="Arial" w:eastAsia="Arial" w:hAnsi="Arial"/>
          <w:sz w:val="20"/>
          <w:szCs w:val="20"/>
        </w:rPr>
        <w:t>Section 9</w:t>
      </w:r>
      <w:r w:rsidRPr="00A23EC6">
        <w:rPr>
          <w:rFonts w:ascii="Arial" w:eastAsia="Arial" w:hAnsi="Arial"/>
          <w:sz w:val="20"/>
          <w:szCs w:val="20"/>
        </w:rPr>
        <w:tab/>
        <w:t>Dental Loss Ratio Calculation and Reporting</w:t>
      </w:r>
    </w:p>
    <w:p w14:paraId="41468744" w14:textId="77777777" w:rsidR="006E4849" w:rsidRPr="00A23EC6" w:rsidRDefault="006E4849" w:rsidP="00530161">
      <w:pPr>
        <w:pStyle w:val="par1"/>
        <w:spacing w:after="240"/>
        <w:rPr>
          <w:rFonts w:ascii="Arial" w:hAnsi="Arial" w:cs="Arial"/>
          <w:sz w:val="20"/>
          <w:szCs w:val="20"/>
        </w:rPr>
      </w:pPr>
      <w:r w:rsidRPr="00A23EC6">
        <w:rPr>
          <w:rFonts w:ascii="Arial" w:eastAsia="Arial" w:hAnsi="Arial" w:cs="Arial"/>
          <w:sz w:val="20"/>
          <w:szCs w:val="20"/>
        </w:rPr>
        <w:t>A.</w:t>
      </w:r>
      <w:r w:rsidRPr="00A23EC6">
        <w:rPr>
          <w:rFonts w:ascii="Arial" w:eastAsia="Arial" w:hAnsi="Arial" w:cs="Arial"/>
          <w:sz w:val="20"/>
          <w:szCs w:val="20"/>
        </w:rPr>
        <w:tab/>
        <w:t>The dental loss ratio shall be calculated for each market segment by dividing the numerator by the denominator, where:</w:t>
      </w:r>
    </w:p>
    <w:p w14:paraId="49C01C6F"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1.</w:t>
      </w:r>
      <w:r w:rsidRPr="00A23EC6">
        <w:rPr>
          <w:rFonts w:ascii="Arial" w:eastAsia="Arial" w:hAnsi="Arial" w:cs="Arial"/>
          <w:sz w:val="20"/>
          <w:szCs w:val="20"/>
        </w:rPr>
        <w:tab/>
        <w:t xml:space="preserve">The numerator is the sum of: </w:t>
      </w:r>
    </w:p>
    <w:p w14:paraId="6A0FBB45" w14:textId="77777777" w:rsidR="006E4849" w:rsidRPr="00A23EC6" w:rsidRDefault="006E4849" w:rsidP="00530161">
      <w:pPr>
        <w:pStyle w:val="par3"/>
        <w:spacing w:after="240"/>
        <w:rPr>
          <w:rFonts w:ascii="Arial" w:hAnsi="Arial" w:cs="Arial"/>
          <w:sz w:val="20"/>
          <w:szCs w:val="20"/>
        </w:rPr>
      </w:pPr>
      <w:r w:rsidRPr="00A23EC6">
        <w:rPr>
          <w:rFonts w:ascii="Arial" w:eastAsia="Arial" w:hAnsi="Arial" w:cs="Arial"/>
          <w:sz w:val="20"/>
          <w:szCs w:val="20"/>
        </w:rPr>
        <w:t>a.</w:t>
      </w:r>
      <w:r w:rsidRPr="00A23EC6">
        <w:rPr>
          <w:rFonts w:ascii="Arial" w:eastAsia="Arial" w:hAnsi="Arial" w:cs="Arial"/>
          <w:sz w:val="20"/>
          <w:szCs w:val="20"/>
        </w:rPr>
        <w:tab/>
        <w:t xml:space="preserve">The amount incurred for clinical dental services provided to enrollees; </w:t>
      </w:r>
    </w:p>
    <w:p w14:paraId="789023F3" w14:textId="77777777" w:rsidR="006E4849" w:rsidRPr="00A23EC6" w:rsidRDefault="006E4849" w:rsidP="00530161">
      <w:pPr>
        <w:pStyle w:val="par3"/>
        <w:spacing w:after="240"/>
        <w:rPr>
          <w:rFonts w:ascii="Arial" w:hAnsi="Arial" w:cs="Arial"/>
          <w:sz w:val="20"/>
          <w:szCs w:val="20"/>
        </w:rPr>
      </w:pPr>
      <w:r w:rsidRPr="00A23EC6">
        <w:rPr>
          <w:rFonts w:ascii="Arial" w:eastAsia="Arial" w:hAnsi="Arial" w:cs="Arial"/>
          <w:sz w:val="20"/>
          <w:szCs w:val="20"/>
        </w:rPr>
        <w:t>b.</w:t>
      </w:r>
      <w:r w:rsidRPr="00A23EC6">
        <w:rPr>
          <w:rFonts w:ascii="Arial" w:eastAsia="Arial" w:hAnsi="Arial" w:cs="Arial"/>
          <w:sz w:val="20"/>
          <w:szCs w:val="20"/>
        </w:rPr>
        <w:tab/>
        <w:t xml:space="preserve">The amount incurred on activities that improve dental care quality; and </w:t>
      </w:r>
    </w:p>
    <w:p w14:paraId="4CC011F8" w14:textId="77777777" w:rsidR="006E4849" w:rsidRPr="00A23EC6" w:rsidRDefault="006E4849" w:rsidP="00530161">
      <w:pPr>
        <w:pStyle w:val="par3"/>
        <w:spacing w:after="240"/>
        <w:rPr>
          <w:rFonts w:ascii="Arial" w:hAnsi="Arial" w:cs="Arial"/>
          <w:sz w:val="20"/>
          <w:szCs w:val="20"/>
        </w:rPr>
      </w:pPr>
      <w:r w:rsidRPr="00A23EC6">
        <w:rPr>
          <w:rFonts w:ascii="Arial" w:eastAsia="Arial" w:hAnsi="Arial" w:cs="Arial"/>
          <w:sz w:val="20"/>
          <w:szCs w:val="20"/>
        </w:rPr>
        <w:t>c.</w:t>
      </w:r>
      <w:r w:rsidRPr="00A23EC6">
        <w:rPr>
          <w:rFonts w:ascii="Arial" w:eastAsia="Arial" w:hAnsi="Arial" w:cs="Arial"/>
          <w:sz w:val="20"/>
          <w:szCs w:val="20"/>
        </w:rPr>
        <w:tab/>
        <w:t xml:space="preserve">The amount of claims payments identified through fraud reduction efforts. The amount of </w:t>
      </w:r>
      <w:proofErr w:type="gramStart"/>
      <w:r w:rsidRPr="00A23EC6">
        <w:rPr>
          <w:rFonts w:ascii="Arial" w:eastAsia="Arial" w:hAnsi="Arial" w:cs="Arial"/>
          <w:sz w:val="20"/>
          <w:szCs w:val="20"/>
        </w:rPr>
        <w:t>claims payments</w:t>
      </w:r>
      <w:proofErr w:type="gramEnd"/>
      <w:r w:rsidRPr="00A23EC6">
        <w:rPr>
          <w:rFonts w:ascii="Arial" w:eastAsia="Arial" w:hAnsi="Arial" w:cs="Arial"/>
          <w:sz w:val="20"/>
          <w:szCs w:val="20"/>
        </w:rPr>
        <w:t xml:space="preserve"> identified through fraud reduction efforts is limited to the lesser of the total fraud reduction expenses or actual fraud recoveries collected on paid claims during the reporting year; and </w:t>
      </w:r>
    </w:p>
    <w:p w14:paraId="7F7E381F"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2.</w:t>
      </w:r>
      <w:r w:rsidRPr="00A23EC6">
        <w:rPr>
          <w:rFonts w:ascii="Arial" w:eastAsia="Arial" w:hAnsi="Arial" w:cs="Arial"/>
          <w:sz w:val="20"/>
          <w:szCs w:val="20"/>
        </w:rPr>
        <w:tab/>
        <w:t xml:space="preserve">The denominator is the total amount of premium revenue, excluding federal and state taxes, licensing and regulatory fees paid, nonprofit community benefit expenditures, and any other payments required by federal law. Nonprofit community benefit expenditures </w:t>
      </w:r>
      <w:r w:rsidRPr="00A23EC6">
        <w:rPr>
          <w:rFonts w:ascii="Arial" w:eastAsia="Arial" w:hAnsi="Arial" w:cs="Arial"/>
          <w:sz w:val="20"/>
          <w:szCs w:val="20"/>
          <w:highlight w:val="white"/>
        </w:rPr>
        <w:t>are community benefit expenditures made by entities that are exempt from federal income tax. These nonprofit community benefit expenditures</w:t>
      </w:r>
      <w:r w:rsidRPr="00A23EC6">
        <w:rPr>
          <w:rFonts w:ascii="Arial" w:eastAsia="Arial" w:hAnsi="Arial" w:cs="Arial"/>
          <w:sz w:val="20"/>
          <w:szCs w:val="20"/>
        </w:rPr>
        <w:t xml:space="preserve"> included in the denominator must be limited to the highest of either:</w:t>
      </w:r>
    </w:p>
    <w:p w14:paraId="283C0615" w14:textId="77777777" w:rsidR="006E4849" w:rsidRPr="00A23EC6" w:rsidRDefault="006E4849" w:rsidP="00530161">
      <w:pPr>
        <w:pStyle w:val="par3"/>
        <w:spacing w:after="240"/>
        <w:rPr>
          <w:rFonts w:ascii="Arial" w:hAnsi="Arial" w:cs="Arial"/>
          <w:sz w:val="20"/>
          <w:szCs w:val="20"/>
        </w:rPr>
      </w:pPr>
      <w:r w:rsidRPr="00A23EC6">
        <w:rPr>
          <w:rFonts w:ascii="Arial" w:eastAsia="Arial" w:hAnsi="Arial" w:cs="Arial"/>
          <w:sz w:val="20"/>
          <w:szCs w:val="20"/>
        </w:rPr>
        <w:t>a.</w:t>
      </w:r>
      <w:r w:rsidRPr="00A23EC6">
        <w:rPr>
          <w:rFonts w:ascii="Arial" w:eastAsia="Arial" w:hAnsi="Arial" w:cs="Arial"/>
          <w:sz w:val="20"/>
          <w:szCs w:val="20"/>
        </w:rPr>
        <w:tab/>
        <w:t>Three percent of earned premium; or</w:t>
      </w:r>
    </w:p>
    <w:p w14:paraId="21C2212F" w14:textId="77777777" w:rsidR="006E4849" w:rsidRPr="00A23EC6" w:rsidRDefault="006E4849" w:rsidP="00530161">
      <w:pPr>
        <w:pStyle w:val="par3"/>
        <w:spacing w:after="240"/>
        <w:rPr>
          <w:rFonts w:ascii="Arial" w:hAnsi="Arial" w:cs="Arial"/>
          <w:sz w:val="20"/>
          <w:szCs w:val="20"/>
        </w:rPr>
      </w:pPr>
      <w:r w:rsidRPr="00A23EC6">
        <w:rPr>
          <w:rFonts w:ascii="Arial" w:eastAsia="Arial" w:hAnsi="Arial" w:cs="Arial"/>
          <w:sz w:val="20"/>
          <w:szCs w:val="20"/>
        </w:rPr>
        <w:t>b.</w:t>
      </w:r>
      <w:r w:rsidRPr="00A23EC6">
        <w:rPr>
          <w:rFonts w:ascii="Arial" w:eastAsia="Arial" w:hAnsi="Arial" w:cs="Arial"/>
          <w:sz w:val="20"/>
          <w:szCs w:val="20"/>
        </w:rPr>
        <w:tab/>
        <w:t xml:space="preserve">The highest premium tax rate in Colorado, multiplied by the carrier’s earned premium in the applicable Colorado market. </w:t>
      </w:r>
    </w:p>
    <w:p w14:paraId="2F7FBB7A" w14:textId="52DFA525" w:rsidR="006E4849" w:rsidRPr="00A23EC6" w:rsidRDefault="006E4849" w:rsidP="00530161">
      <w:pPr>
        <w:pStyle w:val="par1"/>
        <w:spacing w:after="240"/>
        <w:rPr>
          <w:rFonts w:ascii="Arial" w:hAnsi="Arial" w:cs="Arial"/>
          <w:sz w:val="20"/>
          <w:szCs w:val="20"/>
        </w:rPr>
      </w:pPr>
      <w:r w:rsidRPr="00A23EC6">
        <w:rPr>
          <w:rFonts w:ascii="Arial" w:eastAsia="Arial" w:hAnsi="Arial" w:cs="Arial"/>
          <w:sz w:val="20"/>
          <w:szCs w:val="20"/>
        </w:rPr>
        <w:t>B.</w:t>
      </w:r>
      <w:r w:rsidRPr="00A23EC6">
        <w:rPr>
          <w:rFonts w:ascii="Arial" w:eastAsia="Arial" w:hAnsi="Arial" w:cs="Arial"/>
          <w:sz w:val="20"/>
          <w:szCs w:val="20"/>
        </w:rPr>
        <w:tab/>
        <w:t>A carrier that offers a dental coverage plan shall report the number of covered lives and the data used in the dental loss ratio calculation separately for each Colorado market segment experience in the Dental Loss Ratio Reporting template provided in SERFF by the Division.</w:t>
      </w:r>
    </w:p>
    <w:p w14:paraId="52480206" w14:textId="68CF6291" w:rsidR="006E4849" w:rsidRPr="00A23EC6" w:rsidRDefault="006E4849" w:rsidP="00530161">
      <w:pPr>
        <w:pStyle w:val="par1"/>
        <w:spacing w:after="240"/>
        <w:rPr>
          <w:rFonts w:ascii="Arial" w:hAnsi="Arial" w:cs="Arial"/>
          <w:sz w:val="20"/>
          <w:szCs w:val="20"/>
        </w:rPr>
      </w:pPr>
      <w:r w:rsidRPr="00A23EC6">
        <w:rPr>
          <w:rFonts w:ascii="Arial" w:eastAsia="Arial" w:hAnsi="Arial" w:cs="Arial"/>
          <w:sz w:val="20"/>
          <w:szCs w:val="20"/>
        </w:rPr>
        <w:t>C.</w:t>
      </w:r>
      <w:r w:rsidRPr="00A23EC6">
        <w:rPr>
          <w:rFonts w:ascii="Arial" w:eastAsia="Arial" w:hAnsi="Arial" w:cs="Arial"/>
          <w:sz w:val="20"/>
          <w:szCs w:val="20"/>
        </w:rPr>
        <w:tab/>
        <w:t>On or before July 31 each year, a carrier that offers a dental coverage plan shall file a Dental Loss Ratio Reporting template electronically via SERFF with the Division for the preceding calendar year in which dental coverage was provided by the dental coverage plan. Both the calculated dental loss ratio and each data element described in Section 9.A of this rule shall be reported for each market segment offered by the carrier.</w:t>
      </w:r>
    </w:p>
    <w:p w14:paraId="2F827DB1" w14:textId="77777777" w:rsidR="006E4849" w:rsidRPr="00A23EC6" w:rsidRDefault="006E4849" w:rsidP="00530161">
      <w:pPr>
        <w:pStyle w:val="par1"/>
        <w:spacing w:after="240"/>
        <w:rPr>
          <w:rFonts w:ascii="Arial" w:hAnsi="Arial" w:cs="Arial"/>
          <w:sz w:val="20"/>
          <w:szCs w:val="20"/>
        </w:rPr>
      </w:pPr>
      <w:bookmarkStart w:id="1" w:name="_o2jov6j4rnze" w:colFirst="0" w:colLast="0"/>
      <w:bookmarkEnd w:id="1"/>
      <w:r w:rsidRPr="00A23EC6">
        <w:rPr>
          <w:rFonts w:ascii="Arial" w:eastAsia="Arial" w:hAnsi="Arial" w:cs="Arial"/>
          <w:sz w:val="20"/>
          <w:szCs w:val="20"/>
        </w:rPr>
        <w:t>D.</w:t>
      </w:r>
      <w:r w:rsidRPr="00A23EC6">
        <w:rPr>
          <w:rFonts w:ascii="Arial" w:eastAsia="Arial" w:hAnsi="Arial" w:cs="Arial"/>
          <w:sz w:val="20"/>
          <w:szCs w:val="20"/>
        </w:rPr>
        <w:tab/>
        <w:t>For the initial dental loss ratio report due on or before July 31, 2024, a carrier that offers a dental coverage plan shall report the data elements required in Subsections 9.A and B for complete plan years 2021 through 2023, by year.</w:t>
      </w:r>
    </w:p>
    <w:p w14:paraId="3C1CBD27" w14:textId="77777777" w:rsidR="006E4849" w:rsidRPr="00A23EC6" w:rsidRDefault="006E4849" w:rsidP="00530161">
      <w:pPr>
        <w:pStyle w:val="par1"/>
        <w:spacing w:after="240"/>
        <w:rPr>
          <w:rFonts w:ascii="Arial" w:hAnsi="Arial" w:cs="Arial"/>
          <w:sz w:val="20"/>
          <w:szCs w:val="20"/>
        </w:rPr>
      </w:pPr>
      <w:r w:rsidRPr="00A23EC6">
        <w:rPr>
          <w:rFonts w:ascii="Arial" w:eastAsia="Arial" w:hAnsi="Arial" w:cs="Arial"/>
          <w:sz w:val="20"/>
          <w:szCs w:val="20"/>
        </w:rPr>
        <w:lastRenderedPageBreak/>
        <w:t>E.</w:t>
      </w:r>
      <w:r w:rsidRPr="00A23EC6">
        <w:rPr>
          <w:rFonts w:ascii="Arial" w:eastAsia="Arial" w:hAnsi="Arial" w:cs="Arial"/>
          <w:sz w:val="20"/>
          <w:szCs w:val="20"/>
        </w:rPr>
        <w:tab/>
        <w:t>Carriers that offer dental coverage plans that purchase a line or block of business from another carrier during a DLR reporting year are responsible for submitting the required information and reports for the assumed business, including for that part of the DLR reporting year that preceded the purchase.</w:t>
      </w:r>
    </w:p>
    <w:p w14:paraId="35915071" w14:textId="77777777" w:rsidR="006E4849" w:rsidRPr="00A23EC6" w:rsidRDefault="006E4849" w:rsidP="00530161">
      <w:pPr>
        <w:pStyle w:val="par1"/>
        <w:spacing w:after="240"/>
        <w:rPr>
          <w:rFonts w:ascii="Arial" w:hAnsi="Arial" w:cs="Arial"/>
          <w:sz w:val="20"/>
          <w:szCs w:val="20"/>
        </w:rPr>
      </w:pPr>
      <w:r w:rsidRPr="00A23EC6">
        <w:rPr>
          <w:rFonts w:ascii="Arial" w:eastAsia="Arial" w:hAnsi="Arial" w:cs="Arial"/>
          <w:sz w:val="20"/>
          <w:szCs w:val="20"/>
        </w:rPr>
        <w:t>F.</w:t>
      </w:r>
      <w:r w:rsidRPr="00A23EC6">
        <w:rPr>
          <w:rFonts w:ascii="Arial" w:eastAsia="Arial" w:hAnsi="Arial" w:cs="Arial"/>
          <w:sz w:val="20"/>
          <w:szCs w:val="20"/>
        </w:rPr>
        <w:tab/>
        <w:t>If the Commissioner deems that data verification of a carrier’s dental loss ratio for a dental coverage plan is necessary, the Commissioner shall give the carrier 30 days’ notification prior to beginning the verification process with the carrier.</w:t>
      </w:r>
    </w:p>
    <w:p w14:paraId="22C7DFA3" w14:textId="77777777" w:rsidR="006E4849" w:rsidRPr="00A23EC6" w:rsidRDefault="006E4849" w:rsidP="00530161">
      <w:pPr>
        <w:pStyle w:val="Title2"/>
        <w:spacing w:after="240"/>
        <w:rPr>
          <w:rFonts w:ascii="Arial" w:hAnsi="Arial"/>
          <w:sz w:val="20"/>
          <w:szCs w:val="20"/>
        </w:rPr>
      </w:pPr>
      <w:r w:rsidRPr="00A23EC6">
        <w:rPr>
          <w:rFonts w:ascii="Arial" w:eastAsia="Arial" w:hAnsi="Arial"/>
          <w:sz w:val="20"/>
          <w:szCs w:val="20"/>
        </w:rPr>
        <w:t>Section 10</w:t>
      </w:r>
      <w:r w:rsidRPr="00A23EC6">
        <w:rPr>
          <w:rFonts w:ascii="Arial" w:eastAsia="Arial" w:hAnsi="Arial"/>
          <w:sz w:val="20"/>
          <w:szCs w:val="20"/>
        </w:rPr>
        <w:tab/>
        <w:t>Additional Data Reporting</w:t>
      </w:r>
    </w:p>
    <w:p w14:paraId="68DB28DC" w14:textId="77777777" w:rsidR="006E4849" w:rsidRPr="00A23EC6" w:rsidRDefault="006E4849" w:rsidP="00530161">
      <w:pPr>
        <w:pStyle w:val="par1"/>
        <w:spacing w:after="240"/>
        <w:rPr>
          <w:rFonts w:ascii="Arial" w:hAnsi="Arial" w:cs="Arial"/>
          <w:sz w:val="20"/>
          <w:szCs w:val="20"/>
        </w:rPr>
      </w:pPr>
      <w:r w:rsidRPr="00A23EC6">
        <w:rPr>
          <w:rFonts w:ascii="Arial" w:eastAsia="Arial" w:hAnsi="Arial" w:cs="Arial"/>
          <w:sz w:val="20"/>
          <w:szCs w:val="20"/>
        </w:rPr>
        <w:t>A.</w:t>
      </w:r>
      <w:r w:rsidRPr="00A23EC6">
        <w:rPr>
          <w:rFonts w:ascii="Arial" w:eastAsia="Arial" w:hAnsi="Arial" w:cs="Arial"/>
          <w:sz w:val="20"/>
          <w:szCs w:val="20"/>
        </w:rPr>
        <w:tab/>
        <w:t xml:space="preserve">On or before July 31, 2024, and on or before July 31 each year thereafter, a carrier that offers a dental coverage plan shall separately report the following data elements in the Dental Loss Ratio Reporting template provided in SERFF by the Division for the carrier's top ten dental plans for each market segment, based on enrollment in that market: </w:t>
      </w:r>
    </w:p>
    <w:p w14:paraId="3ABB660D"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1.</w:t>
      </w:r>
      <w:r w:rsidRPr="00A23EC6">
        <w:rPr>
          <w:rFonts w:ascii="Arial" w:eastAsia="Arial" w:hAnsi="Arial" w:cs="Arial"/>
          <w:sz w:val="20"/>
          <w:szCs w:val="20"/>
        </w:rPr>
        <w:tab/>
        <w:t>The number of enrollees enrolled in the carrier’s dental coverage plan;</w:t>
      </w:r>
    </w:p>
    <w:p w14:paraId="4246CA4D"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2.</w:t>
      </w:r>
      <w:r w:rsidRPr="00A23EC6">
        <w:rPr>
          <w:rFonts w:ascii="Arial" w:eastAsia="Arial" w:hAnsi="Arial" w:cs="Arial"/>
          <w:sz w:val="20"/>
          <w:szCs w:val="20"/>
        </w:rPr>
        <w:tab/>
        <w:t xml:space="preserve">The plan cost-sharing and deductible amounts; </w:t>
      </w:r>
    </w:p>
    <w:p w14:paraId="30CBD40D"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3.</w:t>
      </w:r>
      <w:r w:rsidRPr="00A23EC6">
        <w:rPr>
          <w:rFonts w:ascii="Arial" w:eastAsia="Arial" w:hAnsi="Arial" w:cs="Arial"/>
          <w:sz w:val="20"/>
          <w:szCs w:val="20"/>
        </w:rPr>
        <w:tab/>
        <w:t>The annual maximum coverage limit; and</w:t>
      </w:r>
    </w:p>
    <w:p w14:paraId="1692B5AA" w14:textId="77777777" w:rsidR="006E4849" w:rsidRPr="00A23EC6" w:rsidRDefault="006E4849" w:rsidP="00530161">
      <w:pPr>
        <w:pStyle w:val="par2"/>
        <w:spacing w:after="240"/>
        <w:rPr>
          <w:rFonts w:ascii="Arial" w:hAnsi="Arial" w:cs="Arial"/>
          <w:sz w:val="20"/>
          <w:szCs w:val="20"/>
        </w:rPr>
      </w:pPr>
      <w:r w:rsidRPr="00A23EC6">
        <w:rPr>
          <w:rFonts w:ascii="Arial" w:eastAsia="Arial" w:hAnsi="Arial" w:cs="Arial"/>
          <w:sz w:val="20"/>
          <w:szCs w:val="20"/>
        </w:rPr>
        <w:t>4.</w:t>
      </w:r>
      <w:r w:rsidRPr="00A23EC6">
        <w:rPr>
          <w:rFonts w:ascii="Arial" w:eastAsia="Arial" w:hAnsi="Arial" w:cs="Arial"/>
          <w:sz w:val="20"/>
          <w:szCs w:val="20"/>
        </w:rPr>
        <w:tab/>
        <w:t>The number of enrollees who meet or exceed the annual coverage limit.</w:t>
      </w:r>
    </w:p>
    <w:p w14:paraId="1550046A" w14:textId="77777777" w:rsidR="006E4849" w:rsidRPr="00A23EC6" w:rsidRDefault="006E4849" w:rsidP="00530161">
      <w:pPr>
        <w:pStyle w:val="par1"/>
        <w:spacing w:after="240"/>
        <w:rPr>
          <w:rFonts w:ascii="Arial" w:hAnsi="Arial" w:cs="Arial"/>
          <w:sz w:val="20"/>
          <w:szCs w:val="20"/>
        </w:rPr>
      </w:pPr>
      <w:r w:rsidRPr="00A23EC6">
        <w:rPr>
          <w:rFonts w:ascii="Arial" w:eastAsia="Arial" w:hAnsi="Arial" w:cs="Arial"/>
          <w:sz w:val="20"/>
          <w:szCs w:val="20"/>
        </w:rPr>
        <w:t>B.</w:t>
      </w:r>
      <w:r w:rsidRPr="00A23EC6">
        <w:rPr>
          <w:rFonts w:ascii="Arial" w:eastAsia="Arial" w:hAnsi="Arial" w:cs="Arial"/>
          <w:sz w:val="20"/>
          <w:szCs w:val="20"/>
        </w:rPr>
        <w:tab/>
        <w:t xml:space="preserve">Carriers that offer dental coverage plans should also </w:t>
      </w:r>
      <w:proofErr w:type="gramStart"/>
      <w:r w:rsidRPr="00A23EC6">
        <w:rPr>
          <w:rFonts w:ascii="Arial" w:eastAsia="Arial" w:hAnsi="Arial" w:cs="Arial"/>
          <w:sz w:val="20"/>
          <w:szCs w:val="20"/>
        </w:rPr>
        <w:t>report</w:t>
      </w:r>
      <w:proofErr w:type="gramEnd"/>
      <w:r w:rsidRPr="00A23EC6">
        <w:rPr>
          <w:rFonts w:ascii="Arial" w:eastAsia="Arial" w:hAnsi="Arial" w:cs="Arial"/>
          <w:sz w:val="20"/>
          <w:szCs w:val="20"/>
        </w:rPr>
        <w:t xml:space="preserve"> the range of plan benefits </w:t>
      </w:r>
      <w:proofErr w:type="gramStart"/>
      <w:r w:rsidRPr="00A23EC6">
        <w:rPr>
          <w:rFonts w:ascii="Arial" w:eastAsia="Arial" w:hAnsi="Arial" w:cs="Arial"/>
          <w:sz w:val="20"/>
          <w:szCs w:val="20"/>
        </w:rPr>
        <w:t>in</w:t>
      </w:r>
      <w:proofErr w:type="gramEnd"/>
      <w:r w:rsidRPr="00A23EC6">
        <w:rPr>
          <w:rFonts w:ascii="Arial" w:eastAsia="Arial" w:hAnsi="Arial" w:cs="Arial"/>
          <w:sz w:val="20"/>
          <w:szCs w:val="20"/>
        </w:rPr>
        <w:t xml:space="preserve"> which enrollees met or exceeded the annual coverage limit in each market segment.</w:t>
      </w:r>
    </w:p>
    <w:p w14:paraId="39C61F30" w14:textId="77777777" w:rsidR="006E4849" w:rsidRPr="00A23EC6" w:rsidRDefault="006E4849" w:rsidP="00530161">
      <w:pPr>
        <w:pStyle w:val="par1"/>
        <w:spacing w:after="240"/>
        <w:rPr>
          <w:rFonts w:ascii="Arial" w:hAnsi="Arial" w:cs="Arial"/>
          <w:sz w:val="20"/>
          <w:szCs w:val="20"/>
        </w:rPr>
      </w:pPr>
      <w:r w:rsidRPr="00A23EC6">
        <w:rPr>
          <w:rFonts w:ascii="Arial" w:eastAsia="Arial" w:hAnsi="Arial" w:cs="Arial"/>
          <w:sz w:val="20"/>
          <w:szCs w:val="20"/>
        </w:rPr>
        <w:t>C.</w:t>
      </w:r>
      <w:r w:rsidRPr="00A23EC6">
        <w:rPr>
          <w:rFonts w:ascii="Arial" w:eastAsia="Arial" w:hAnsi="Arial" w:cs="Arial"/>
          <w:sz w:val="20"/>
          <w:szCs w:val="20"/>
        </w:rPr>
        <w:tab/>
        <w:t>For the initial report due on or before July 31, 2024, a carrier that offers a dental coverage plan shall report the data elements required in subsections 10.A and B for complete plan years 2021 through 2023, by year.</w:t>
      </w:r>
    </w:p>
    <w:p w14:paraId="00A755A0" w14:textId="63F82C49" w:rsidR="006E4849" w:rsidRPr="00A23EC6" w:rsidRDefault="007D5A4A" w:rsidP="00530161">
      <w:pPr>
        <w:pStyle w:val="Title2"/>
        <w:spacing w:after="240"/>
        <w:rPr>
          <w:rFonts w:ascii="Arial" w:hAnsi="Arial"/>
          <w:sz w:val="20"/>
          <w:szCs w:val="20"/>
        </w:rPr>
      </w:pPr>
      <w:r w:rsidRPr="00A23EC6">
        <w:rPr>
          <w:rFonts w:ascii="Arial" w:eastAsia="Arial" w:hAnsi="Arial"/>
          <w:sz w:val="20"/>
          <w:szCs w:val="20"/>
        </w:rPr>
        <w:t>Section 11</w:t>
      </w:r>
      <w:r w:rsidR="006E4849" w:rsidRPr="00A23EC6">
        <w:rPr>
          <w:rFonts w:ascii="Arial" w:eastAsia="Arial" w:hAnsi="Arial"/>
          <w:sz w:val="20"/>
          <w:szCs w:val="20"/>
        </w:rPr>
        <w:t xml:space="preserve"> </w:t>
      </w:r>
      <w:r w:rsidR="00CA293A">
        <w:rPr>
          <w:rFonts w:ascii="Arial" w:eastAsia="Arial" w:hAnsi="Arial"/>
          <w:sz w:val="20"/>
          <w:szCs w:val="20"/>
        </w:rPr>
        <w:tab/>
      </w:r>
      <w:r w:rsidR="006E4849" w:rsidRPr="00A23EC6">
        <w:rPr>
          <w:rFonts w:ascii="Arial" w:eastAsia="Arial" w:hAnsi="Arial"/>
          <w:sz w:val="20"/>
          <w:szCs w:val="20"/>
        </w:rPr>
        <w:t>Credibility Adjustment and Outlier Identification</w:t>
      </w:r>
    </w:p>
    <w:p w14:paraId="2E8C7ECB" w14:textId="77777777" w:rsidR="006E4849" w:rsidRPr="00A23EC6" w:rsidRDefault="006E4849" w:rsidP="00530161">
      <w:pPr>
        <w:pStyle w:val="par1"/>
        <w:spacing w:after="240"/>
        <w:rPr>
          <w:rFonts w:ascii="Arial" w:hAnsi="Arial" w:cs="Arial"/>
          <w:sz w:val="20"/>
          <w:szCs w:val="20"/>
        </w:rPr>
      </w:pPr>
      <w:r w:rsidRPr="00A23EC6">
        <w:rPr>
          <w:rFonts w:ascii="Arial" w:hAnsi="Arial" w:cs="Arial"/>
          <w:sz w:val="20"/>
          <w:szCs w:val="20"/>
        </w:rPr>
        <w:t>A.</w:t>
      </w:r>
      <w:r w:rsidR="00A026BF" w:rsidRPr="00A23EC6">
        <w:rPr>
          <w:rFonts w:ascii="Arial" w:hAnsi="Arial" w:cs="Arial"/>
          <w:sz w:val="20"/>
          <w:szCs w:val="20"/>
        </w:rPr>
        <w:tab/>
      </w:r>
      <w:r w:rsidRPr="00A23EC6">
        <w:rPr>
          <w:rFonts w:ascii="Arial" w:hAnsi="Arial" w:cs="Arial"/>
          <w:sz w:val="20"/>
          <w:szCs w:val="20"/>
        </w:rPr>
        <w:t>Credibility Adjustment</w:t>
      </w:r>
    </w:p>
    <w:p w14:paraId="5EE8F6E8" w14:textId="77777777" w:rsidR="006E4849" w:rsidRPr="00A23EC6" w:rsidRDefault="007D5A4A" w:rsidP="00530161">
      <w:pPr>
        <w:pStyle w:val="par1"/>
        <w:spacing w:after="240"/>
        <w:rPr>
          <w:rFonts w:ascii="Arial" w:hAnsi="Arial" w:cs="Arial"/>
          <w:sz w:val="20"/>
          <w:szCs w:val="20"/>
        </w:rPr>
      </w:pPr>
      <w:r w:rsidRPr="00A23EC6">
        <w:rPr>
          <w:rFonts w:ascii="Arial" w:hAnsi="Arial" w:cs="Arial"/>
          <w:sz w:val="20"/>
          <w:szCs w:val="20"/>
        </w:rPr>
        <w:tab/>
      </w:r>
      <w:r w:rsidR="006E4849" w:rsidRPr="00A23EC6">
        <w:rPr>
          <w:rFonts w:ascii="Arial" w:hAnsi="Arial" w:cs="Arial"/>
          <w:sz w:val="20"/>
          <w:szCs w:val="20"/>
        </w:rPr>
        <w:t>The carrier’s observed DLR is calculated in accordance with Section 9.</w:t>
      </w:r>
    </w:p>
    <w:p w14:paraId="2A54FA5C" w14:textId="7705449E" w:rsidR="006E4849" w:rsidRDefault="006E4849" w:rsidP="00530161">
      <w:pPr>
        <w:pStyle w:val="par2"/>
        <w:numPr>
          <w:ilvl w:val="0"/>
          <w:numId w:val="18"/>
        </w:numPr>
        <w:spacing w:after="240"/>
        <w:ind w:left="1440" w:hanging="720"/>
        <w:rPr>
          <w:rFonts w:ascii="Arial" w:hAnsi="Arial" w:cs="Arial"/>
          <w:sz w:val="20"/>
          <w:szCs w:val="20"/>
        </w:rPr>
      </w:pPr>
      <w:r w:rsidRPr="00A23EC6">
        <w:rPr>
          <w:rFonts w:ascii="Arial" w:hAnsi="Arial" w:cs="Arial"/>
          <w:sz w:val="20"/>
          <w:szCs w:val="20"/>
        </w:rPr>
        <w:t>The Division will apply a credibility adjustment to the carrier’s observed DLR,</w:t>
      </w:r>
      <w:r w:rsidR="00A026BF" w:rsidRPr="00A23EC6">
        <w:rPr>
          <w:rFonts w:ascii="Arial" w:hAnsi="Arial" w:cs="Arial"/>
          <w:sz w:val="20"/>
          <w:szCs w:val="20"/>
        </w:rPr>
        <w:t xml:space="preserve"> </w:t>
      </w:r>
      <w:r w:rsidRPr="00A23EC6">
        <w:rPr>
          <w:rFonts w:ascii="Arial" w:hAnsi="Arial" w:cs="Arial"/>
          <w:sz w:val="20"/>
          <w:szCs w:val="20"/>
        </w:rPr>
        <w:t xml:space="preserve">using the following Base Credibility Adjustment Table: </w:t>
      </w:r>
    </w:p>
    <w:p w14:paraId="05836661" w14:textId="77777777" w:rsidR="004B0C10" w:rsidRPr="00A23EC6" w:rsidRDefault="004B0C10" w:rsidP="00530161">
      <w:pPr>
        <w:pStyle w:val="par2"/>
        <w:spacing w:after="240"/>
        <w:ind w:firstLine="0"/>
        <w:rPr>
          <w:rFonts w:ascii="Arial" w:hAnsi="Arial" w:cs="Arial"/>
          <w:sz w:val="20"/>
          <w:szCs w:val="20"/>
        </w:rPr>
      </w:pPr>
    </w:p>
    <w:tbl>
      <w:tblPr>
        <w:tblW w:w="792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6E4849" w:rsidRPr="00A23EC6" w14:paraId="7F1CAFBB" w14:textId="77777777">
        <w:tc>
          <w:tcPr>
            <w:tcW w:w="3960" w:type="dxa"/>
          </w:tcPr>
          <w:p w14:paraId="191575F0" w14:textId="77777777" w:rsidR="006E4849" w:rsidRPr="00A23EC6" w:rsidRDefault="006E4849" w:rsidP="00A23EC6">
            <w:pPr>
              <w:widowControl w:val="0"/>
              <w:spacing w:after="240"/>
              <w:ind w:left="720"/>
              <w:jc w:val="center"/>
              <w:rPr>
                <w:rFonts w:ascii="Arial" w:hAnsi="Arial" w:cs="Arial"/>
                <w:sz w:val="20"/>
                <w:szCs w:val="20"/>
              </w:rPr>
            </w:pPr>
            <w:r w:rsidRPr="00A23EC6">
              <w:rPr>
                <w:rFonts w:ascii="Arial" w:hAnsi="Arial" w:cs="Arial"/>
                <w:sz w:val="20"/>
                <w:szCs w:val="20"/>
              </w:rPr>
              <w:t>Member Months</w:t>
            </w:r>
          </w:p>
          <w:p w14:paraId="675A3BD8" w14:textId="77777777" w:rsidR="006E4849" w:rsidRPr="00A23EC6" w:rsidRDefault="006E4849" w:rsidP="00A23EC6">
            <w:pPr>
              <w:widowControl w:val="0"/>
              <w:spacing w:after="240"/>
              <w:ind w:left="720"/>
              <w:jc w:val="center"/>
              <w:rPr>
                <w:rFonts w:ascii="Arial" w:hAnsi="Arial" w:cs="Arial"/>
                <w:sz w:val="20"/>
                <w:szCs w:val="20"/>
              </w:rPr>
            </w:pPr>
            <w:r w:rsidRPr="00A23EC6">
              <w:rPr>
                <w:rFonts w:ascii="Arial" w:hAnsi="Arial" w:cs="Arial"/>
                <w:sz w:val="20"/>
                <w:szCs w:val="20"/>
              </w:rPr>
              <w:t xml:space="preserve"> (Cumulative, over Three Years)</w:t>
            </w:r>
          </w:p>
        </w:tc>
        <w:tc>
          <w:tcPr>
            <w:tcW w:w="3960" w:type="dxa"/>
            <w:tcMar>
              <w:top w:w="100" w:type="dxa"/>
              <w:left w:w="100" w:type="dxa"/>
              <w:bottom w:w="100" w:type="dxa"/>
              <w:right w:w="100" w:type="dxa"/>
            </w:tcMar>
          </w:tcPr>
          <w:p w14:paraId="0BB6CE80" w14:textId="77777777" w:rsidR="006E4849" w:rsidRPr="00A23EC6" w:rsidRDefault="006E4849" w:rsidP="00A23EC6">
            <w:pPr>
              <w:widowControl w:val="0"/>
              <w:spacing w:after="240"/>
              <w:ind w:left="720"/>
              <w:jc w:val="center"/>
              <w:rPr>
                <w:rFonts w:ascii="Arial" w:hAnsi="Arial" w:cs="Arial"/>
                <w:sz w:val="20"/>
                <w:szCs w:val="20"/>
              </w:rPr>
            </w:pPr>
            <w:r w:rsidRPr="00A23EC6">
              <w:rPr>
                <w:rFonts w:ascii="Arial" w:hAnsi="Arial" w:cs="Arial"/>
                <w:sz w:val="20"/>
                <w:szCs w:val="20"/>
              </w:rPr>
              <w:t>Credibility Adjustment</w:t>
            </w:r>
          </w:p>
        </w:tc>
      </w:tr>
      <w:tr w:rsidR="006E4849" w:rsidRPr="00A23EC6" w14:paraId="31BBAD2E" w14:textId="77777777">
        <w:tc>
          <w:tcPr>
            <w:tcW w:w="3960" w:type="dxa"/>
            <w:tcMar>
              <w:top w:w="100" w:type="dxa"/>
              <w:left w:w="100" w:type="dxa"/>
              <w:bottom w:w="100" w:type="dxa"/>
              <w:right w:w="100" w:type="dxa"/>
            </w:tcMar>
          </w:tcPr>
          <w:p w14:paraId="0A8E91B9" w14:textId="77777777" w:rsidR="006E4849" w:rsidRPr="00A23EC6" w:rsidRDefault="006E4849" w:rsidP="00A23EC6">
            <w:pPr>
              <w:widowControl w:val="0"/>
              <w:pBdr>
                <w:top w:val="nil"/>
                <w:left w:val="nil"/>
                <w:bottom w:val="nil"/>
                <w:right w:val="nil"/>
                <w:between w:val="nil"/>
              </w:pBdr>
              <w:spacing w:after="240"/>
              <w:ind w:left="720"/>
              <w:jc w:val="center"/>
              <w:rPr>
                <w:rFonts w:ascii="Arial" w:hAnsi="Arial" w:cs="Arial"/>
                <w:sz w:val="20"/>
                <w:szCs w:val="20"/>
              </w:rPr>
            </w:pPr>
            <w:r w:rsidRPr="00A23EC6">
              <w:rPr>
                <w:rFonts w:ascii="Arial" w:hAnsi="Arial" w:cs="Arial"/>
                <w:sz w:val="20"/>
                <w:szCs w:val="20"/>
              </w:rPr>
              <w:t>&lt;12,000</w:t>
            </w:r>
          </w:p>
        </w:tc>
        <w:tc>
          <w:tcPr>
            <w:tcW w:w="3960" w:type="dxa"/>
            <w:tcMar>
              <w:top w:w="100" w:type="dxa"/>
              <w:left w:w="100" w:type="dxa"/>
              <w:bottom w:w="100" w:type="dxa"/>
              <w:right w:w="100" w:type="dxa"/>
            </w:tcMar>
          </w:tcPr>
          <w:p w14:paraId="1A791231" w14:textId="77777777" w:rsidR="006E4849" w:rsidRPr="00A23EC6" w:rsidRDefault="006E4849" w:rsidP="00A23EC6">
            <w:pPr>
              <w:widowControl w:val="0"/>
              <w:pBdr>
                <w:top w:val="nil"/>
                <w:left w:val="nil"/>
                <w:bottom w:val="nil"/>
                <w:right w:val="nil"/>
                <w:between w:val="nil"/>
              </w:pBdr>
              <w:spacing w:after="240"/>
              <w:ind w:left="720"/>
              <w:jc w:val="center"/>
              <w:rPr>
                <w:rFonts w:ascii="Arial" w:hAnsi="Arial" w:cs="Arial"/>
                <w:sz w:val="20"/>
                <w:szCs w:val="20"/>
              </w:rPr>
            </w:pPr>
            <w:r w:rsidRPr="00A23EC6">
              <w:rPr>
                <w:rFonts w:ascii="Arial" w:hAnsi="Arial" w:cs="Arial"/>
                <w:sz w:val="20"/>
                <w:szCs w:val="20"/>
              </w:rPr>
              <w:t>Not Credible</w:t>
            </w:r>
          </w:p>
        </w:tc>
      </w:tr>
      <w:tr w:rsidR="006E4849" w:rsidRPr="00A23EC6" w14:paraId="55138EAB" w14:textId="77777777">
        <w:tc>
          <w:tcPr>
            <w:tcW w:w="3960" w:type="dxa"/>
            <w:tcMar>
              <w:top w:w="100" w:type="dxa"/>
              <w:left w:w="100" w:type="dxa"/>
              <w:bottom w:w="100" w:type="dxa"/>
              <w:right w:w="100" w:type="dxa"/>
            </w:tcMar>
          </w:tcPr>
          <w:p w14:paraId="07EF8D37" w14:textId="77777777" w:rsidR="006E4849" w:rsidRPr="00A23EC6" w:rsidRDefault="006E4849" w:rsidP="00A23EC6">
            <w:pPr>
              <w:widowControl w:val="0"/>
              <w:pBdr>
                <w:top w:val="nil"/>
                <w:left w:val="nil"/>
                <w:bottom w:val="nil"/>
                <w:right w:val="nil"/>
                <w:between w:val="nil"/>
              </w:pBdr>
              <w:spacing w:after="240"/>
              <w:ind w:left="720"/>
              <w:jc w:val="center"/>
              <w:rPr>
                <w:rFonts w:ascii="Arial" w:hAnsi="Arial" w:cs="Arial"/>
                <w:sz w:val="20"/>
                <w:szCs w:val="20"/>
              </w:rPr>
            </w:pPr>
            <w:r w:rsidRPr="00A23EC6">
              <w:rPr>
                <w:rFonts w:ascii="Arial" w:hAnsi="Arial" w:cs="Arial"/>
                <w:sz w:val="20"/>
                <w:szCs w:val="20"/>
              </w:rPr>
              <w:lastRenderedPageBreak/>
              <w:t>12,000</w:t>
            </w:r>
          </w:p>
        </w:tc>
        <w:tc>
          <w:tcPr>
            <w:tcW w:w="3960" w:type="dxa"/>
            <w:tcMar>
              <w:top w:w="100" w:type="dxa"/>
              <w:left w:w="100" w:type="dxa"/>
              <w:bottom w:w="100" w:type="dxa"/>
              <w:right w:w="100" w:type="dxa"/>
            </w:tcMar>
          </w:tcPr>
          <w:p w14:paraId="0C091FBF" w14:textId="77777777" w:rsidR="006E4849" w:rsidRPr="00A23EC6" w:rsidRDefault="006E4849" w:rsidP="00A23EC6">
            <w:pPr>
              <w:widowControl w:val="0"/>
              <w:pBdr>
                <w:top w:val="nil"/>
                <w:left w:val="nil"/>
                <w:bottom w:val="nil"/>
                <w:right w:val="nil"/>
                <w:between w:val="nil"/>
              </w:pBdr>
              <w:spacing w:after="240"/>
              <w:ind w:left="720"/>
              <w:jc w:val="center"/>
              <w:rPr>
                <w:rFonts w:ascii="Arial" w:hAnsi="Arial" w:cs="Arial"/>
                <w:sz w:val="20"/>
                <w:szCs w:val="20"/>
              </w:rPr>
            </w:pPr>
            <w:r w:rsidRPr="00A23EC6">
              <w:rPr>
                <w:rFonts w:ascii="Arial" w:hAnsi="Arial" w:cs="Arial"/>
                <w:sz w:val="20"/>
                <w:szCs w:val="20"/>
              </w:rPr>
              <w:t>10.6%</w:t>
            </w:r>
          </w:p>
        </w:tc>
      </w:tr>
      <w:tr w:rsidR="006E4849" w:rsidRPr="00A23EC6" w14:paraId="712CBD73" w14:textId="77777777">
        <w:tc>
          <w:tcPr>
            <w:tcW w:w="3960" w:type="dxa"/>
            <w:tcMar>
              <w:top w:w="100" w:type="dxa"/>
              <w:left w:w="100" w:type="dxa"/>
              <w:bottom w:w="100" w:type="dxa"/>
              <w:right w:w="100" w:type="dxa"/>
            </w:tcMar>
          </w:tcPr>
          <w:p w14:paraId="6A551D5F" w14:textId="77777777" w:rsidR="006E4849" w:rsidRPr="00A23EC6" w:rsidRDefault="006E4849" w:rsidP="00A23EC6">
            <w:pPr>
              <w:widowControl w:val="0"/>
              <w:pBdr>
                <w:top w:val="nil"/>
                <w:left w:val="nil"/>
                <w:bottom w:val="nil"/>
                <w:right w:val="nil"/>
                <w:between w:val="nil"/>
              </w:pBdr>
              <w:spacing w:after="240"/>
              <w:ind w:left="720"/>
              <w:jc w:val="center"/>
              <w:rPr>
                <w:rFonts w:ascii="Arial" w:hAnsi="Arial" w:cs="Arial"/>
                <w:sz w:val="20"/>
                <w:szCs w:val="20"/>
              </w:rPr>
            </w:pPr>
            <w:r w:rsidRPr="00A23EC6">
              <w:rPr>
                <w:rFonts w:ascii="Arial" w:hAnsi="Arial" w:cs="Arial"/>
                <w:sz w:val="20"/>
                <w:szCs w:val="20"/>
              </w:rPr>
              <w:t>30,000</w:t>
            </w:r>
          </w:p>
        </w:tc>
        <w:tc>
          <w:tcPr>
            <w:tcW w:w="3960" w:type="dxa"/>
            <w:tcMar>
              <w:top w:w="100" w:type="dxa"/>
              <w:left w:w="100" w:type="dxa"/>
              <w:bottom w:w="100" w:type="dxa"/>
              <w:right w:w="100" w:type="dxa"/>
            </w:tcMar>
          </w:tcPr>
          <w:p w14:paraId="5E54AAE3" w14:textId="77777777" w:rsidR="006E4849" w:rsidRPr="00A23EC6" w:rsidRDefault="006E4849" w:rsidP="00A23EC6">
            <w:pPr>
              <w:widowControl w:val="0"/>
              <w:pBdr>
                <w:top w:val="nil"/>
                <w:left w:val="nil"/>
                <w:bottom w:val="nil"/>
                <w:right w:val="nil"/>
                <w:between w:val="nil"/>
              </w:pBdr>
              <w:spacing w:after="240"/>
              <w:ind w:left="720"/>
              <w:jc w:val="center"/>
              <w:rPr>
                <w:rFonts w:ascii="Arial" w:hAnsi="Arial" w:cs="Arial"/>
                <w:sz w:val="20"/>
                <w:szCs w:val="20"/>
              </w:rPr>
            </w:pPr>
            <w:r w:rsidRPr="00A23EC6">
              <w:rPr>
                <w:rFonts w:ascii="Arial" w:hAnsi="Arial" w:cs="Arial"/>
                <w:sz w:val="20"/>
                <w:szCs w:val="20"/>
              </w:rPr>
              <w:t>6.7%</w:t>
            </w:r>
          </w:p>
        </w:tc>
      </w:tr>
      <w:tr w:rsidR="006E4849" w:rsidRPr="00A23EC6" w14:paraId="348C0BDF" w14:textId="77777777">
        <w:tc>
          <w:tcPr>
            <w:tcW w:w="3960" w:type="dxa"/>
            <w:tcMar>
              <w:top w:w="100" w:type="dxa"/>
              <w:left w:w="100" w:type="dxa"/>
              <w:bottom w:w="100" w:type="dxa"/>
              <w:right w:w="100" w:type="dxa"/>
            </w:tcMar>
          </w:tcPr>
          <w:p w14:paraId="5C6CCFB3" w14:textId="77777777" w:rsidR="006E4849" w:rsidRPr="00A23EC6" w:rsidRDefault="006E4849" w:rsidP="00A23EC6">
            <w:pPr>
              <w:widowControl w:val="0"/>
              <w:pBdr>
                <w:top w:val="nil"/>
                <w:left w:val="nil"/>
                <w:bottom w:val="nil"/>
                <w:right w:val="nil"/>
                <w:between w:val="nil"/>
              </w:pBdr>
              <w:spacing w:after="240"/>
              <w:ind w:left="720"/>
              <w:jc w:val="center"/>
              <w:rPr>
                <w:rFonts w:ascii="Arial" w:hAnsi="Arial" w:cs="Arial"/>
                <w:sz w:val="20"/>
                <w:szCs w:val="20"/>
              </w:rPr>
            </w:pPr>
            <w:r w:rsidRPr="00A23EC6">
              <w:rPr>
                <w:rFonts w:ascii="Arial" w:hAnsi="Arial" w:cs="Arial"/>
                <w:sz w:val="20"/>
                <w:szCs w:val="20"/>
              </w:rPr>
              <w:t>60,000</w:t>
            </w:r>
          </w:p>
        </w:tc>
        <w:tc>
          <w:tcPr>
            <w:tcW w:w="3960" w:type="dxa"/>
            <w:tcMar>
              <w:top w:w="100" w:type="dxa"/>
              <w:left w:w="100" w:type="dxa"/>
              <w:bottom w:w="100" w:type="dxa"/>
              <w:right w:w="100" w:type="dxa"/>
            </w:tcMar>
          </w:tcPr>
          <w:p w14:paraId="5568E7A8" w14:textId="77777777" w:rsidR="006E4849" w:rsidRPr="00A23EC6" w:rsidRDefault="006E4849" w:rsidP="00A23EC6">
            <w:pPr>
              <w:widowControl w:val="0"/>
              <w:pBdr>
                <w:top w:val="nil"/>
                <w:left w:val="nil"/>
                <w:bottom w:val="nil"/>
                <w:right w:val="nil"/>
                <w:between w:val="nil"/>
              </w:pBdr>
              <w:spacing w:after="240"/>
              <w:ind w:left="720"/>
              <w:jc w:val="center"/>
              <w:rPr>
                <w:rFonts w:ascii="Arial" w:hAnsi="Arial" w:cs="Arial"/>
                <w:sz w:val="20"/>
                <w:szCs w:val="20"/>
              </w:rPr>
            </w:pPr>
            <w:r w:rsidRPr="00A23EC6">
              <w:rPr>
                <w:rFonts w:ascii="Arial" w:hAnsi="Arial" w:cs="Arial"/>
                <w:sz w:val="20"/>
                <w:szCs w:val="20"/>
              </w:rPr>
              <w:t>4.7%</w:t>
            </w:r>
          </w:p>
        </w:tc>
      </w:tr>
      <w:tr w:rsidR="006E4849" w:rsidRPr="00A23EC6" w14:paraId="791CE350" w14:textId="77777777">
        <w:tc>
          <w:tcPr>
            <w:tcW w:w="3960" w:type="dxa"/>
            <w:tcMar>
              <w:top w:w="100" w:type="dxa"/>
              <w:left w:w="100" w:type="dxa"/>
              <w:bottom w:w="100" w:type="dxa"/>
              <w:right w:w="100" w:type="dxa"/>
            </w:tcMar>
          </w:tcPr>
          <w:p w14:paraId="7BB03CCE" w14:textId="77777777" w:rsidR="006E4849" w:rsidRPr="00A23EC6" w:rsidRDefault="006E4849" w:rsidP="00A23EC6">
            <w:pPr>
              <w:widowControl w:val="0"/>
              <w:pBdr>
                <w:top w:val="nil"/>
                <w:left w:val="nil"/>
                <w:bottom w:val="nil"/>
                <w:right w:val="nil"/>
                <w:between w:val="nil"/>
              </w:pBdr>
              <w:spacing w:after="240"/>
              <w:ind w:left="720"/>
              <w:jc w:val="center"/>
              <w:rPr>
                <w:rFonts w:ascii="Arial" w:hAnsi="Arial" w:cs="Arial"/>
                <w:sz w:val="20"/>
                <w:szCs w:val="20"/>
              </w:rPr>
            </w:pPr>
            <w:r w:rsidRPr="00A23EC6">
              <w:rPr>
                <w:rFonts w:ascii="Arial" w:hAnsi="Arial" w:cs="Arial"/>
                <w:sz w:val="20"/>
                <w:szCs w:val="20"/>
              </w:rPr>
              <w:t>120,000</w:t>
            </w:r>
          </w:p>
        </w:tc>
        <w:tc>
          <w:tcPr>
            <w:tcW w:w="3960" w:type="dxa"/>
            <w:tcMar>
              <w:top w:w="100" w:type="dxa"/>
              <w:left w:w="100" w:type="dxa"/>
              <w:bottom w:w="100" w:type="dxa"/>
              <w:right w:w="100" w:type="dxa"/>
            </w:tcMar>
          </w:tcPr>
          <w:p w14:paraId="3319A006" w14:textId="77777777" w:rsidR="006E4849" w:rsidRPr="00A23EC6" w:rsidRDefault="006E4849" w:rsidP="00A23EC6">
            <w:pPr>
              <w:widowControl w:val="0"/>
              <w:pBdr>
                <w:top w:val="nil"/>
                <w:left w:val="nil"/>
                <w:bottom w:val="nil"/>
                <w:right w:val="nil"/>
                <w:between w:val="nil"/>
              </w:pBdr>
              <w:spacing w:after="240"/>
              <w:ind w:left="720"/>
              <w:jc w:val="center"/>
              <w:rPr>
                <w:rFonts w:ascii="Arial" w:hAnsi="Arial" w:cs="Arial"/>
                <w:sz w:val="20"/>
                <w:szCs w:val="20"/>
              </w:rPr>
            </w:pPr>
            <w:r w:rsidRPr="00A23EC6">
              <w:rPr>
                <w:rFonts w:ascii="Arial" w:hAnsi="Arial" w:cs="Arial"/>
                <w:sz w:val="20"/>
                <w:szCs w:val="20"/>
              </w:rPr>
              <w:t>3.4%</w:t>
            </w:r>
          </w:p>
        </w:tc>
      </w:tr>
      <w:tr w:rsidR="006E4849" w:rsidRPr="00A23EC6" w14:paraId="34040C5D" w14:textId="77777777">
        <w:tc>
          <w:tcPr>
            <w:tcW w:w="3960" w:type="dxa"/>
            <w:tcMar>
              <w:top w:w="100" w:type="dxa"/>
              <w:left w:w="100" w:type="dxa"/>
              <w:bottom w:w="100" w:type="dxa"/>
              <w:right w:w="100" w:type="dxa"/>
            </w:tcMar>
          </w:tcPr>
          <w:p w14:paraId="64496BCC" w14:textId="77777777" w:rsidR="006E4849" w:rsidRPr="00A23EC6" w:rsidRDefault="006E4849" w:rsidP="00A23EC6">
            <w:pPr>
              <w:widowControl w:val="0"/>
              <w:pBdr>
                <w:top w:val="nil"/>
                <w:left w:val="nil"/>
                <w:bottom w:val="nil"/>
                <w:right w:val="nil"/>
                <w:between w:val="nil"/>
              </w:pBdr>
              <w:spacing w:after="240"/>
              <w:ind w:left="720"/>
              <w:jc w:val="center"/>
              <w:rPr>
                <w:rFonts w:ascii="Arial" w:hAnsi="Arial" w:cs="Arial"/>
                <w:sz w:val="20"/>
                <w:szCs w:val="20"/>
              </w:rPr>
            </w:pPr>
            <w:r w:rsidRPr="00A23EC6">
              <w:rPr>
                <w:rFonts w:ascii="Arial" w:hAnsi="Arial" w:cs="Arial"/>
                <w:sz w:val="20"/>
                <w:szCs w:val="20"/>
              </w:rPr>
              <w:t>300,000</w:t>
            </w:r>
          </w:p>
        </w:tc>
        <w:tc>
          <w:tcPr>
            <w:tcW w:w="3960" w:type="dxa"/>
            <w:tcMar>
              <w:top w:w="100" w:type="dxa"/>
              <w:left w:w="100" w:type="dxa"/>
              <w:bottom w:w="100" w:type="dxa"/>
              <w:right w:w="100" w:type="dxa"/>
            </w:tcMar>
          </w:tcPr>
          <w:p w14:paraId="6FB95523" w14:textId="77777777" w:rsidR="006E4849" w:rsidRPr="00A23EC6" w:rsidRDefault="006E4849" w:rsidP="00A23EC6">
            <w:pPr>
              <w:widowControl w:val="0"/>
              <w:pBdr>
                <w:top w:val="nil"/>
                <w:left w:val="nil"/>
                <w:bottom w:val="nil"/>
                <w:right w:val="nil"/>
                <w:between w:val="nil"/>
              </w:pBdr>
              <w:spacing w:after="240"/>
              <w:ind w:left="720"/>
              <w:jc w:val="center"/>
              <w:rPr>
                <w:rFonts w:ascii="Arial" w:hAnsi="Arial" w:cs="Arial"/>
                <w:sz w:val="20"/>
                <w:szCs w:val="20"/>
              </w:rPr>
            </w:pPr>
            <w:r w:rsidRPr="00A23EC6">
              <w:rPr>
                <w:rFonts w:ascii="Arial" w:hAnsi="Arial" w:cs="Arial"/>
                <w:sz w:val="20"/>
                <w:szCs w:val="20"/>
              </w:rPr>
              <w:t>2.1%</w:t>
            </w:r>
          </w:p>
        </w:tc>
      </w:tr>
      <w:tr w:rsidR="006E4849" w:rsidRPr="00A23EC6" w14:paraId="65A1820C" w14:textId="77777777">
        <w:tc>
          <w:tcPr>
            <w:tcW w:w="3960" w:type="dxa"/>
            <w:tcMar>
              <w:top w:w="100" w:type="dxa"/>
              <w:left w:w="100" w:type="dxa"/>
              <w:bottom w:w="100" w:type="dxa"/>
              <w:right w:w="100" w:type="dxa"/>
            </w:tcMar>
          </w:tcPr>
          <w:p w14:paraId="1A5B0DF3" w14:textId="77777777" w:rsidR="006E4849" w:rsidRPr="00A23EC6" w:rsidRDefault="006E4849" w:rsidP="00A23EC6">
            <w:pPr>
              <w:widowControl w:val="0"/>
              <w:pBdr>
                <w:top w:val="nil"/>
                <w:left w:val="nil"/>
                <w:bottom w:val="nil"/>
                <w:right w:val="nil"/>
                <w:between w:val="nil"/>
              </w:pBdr>
              <w:spacing w:after="240"/>
              <w:ind w:left="720"/>
              <w:jc w:val="center"/>
              <w:rPr>
                <w:rFonts w:ascii="Arial" w:hAnsi="Arial" w:cs="Arial"/>
                <w:sz w:val="20"/>
                <w:szCs w:val="20"/>
              </w:rPr>
            </w:pPr>
            <w:r w:rsidRPr="00A23EC6">
              <w:rPr>
                <w:rFonts w:ascii="Arial" w:hAnsi="Arial" w:cs="Arial"/>
                <w:sz w:val="20"/>
                <w:szCs w:val="20"/>
              </w:rPr>
              <w:t>600,000</w:t>
            </w:r>
          </w:p>
        </w:tc>
        <w:tc>
          <w:tcPr>
            <w:tcW w:w="3960" w:type="dxa"/>
            <w:tcMar>
              <w:top w:w="100" w:type="dxa"/>
              <w:left w:w="100" w:type="dxa"/>
              <w:bottom w:w="100" w:type="dxa"/>
              <w:right w:w="100" w:type="dxa"/>
            </w:tcMar>
          </w:tcPr>
          <w:p w14:paraId="3232E5AA" w14:textId="77777777" w:rsidR="006E4849" w:rsidRPr="00A23EC6" w:rsidRDefault="006E4849" w:rsidP="00A23EC6">
            <w:pPr>
              <w:widowControl w:val="0"/>
              <w:pBdr>
                <w:top w:val="nil"/>
                <w:left w:val="nil"/>
                <w:bottom w:val="nil"/>
                <w:right w:val="nil"/>
                <w:between w:val="nil"/>
              </w:pBdr>
              <w:spacing w:after="240"/>
              <w:ind w:left="720"/>
              <w:jc w:val="center"/>
              <w:rPr>
                <w:rFonts w:ascii="Arial" w:hAnsi="Arial" w:cs="Arial"/>
                <w:sz w:val="20"/>
                <w:szCs w:val="20"/>
              </w:rPr>
            </w:pPr>
            <w:r w:rsidRPr="00A23EC6">
              <w:rPr>
                <w:rFonts w:ascii="Arial" w:hAnsi="Arial" w:cs="Arial"/>
                <w:sz w:val="20"/>
                <w:szCs w:val="20"/>
              </w:rPr>
              <w:t>1.5%</w:t>
            </w:r>
          </w:p>
        </w:tc>
      </w:tr>
      <w:tr w:rsidR="006E4849" w:rsidRPr="00A23EC6" w14:paraId="07E4B3B3" w14:textId="77777777">
        <w:tc>
          <w:tcPr>
            <w:tcW w:w="3960" w:type="dxa"/>
            <w:tcMar>
              <w:top w:w="100" w:type="dxa"/>
              <w:left w:w="100" w:type="dxa"/>
              <w:bottom w:w="100" w:type="dxa"/>
              <w:right w:w="100" w:type="dxa"/>
            </w:tcMar>
          </w:tcPr>
          <w:p w14:paraId="0006F7A8" w14:textId="77777777" w:rsidR="006E4849" w:rsidRPr="00A23EC6" w:rsidRDefault="006E4849" w:rsidP="00A23EC6">
            <w:pPr>
              <w:widowControl w:val="0"/>
              <w:pBdr>
                <w:top w:val="nil"/>
                <w:left w:val="nil"/>
                <w:bottom w:val="nil"/>
                <w:right w:val="nil"/>
                <w:between w:val="nil"/>
              </w:pBdr>
              <w:spacing w:after="240"/>
              <w:ind w:left="720"/>
              <w:jc w:val="center"/>
              <w:rPr>
                <w:rFonts w:ascii="Arial" w:hAnsi="Arial" w:cs="Arial"/>
                <w:sz w:val="20"/>
                <w:szCs w:val="20"/>
              </w:rPr>
            </w:pPr>
            <w:r w:rsidRPr="00A23EC6">
              <w:rPr>
                <w:rFonts w:ascii="Arial" w:hAnsi="Arial" w:cs="Arial"/>
                <w:sz w:val="20"/>
                <w:szCs w:val="20"/>
              </w:rPr>
              <w:t>900,000+</w:t>
            </w:r>
          </w:p>
        </w:tc>
        <w:tc>
          <w:tcPr>
            <w:tcW w:w="3960" w:type="dxa"/>
            <w:tcMar>
              <w:top w:w="100" w:type="dxa"/>
              <w:left w:w="100" w:type="dxa"/>
              <w:bottom w:w="100" w:type="dxa"/>
              <w:right w:w="100" w:type="dxa"/>
            </w:tcMar>
          </w:tcPr>
          <w:p w14:paraId="26578DB9" w14:textId="77777777" w:rsidR="006E4849" w:rsidRPr="00A23EC6" w:rsidRDefault="006E4849" w:rsidP="00A23EC6">
            <w:pPr>
              <w:widowControl w:val="0"/>
              <w:pBdr>
                <w:top w:val="nil"/>
                <w:left w:val="nil"/>
                <w:bottom w:val="nil"/>
                <w:right w:val="nil"/>
                <w:between w:val="nil"/>
              </w:pBdr>
              <w:spacing w:after="240"/>
              <w:ind w:left="720"/>
              <w:jc w:val="center"/>
              <w:rPr>
                <w:rFonts w:ascii="Arial" w:hAnsi="Arial" w:cs="Arial"/>
                <w:sz w:val="20"/>
                <w:szCs w:val="20"/>
              </w:rPr>
            </w:pPr>
            <w:r w:rsidRPr="00A23EC6">
              <w:rPr>
                <w:rFonts w:ascii="Arial" w:hAnsi="Arial" w:cs="Arial"/>
                <w:sz w:val="20"/>
                <w:szCs w:val="20"/>
              </w:rPr>
              <w:t>0.0%</w:t>
            </w:r>
          </w:p>
        </w:tc>
      </w:tr>
    </w:tbl>
    <w:p w14:paraId="0EF39DD5" w14:textId="77777777" w:rsidR="004D26B4" w:rsidRDefault="004D26B4" w:rsidP="00530161">
      <w:pPr>
        <w:pStyle w:val="par2"/>
        <w:spacing w:after="240"/>
        <w:ind w:left="2160"/>
        <w:rPr>
          <w:rFonts w:ascii="Arial" w:hAnsi="Arial" w:cs="Arial"/>
          <w:sz w:val="20"/>
          <w:szCs w:val="20"/>
        </w:rPr>
      </w:pPr>
    </w:p>
    <w:p w14:paraId="6BCE91B2" w14:textId="6FA7AF0E" w:rsidR="006E4849" w:rsidRPr="00A23EC6" w:rsidRDefault="009D4BF1" w:rsidP="00530161">
      <w:pPr>
        <w:pStyle w:val="par2"/>
        <w:spacing w:after="240"/>
        <w:ind w:left="2160"/>
        <w:rPr>
          <w:rFonts w:ascii="Arial" w:hAnsi="Arial" w:cs="Arial"/>
          <w:sz w:val="20"/>
          <w:szCs w:val="20"/>
        </w:rPr>
      </w:pPr>
      <w:r w:rsidRPr="00A23EC6">
        <w:rPr>
          <w:rFonts w:ascii="Arial" w:hAnsi="Arial" w:cs="Arial"/>
          <w:sz w:val="20"/>
          <w:szCs w:val="20"/>
        </w:rPr>
        <w:t>a.</w:t>
      </w:r>
      <w:r w:rsidRPr="00A23EC6">
        <w:rPr>
          <w:rFonts w:ascii="Arial" w:hAnsi="Arial" w:cs="Arial"/>
          <w:sz w:val="20"/>
          <w:szCs w:val="20"/>
        </w:rPr>
        <w:tab/>
      </w:r>
      <w:r w:rsidR="006E4849" w:rsidRPr="00A23EC6">
        <w:rPr>
          <w:rFonts w:ascii="Arial" w:hAnsi="Arial" w:cs="Arial"/>
          <w:sz w:val="20"/>
          <w:szCs w:val="20"/>
        </w:rPr>
        <w:t xml:space="preserve">For member months between table values, the credibility adjustment shall be determined through linear interpolation. </w:t>
      </w:r>
    </w:p>
    <w:p w14:paraId="6EB8584A" w14:textId="77777777" w:rsidR="006E4849" w:rsidRPr="00A23EC6" w:rsidRDefault="009D4BF1" w:rsidP="00530161">
      <w:pPr>
        <w:pStyle w:val="par2"/>
        <w:spacing w:after="240"/>
        <w:ind w:left="2160"/>
        <w:rPr>
          <w:rFonts w:ascii="Arial" w:hAnsi="Arial" w:cs="Arial"/>
          <w:sz w:val="20"/>
          <w:szCs w:val="20"/>
        </w:rPr>
      </w:pPr>
      <w:r w:rsidRPr="00A23EC6">
        <w:rPr>
          <w:rFonts w:ascii="Arial" w:hAnsi="Arial" w:cs="Arial"/>
          <w:sz w:val="20"/>
          <w:szCs w:val="20"/>
        </w:rPr>
        <w:t>b.</w:t>
      </w:r>
      <w:r w:rsidRPr="00A23EC6">
        <w:rPr>
          <w:rFonts w:ascii="Arial" w:hAnsi="Arial" w:cs="Arial"/>
          <w:sz w:val="20"/>
          <w:szCs w:val="20"/>
        </w:rPr>
        <w:tab/>
      </w:r>
      <w:r w:rsidR="006E4849" w:rsidRPr="00A23EC6">
        <w:rPr>
          <w:rFonts w:ascii="Arial" w:hAnsi="Arial" w:cs="Arial"/>
          <w:sz w:val="20"/>
          <w:szCs w:val="20"/>
        </w:rPr>
        <w:t xml:space="preserve">A credibility adjustment of 0.0% indicates full credibility; no adjustment shall be applied to the observed Colorado DLR. </w:t>
      </w:r>
    </w:p>
    <w:p w14:paraId="31200E30" w14:textId="77777777" w:rsidR="006E4849" w:rsidRPr="00A23EC6" w:rsidRDefault="009D4BF1" w:rsidP="00530161">
      <w:pPr>
        <w:pStyle w:val="par2"/>
        <w:spacing w:after="240"/>
        <w:rPr>
          <w:rFonts w:ascii="Arial" w:hAnsi="Arial" w:cs="Arial"/>
          <w:sz w:val="20"/>
          <w:szCs w:val="20"/>
        </w:rPr>
      </w:pPr>
      <w:r w:rsidRPr="00A23EC6">
        <w:rPr>
          <w:rFonts w:ascii="Arial" w:hAnsi="Arial" w:cs="Arial"/>
          <w:sz w:val="20"/>
          <w:szCs w:val="20"/>
        </w:rPr>
        <w:t>2.</w:t>
      </w:r>
      <w:r w:rsidRPr="00A23EC6">
        <w:rPr>
          <w:rFonts w:ascii="Arial" w:hAnsi="Arial" w:cs="Arial"/>
          <w:sz w:val="20"/>
          <w:szCs w:val="20"/>
        </w:rPr>
        <w:tab/>
      </w:r>
      <w:r w:rsidR="006E4849" w:rsidRPr="00A23EC6">
        <w:rPr>
          <w:rFonts w:ascii="Arial" w:hAnsi="Arial" w:cs="Arial"/>
          <w:sz w:val="20"/>
          <w:szCs w:val="20"/>
        </w:rPr>
        <w:t>For carrier blocks of business with less than full credibility, the credibility adjustment shall be added to the observed DLR to calculate the credibility-adjusted DLR.</w:t>
      </w:r>
    </w:p>
    <w:p w14:paraId="35CD124B" w14:textId="08C8FE4A" w:rsidR="006E4849" w:rsidRPr="00A23EC6" w:rsidRDefault="009D4BF1" w:rsidP="00530161">
      <w:pPr>
        <w:pStyle w:val="par2"/>
        <w:spacing w:after="240"/>
        <w:rPr>
          <w:rFonts w:ascii="Arial" w:hAnsi="Arial" w:cs="Arial"/>
          <w:sz w:val="20"/>
          <w:szCs w:val="20"/>
        </w:rPr>
      </w:pPr>
      <w:r w:rsidRPr="00A23EC6">
        <w:rPr>
          <w:rFonts w:ascii="Arial" w:hAnsi="Arial" w:cs="Arial"/>
          <w:sz w:val="20"/>
          <w:szCs w:val="20"/>
        </w:rPr>
        <w:t>3.</w:t>
      </w:r>
      <w:r w:rsidRPr="00A23EC6">
        <w:rPr>
          <w:rFonts w:ascii="Arial" w:hAnsi="Arial" w:cs="Arial"/>
          <w:sz w:val="20"/>
          <w:szCs w:val="20"/>
        </w:rPr>
        <w:tab/>
      </w:r>
      <w:r w:rsidR="006E4849" w:rsidRPr="00A23EC6">
        <w:rPr>
          <w:rFonts w:ascii="Arial" w:hAnsi="Arial" w:cs="Arial"/>
          <w:sz w:val="20"/>
          <w:szCs w:val="20"/>
        </w:rPr>
        <w:t xml:space="preserve">Carrier market segments with fewer than 12,000 cumulative member months over three years are deemed not credible and therefore not subject to the requirements outlined in </w:t>
      </w:r>
      <w:r w:rsidR="00CA293A">
        <w:rPr>
          <w:rFonts w:ascii="Arial" w:hAnsi="Arial" w:cs="Arial"/>
          <w:sz w:val="20"/>
          <w:szCs w:val="20"/>
        </w:rPr>
        <w:t>S</w:t>
      </w:r>
      <w:r w:rsidR="006E4849" w:rsidRPr="00A23EC6">
        <w:rPr>
          <w:rFonts w:ascii="Arial" w:hAnsi="Arial" w:cs="Arial"/>
          <w:sz w:val="20"/>
          <w:szCs w:val="20"/>
        </w:rPr>
        <w:t>ection 11.B of this regulation.</w:t>
      </w:r>
    </w:p>
    <w:p w14:paraId="67853524" w14:textId="77777777" w:rsidR="00CA293A" w:rsidRDefault="006E4849" w:rsidP="00CA293A">
      <w:pPr>
        <w:pStyle w:val="par1"/>
        <w:spacing w:after="240"/>
        <w:rPr>
          <w:rFonts w:ascii="Arial" w:hAnsi="Arial" w:cs="Arial"/>
          <w:sz w:val="20"/>
          <w:szCs w:val="20"/>
        </w:rPr>
      </w:pPr>
      <w:r w:rsidRPr="00A23EC6">
        <w:rPr>
          <w:rFonts w:ascii="Arial" w:hAnsi="Arial" w:cs="Arial"/>
          <w:sz w:val="20"/>
          <w:szCs w:val="20"/>
        </w:rPr>
        <w:t>B.</w:t>
      </w:r>
      <w:r w:rsidR="007D5A4A" w:rsidRPr="00A23EC6">
        <w:rPr>
          <w:rFonts w:ascii="Arial" w:hAnsi="Arial" w:cs="Arial"/>
          <w:sz w:val="20"/>
          <w:szCs w:val="20"/>
        </w:rPr>
        <w:tab/>
      </w:r>
      <w:r w:rsidRPr="00A23EC6">
        <w:rPr>
          <w:rFonts w:ascii="Arial" w:hAnsi="Arial" w:cs="Arial"/>
          <w:sz w:val="20"/>
          <w:szCs w:val="20"/>
        </w:rPr>
        <w:t>Outlier Identification</w:t>
      </w:r>
    </w:p>
    <w:p w14:paraId="07679EE1" w14:textId="77777777" w:rsidR="00CA293A" w:rsidRDefault="00CA293A" w:rsidP="00CA293A">
      <w:pPr>
        <w:pStyle w:val="par1"/>
        <w:spacing w:after="240"/>
        <w:rPr>
          <w:rFonts w:ascii="Arial" w:hAnsi="Arial" w:cs="Arial"/>
          <w:sz w:val="20"/>
          <w:szCs w:val="20"/>
        </w:rPr>
      </w:pPr>
      <w:r>
        <w:rPr>
          <w:rFonts w:ascii="Arial" w:hAnsi="Arial" w:cs="Arial"/>
          <w:sz w:val="20"/>
          <w:szCs w:val="20"/>
        </w:rPr>
        <w:tab/>
      </w:r>
      <w:r w:rsidR="006E4849" w:rsidRPr="00A23EC6">
        <w:rPr>
          <w:rFonts w:ascii="Arial" w:hAnsi="Arial" w:cs="Arial"/>
          <w:sz w:val="20"/>
          <w:szCs w:val="20"/>
        </w:rPr>
        <w:t xml:space="preserve">The Division will calculate the mean and standard deviation of credibility-adjusted DLRs within each market segment. Carriers identified as not credible under Section 11.A.3 shall be excluded from these calculations. </w:t>
      </w:r>
    </w:p>
    <w:p w14:paraId="6F059F97" w14:textId="77777777" w:rsidR="00CA293A" w:rsidRDefault="00CA293A" w:rsidP="00CA293A">
      <w:pPr>
        <w:pStyle w:val="par1"/>
        <w:spacing w:after="240"/>
        <w:rPr>
          <w:rFonts w:ascii="Arial" w:hAnsi="Arial" w:cs="Arial"/>
          <w:sz w:val="20"/>
          <w:szCs w:val="20"/>
        </w:rPr>
      </w:pPr>
      <w:r>
        <w:rPr>
          <w:rFonts w:ascii="Arial" w:hAnsi="Arial" w:cs="Arial"/>
          <w:sz w:val="20"/>
          <w:szCs w:val="20"/>
        </w:rPr>
        <w:tab/>
      </w:r>
      <w:r w:rsidR="006E4849" w:rsidRPr="00A23EC6">
        <w:rPr>
          <w:rFonts w:ascii="Arial" w:hAnsi="Arial" w:cs="Arial"/>
          <w:sz w:val="20"/>
          <w:szCs w:val="20"/>
        </w:rPr>
        <w:t xml:space="preserve">A carrier shall be identified as an outlier if its credibility-adjusted DLR is two or more standard deviations below the market mean. </w:t>
      </w:r>
    </w:p>
    <w:p w14:paraId="48100A18" w14:textId="21D020EB" w:rsidR="00CA293A" w:rsidRPr="00CA293A" w:rsidRDefault="00CA293A" w:rsidP="00CA293A">
      <w:pPr>
        <w:pStyle w:val="par2"/>
        <w:rPr>
          <w:rFonts w:ascii="Arial" w:hAnsi="Arial" w:cs="Arial"/>
          <w:sz w:val="20"/>
          <w:szCs w:val="20"/>
        </w:rPr>
      </w:pPr>
      <w:r w:rsidRPr="00CA293A">
        <w:rPr>
          <w:rFonts w:ascii="Arial" w:hAnsi="Arial" w:cs="Arial"/>
          <w:sz w:val="20"/>
          <w:szCs w:val="20"/>
        </w:rPr>
        <w:t>1</w:t>
      </w:r>
      <w:r w:rsidR="009D4BF1" w:rsidRPr="00CA293A">
        <w:rPr>
          <w:rFonts w:ascii="Arial" w:hAnsi="Arial" w:cs="Arial"/>
          <w:sz w:val="20"/>
          <w:szCs w:val="20"/>
        </w:rPr>
        <w:t>.</w:t>
      </w:r>
      <w:r w:rsidR="009D4BF1" w:rsidRPr="00CA293A">
        <w:rPr>
          <w:rFonts w:ascii="Arial" w:hAnsi="Arial" w:cs="Arial"/>
          <w:sz w:val="20"/>
          <w:szCs w:val="20"/>
        </w:rPr>
        <w:tab/>
      </w:r>
      <w:r w:rsidR="006E4849" w:rsidRPr="00CA293A">
        <w:rPr>
          <w:rFonts w:ascii="Arial" w:hAnsi="Arial" w:cs="Arial"/>
          <w:sz w:val="20"/>
          <w:szCs w:val="20"/>
        </w:rPr>
        <w:t>Identification as an outlier shall trigger further review and potential rate</w:t>
      </w:r>
      <w:r>
        <w:rPr>
          <w:rFonts w:ascii="Arial" w:hAnsi="Arial" w:cs="Arial"/>
          <w:sz w:val="20"/>
          <w:szCs w:val="20"/>
        </w:rPr>
        <w:t xml:space="preserve"> </w:t>
      </w:r>
      <w:r w:rsidR="006E4849" w:rsidRPr="00CA293A">
        <w:rPr>
          <w:rFonts w:ascii="Arial" w:hAnsi="Arial" w:cs="Arial"/>
          <w:sz w:val="20"/>
          <w:szCs w:val="20"/>
        </w:rPr>
        <w:t xml:space="preserve">filing requests by the Division. </w:t>
      </w:r>
    </w:p>
    <w:p w14:paraId="6611A272" w14:textId="2273B318" w:rsidR="006E4849" w:rsidRPr="00CA293A" w:rsidRDefault="00CA293A" w:rsidP="00CA293A">
      <w:pPr>
        <w:pStyle w:val="par2"/>
        <w:rPr>
          <w:rFonts w:ascii="Arial" w:hAnsi="Arial" w:cs="Arial"/>
          <w:sz w:val="20"/>
          <w:szCs w:val="20"/>
        </w:rPr>
      </w:pPr>
      <w:r w:rsidRPr="00CA293A">
        <w:rPr>
          <w:rFonts w:ascii="Arial" w:hAnsi="Arial" w:cs="Arial"/>
          <w:sz w:val="20"/>
          <w:szCs w:val="20"/>
        </w:rPr>
        <w:t>2.</w:t>
      </w:r>
      <w:r w:rsidRPr="00CA293A">
        <w:rPr>
          <w:rFonts w:ascii="Arial" w:hAnsi="Arial" w:cs="Arial"/>
          <w:sz w:val="20"/>
          <w:szCs w:val="20"/>
        </w:rPr>
        <w:tab/>
      </w:r>
      <w:r w:rsidR="006E4849" w:rsidRPr="00CA293A">
        <w:rPr>
          <w:rFonts w:ascii="Arial" w:hAnsi="Arial" w:cs="Arial"/>
          <w:sz w:val="20"/>
          <w:szCs w:val="20"/>
        </w:rPr>
        <w:t>If a carrier is identified as an outlier but its credibility-adjusted DLR meets the minimum loss ratio requirements as specified in Regulations 4-2-11 and 4-2-39, it will not be subject to further review or potential rate filing requests.</w:t>
      </w:r>
    </w:p>
    <w:p w14:paraId="4D91D94A" w14:textId="4BAA6BD8" w:rsidR="006E4849" w:rsidRPr="00A23EC6" w:rsidRDefault="007D5A4A" w:rsidP="00530161">
      <w:pPr>
        <w:pStyle w:val="Title2"/>
        <w:spacing w:after="240"/>
        <w:rPr>
          <w:rFonts w:ascii="Arial" w:hAnsi="Arial"/>
          <w:sz w:val="20"/>
          <w:szCs w:val="20"/>
        </w:rPr>
      </w:pPr>
      <w:r w:rsidRPr="00A23EC6">
        <w:rPr>
          <w:rFonts w:ascii="Arial" w:hAnsi="Arial"/>
          <w:sz w:val="20"/>
          <w:szCs w:val="20"/>
        </w:rPr>
        <w:lastRenderedPageBreak/>
        <w:t>Section 12</w:t>
      </w:r>
      <w:r w:rsidR="006E4849" w:rsidRPr="00A23EC6">
        <w:rPr>
          <w:rFonts w:ascii="Arial" w:hAnsi="Arial"/>
          <w:sz w:val="20"/>
          <w:szCs w:val="20"/>
        </w:rPr>
        <w:t xml:space="preserve"> </w:t>
      </w:r>
      <w:r w:rsidR="00CA293A">
        <w:rPr>
          <w:rFonts w:ascii="Arial" w:hAnsi="Arial"/>
          <w:sz w:val="20"/>
          <w:szCs w:val="20"/>
        </w:rPr>
        <w:tab/>
      </w:r>
      <w:r w:rsidR="006E4849" w:rsidRPr="00A23EC6">
        <w:rPr>
          <w:rFonts w:ascii="Arial" w:eastAsia="Arial" w:hAnsi="Arial"/>
          <w:sz w:val="20"/>
          <w:szCs w:val="20"/>
        </w:rPr>
        <w:t>Severability</w:t>
      </w:r>
    </w:p>
    <w:p w14:paraId="6F49B89B" w14:textId="77777777" w:rsidR="006E4849" w:rsidRPr="00A23EC6" w:rsidRDefault="006E4849" w:rsidP="00530161">
      <w:pPr>
        <w:pStyle w:val="upar1"/>
        <w:spacing w:after="240"/>
        <w:rPr>
          <w:rFonts w:ascii="Arial" w:hAnsi="Arial"/>
          <w:sz w:val="20"/>
          <w:szCs w:val="20"/>
        </w:rPr>
      </w:pPr>
      <w:r w:rsidRPr="00A23EC6">
        <w:rPr>
          <w:rFonts w:ascii="Arial" w:eastAsia="Arial" w:hAnsi="Arial"/>
          <w:sz w:val="20"/>
          <w:szCs w:val="20"/>
        </w:rPr>
        <w:t>If any provision of this regulation or the application of it to any person or circumstance is for any reason held invalid, the remainder of the regulation shall not be affected.</w:t>
      </w:r>
    </w:p>
    <w:p w14:paraId="7A3C1282" w14:textId="6564FC35" w:rsidR="006E4849" w:rsidRPr="00A23EC6" w:rsidRDefault="006E4849" w:rsidP="00530161">
      <w:pPr>
        <w:pStyle w:val="Title2"/>
        <w:spacing w:after="240"/>
        <w:rPr>
          <w:rFonts w:ascii="Arial" w:hAnsi="Arial"/>
          <w:sz w:val="20"/>
          <w:szCs w:val="20"/>
        </w:rPr>
      </w:pPr>
      <w:r w:rsidRPr="00A23EC6">
        <w:rPr>
          <w:rFonts w:ascii="Arial" w:eastAsia="Arial" w:hAnsi="Arial"/>
          <w:sz w:val="20"/>
          <w:szCs w:val="20"/>
        </w:rPr>
        <w:t>Section 1</w:t>
      </w:r>
      <w:r w:rsidRPr="00A23EC6">
        <w:rPr>
          <w:rFonts w:ascii="Arial" w:hAnsi="Arial"/>
          <w:sz w:val="20"/>
          <w:szCs w:val="20"/>
        </w:rPr>
        <w:t>3</w:t>
      </w:r>
      <w:r w:rsidRPr="00A23EC6">
        <w:rPr>
          <w:rFonts w:ascii="Arial" w:eastAsia="Arial" w:hAnsi="Arial"/>
          <w:sz w:val="20"/>
          <w:szCs w:val="20"/>
        </w:rPr>
        <w:tab/>
        <w:t>Enforcement</w:t>
      </w:r>
    </w:p>
    <w:p w14:paraId="6D9EFD56" w14:textId="77777777" w:rsidR="006E4849" w:rsidRPr="00A23EC6" w:rsidRDefault="006E4849" w:rsidP="00530161">
      <w:pPr>
        <w:pStyle w:val="upar1"/>
        <w:spacing w:after="240"/>
        <w:rPr>
          <w:rFonts w:ascii="Arial" w:hAnsi="Arial"/>
          <w:sz w:val="20"/>
          <w:szCs w:val="20"/>
        </w:rPr>
      </w:pPr>
      <w:r w:rsidRPr="00A23EC6">
        <w:rPr>
          <w:rFonts w:ascii="Arial" w:eastAsia="Arial" w:hAnsi="Arial"/>
          <w:sz w:val="20"/>
          <w:szCs w:val="20"/>
        </w:rP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rsidRPr="00A23EC6">
        <w:rPr>
          <w:rFonts w:ascii="Arial" w:eastAsia="Arial" w:hAnsi="Arial"/>
          <w:sz w:val="20"/>
          <w:szCs w:val="20"/>
        </w:rPr>
        <w:t>cease and desist</w:t>
      </w:r>
      <w:proofErr w:type="gramEnd"/>
      <w:r w:rsidRPr="00A23EC6">
        <w:rPr>
          <w:rFonts w:ascii="Arial" w:eastAsia="Arial" w:hAnsi="Arial"/>
          <w:sz w:val="20"/>
          <w:szCs w:val="20"/>
        </w:rPr>
        <w:t xml:space="preserve"> orders, and/or suspensions or revocation of license, subject to the requirements of due process.</w:t>
      </w:r>
    </w:p>
    <w:p w14:paraId="0769ACAE" w14:textId="6E2C5ECF" w:rsidR="006E4849" w:rsidRPr="00A23EC6" w:rsidRDefault="006E4849" w:rsidP="00530161">
      <w:pPr>
        <w:pStyle w:val="Title2"/>
        <w:spacing w:after="240"/>
        <w:rPr>
          <w:rFonts w:ascii="Arial" w:hAnsi="Arial"/>
          <w:sz w:val="20"/>
          <w:szCs w:val="20"/>
        </w:rPr>
      </w:pPr>
      <w:r w:rsidRPr="00A23EC6">
        <w:rPr>
          <w:rFonts w:ascii="Arial" w:eastAsia="Arial" w:hAnsi="Arial"/>
          <w:sz w:val="20"/>
          <w:szCs w:val="20"/>
        </w:rPr>
        <w:t>Section 1</w:t>
      </w:r>
      <w:r w:rsidRPr="00A23EC6">
        <w:rPr>
          <w:rFonts w:ascii="Arial" w:hAnsi="Arial"/>
          <w:sz w:val="20"/>
          <w:szCs w:val="20"/>
        </w:rPr>
        <w:t>4</w:t>
      </w:r>
      <w:r w:rsidRPr="00A23EC6">
        <w:rPr>
          <w:rFonts w:ascii="Arial" w:eastAsia="Arial" w:hAnsi="Arial"/>
          <w:sz w:val="20"/>
          <w:szCs w:val="20"/>
        </w:rPr>
        <w:tab/>
        <w:t>Effective Date</w:t>
      </w:r>
    </w:p>
    <w:p w14:paraId="7C1239FE" w14:textId="373E1812" w:rsidR="006E4849" w:rsidRPr="00A23EC6" w:rsidRDefault="006E4849" w:rsidP="00530161">
      <w:pPr>
        <w:pStyle w:val="upar1"/>
        <w:spacing w:after="240"/>
        <w:rPr>
          <w:rFonts w:ascii="Arial" w:hAnsi="Arial"/>
          <w:sz w:val="20"/>
          <w:szCs w:val="20"/>
        </w:rPr>
      </w:pPr>
      <w:r w:rsidRPr="00A23EC6">
        <w:rPr>
          <w:rFonts w:ascii="Arial" w:eastAsia="Arial" w:hAnsi="Arial"/>
          <w:sz w:val="20"/>
          <w:szCs w:val="20"/>
        </w:rPr>
        <w:t xml:space="preserve">This regulation shall become effective on </w:t>
      </w:r>
      <w:r w:rsidR="00B15D0C">
        <w:rPr>
          <w:rFonts w:ascii="Arial" w:hAnsi="Arial"/>
          <w:sz w:val="20"/>
          <w:szCs w:val="20"/>
        </w:rPr>
        <w:t>July 30</w:t>
      </w:r>
      <w:r w:rsidRPr="00A23EC6">
        <w:rPr>
          <w:rFonts w:ascii="Arial" w:hAnsi="Arial"/>
          <w:sz w:val="20"/>
          <w:szCs w:val="20"/>
        </w:rPr>
        <w:t>, 2026</w:t>
      </w:r>
    </w:p>
    <w:p w14:paraId="6247BA9C" w14:textId="642E4187" w:rsidR="006E4849" w:rsidRPr="00A23EC6" w:rsidRDefault="006E4849" w:rsidP="00530161">
      <w:pPr>
        <w:pStyle w:val="Title2"/>
        <w:spacing w:after="240"/>
        <w:rPr>
          <w:rFonts w:ascii="Arial" w:hAnsi="Arial"/>
          <w:sz w:val="20"/>
          <w:szCs w:val="20"/>
        </w:rPr>
      </w:pPr>
      <w:r w:rsidRPr="00A23EC6">
        <w:rPr>
          <w:rFonts w:ascii="Arial" w:eastAsia="Arial" w:hAnsi="Arial"/>
          <w:sz w:val="20"/>
          <w:szCs w:val="20"/>
        </w:rPr>
        <w:t>Section 1</w:t>
      </w:r>
      <w:r w:rsidRPr="00A23EC6">
        <w:rPr>
          <w:rFonts w:ascii="Arial" w:hAnsi="Arial"/>
          <w:sz w:val="20"/>
          <w:szCs w:val="20"/>
        </w:rPr>
        <w:t>5</w:t>
      </w:r>
      <w:r w:rsidRPr="00A23EC6">
        <w:rPr>
          <w:rFonts w:ascii="Arial" w:eastAsia="Arial" w:hAnsi="Arial"/>
          <w:sz w:val="20"/>
          <w:szCs w:val="20"/>
        </w:rPr>
        <w:tab/>
        <w:t>History</w:t>
      </w:r>
    </w:p>
    <w:p w14:paraId="74CEDDE4" w14:textId="77777777" w:rsidR="006E4849" w:rsidRPr="00A23EC6" w:rsidRDefault="006E4849" w:rsidP="004E3917">
      <w:pPr>
        <w:pStyle w:val="upar1"/>
        <w:spacing w:after="0"/>
        <w:rPr>
          <w:rFonts w:ascii="Arial" w:hAnsi="Arial"/>
          <w:sz w:val="20"/>
          <w:szCs w:val="20"/>
        </w:rPr>
      </w:pPr>
      <w:r w:rsidRPr="00A23EC6">
        <w:rPr>
          <w:rFonts w:ascii="Arial" w:eastAsia="Arial" w:hAnsi="Arial"/>
          <w:sz w:val="20"/>
          <w:szCs w:val="20"/>
        </w:rPr>
        <w:t xml:space="preserve">New regulation effective June 30, 2024. </w:t>
      </w:r>
    </w:p>
    <w:p w14:paraId="3F237142" w14:textId="7967A0B2" w:rsidR="006E4849" w:rsidRPr="00A23EC6" w:rsidRDefault="006E4849" w:rsidP="004E3917">
      <w:pPr>
        <w:pStyle w:val="upar1"/>
        <w:spacing w:after="0"/>
        <w:rPr>
          <w:rFonts w:ascii="Arial" w:hAnsi="Arial"/>
          <w:sz w:val="20"/>
          <w:szCs w:val="20"/>
        </w:rPr>
      </w:pPr>
      <w:r w:rsidRPr="00A23EC6">
        <w:rPr>
          <w:rFonts w:ascii="Arial" w:hAnsi="Arial"/>
          <w:sz w:val="20"/>
          <w:szCs w:val="20"/>
        </w:rPr>
        <w:t>Amended regulation effective</w:t>
      </w:r>
      <w:r w:rsidR="00CF2904" w:rsidRPr="00A23EC6">
        <w:rPr>
          <w:rFonts w:ascii="Arial" w:hAnsi="Arial"/>
          <w:sz w:val="20"/>
          <w:szCs w:val="20"/>
        </w:rPr>
        <w:t xml:space="preserve"> </w:t>
      </w:r>
      <w:r w:rsidR="00B15D0C">
        <w:rPr>
          <w:rFonts w:ascii="Arial" w:hAnsi="Arial"/>
          <w:sz w:val="20"/>
          <w:szCs w:val="20"/>
        </w:rPr>
        <w:t>July 30</w:t>
      </w:r>
      <w:r w:rsidR="004E3917">
        <w:rPr>
          <w:rFonts w:ascii="Arial" w:hAnsi="Arial"/>
          <w:sz w:val="20"/>
          <w:szCs w:val="20"/>
        </w:rPr>
        <w:t>,</w:t>
      </w:r>
      <w:r w:rsidRPr="00A23EC6">
        <w:rPr>
          <w:rFonts w:ascii="Arial" w:hAnsi="Arial"/>
          <w:sz w:val="20"/>
          <w:szCs w:val="20"/>
        </w:rPr>
        <w:t xml:space="preserve"> 2026</w:t>
      </w:r>
      <w:r w:rsidR="004E3917">
        <w:rPr>
          <w:rFonts w:ascii="Arial" w:hAnsi="Arial"/>
          <w:sz w:val="20"/>
          <w:szCs w:val="20"/>
        </w:rPr>
        <w:t>.</w:t>
      </w:r>
    </w:p>
    <w:sectPr w:rsidR="006E4849" w:rsidRPr="00A23EC6" w:rsidSect="00947832">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633">
      <wne:acd wne:acdName="acd13"/>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Manifest>
    <wne:toolbarData r:id="rId1"/>
  </wne:toolbars>
  <wne:acds>
    <wne:acd wne:argValue="AgBEAGUAcABhAHIAdABtAGUAbgB0AA==" wne:acdName="acd0" wne:fciIndexBasedOn="0065"/>
    <wne:acd wne:argValue="AgBBAGcAZQBuAGMAeQA=" wne:acdName="acd1" wne:fciIndexBasedOn="0065"/>
    <wne:acd wne:argValue="AgBDAEMAUgAgAFQAaQB0AGwAZQA=" wne:acdName="acd2" wne:fciIndexBasedOn="0065"/>
    <wne:acd wne:argValue="AgBDAEMAUgAgAE4AdQBtAGIAZQByAA==" wne:acdName="acd3" wne:fciIndexBasedOn="0065"/>
    <wne:acd wne:argValue="AgBjAGkAdABlAA==" wne:acdName="acd4" wne:fciIndexBasedOn="0065"/>
    <wne:acd wne:argValue="AgBUAGkAdABsAGUAMQA=" wne:acdName="acd5" wne:fciIndexBasedOn="0065"/>
    <wne:acd wne:argValue="AgBUAGkAdABsAGUAMgA=" wne:acdName="acd6" wne:fciIndexBasedOn="0065"/>
    <wne:acd wne:argValue="AgBUAGkAdABsAGUAMwA=" wne:acdName="acd7" wne:fciIndexBasedOn="0065"/>
    <wne:acd wne:argValue="AgBUAGkAdABsAGUANAA=" wne:acdName="acd8" wne:fciIndexBasedOn="0065"/>
    <wne:acd wne:argValue="AgBUAGkAdABsAGUANQA=" wne:acdName="acd9" wne:fciIndexBasedOn="0065"/>
    <wne:acd wne:argValue="AgBUAGkAdABsAGUANgA=" wne:acdName="acd10" wne:fciIndexBasedOn="0065"/>
    <wne:acd wne:argValue="AgB1AHAAYQByADEA" wne:acdName="acd11" wne:fciIndexBasedOn="0065"/>
    <wne:acd wne:argValue="AgB1AHAAYQByADIA" wne:acdName="acd12" wne:fciIndexBasedOn="0065"/>
    <wne:acd wne:argValue="AgB1AHAAYQByADMA" wne:acdName="acd13" wne:fciIndexBasedOn="0065"/>
    <wne:acd wne:argValue="AgB1AHAAYQByADQA" wne:acdName="acd14" wne:fciIndexBasedOn="0065"/>
    <wne:acd wne:argValue="AgB1AHAAYQByADUA" wne:acdName="acd15" wne:fciIndexBasedOn="0065"/>
    <wne:acd wne:argValue="AgB1AHAAYQByADYA" wne:acdName="acd16" wne:fciIndexBasedOn="0065"/>
    <wne:acd wne:argValue="AgBjAHAA" wne:acdName="acd17" wne:fciIndexBasedOn="0065"/>
    <wne:acd wne:argValue="AgBGAG8AbwB0AG4AbwB0AGUA" wne:acdName="acd18" wne:fciIndexBasedOn="0065"/>
    <wne:acd wne:argValue="AgBwAGEAcgAxAA==" wne:acdName="acd19" wne:fciIndexBasedOn="0065"/>
    <wne:acd wne:argValue="AgBwAGEAcgAyAA==" wne:acdName="acd20" wne:fciIndexBasedOn="0065"/>
    <wne:acd wne:argValue="AgBwAGEAcgAzAA==" wne:acdName="acd21" wne:fciIndexBasedOn="0065"/>
    <wne:acd wne:argValue="AgBwAGEAcgA0AA==" wne:acdName="acd22" wne:fciIndexBasedOn="0065"/>
    <wne:acd wne:argValue="AgBwAGEAcgA1AA==" wne:acdName="acd23" wne:fciIndexBasedOn="0065"/>
    <wne:acd wne:argValue="AgBwAGEAcgA2AA==" wne:acdName="acd24" wne:fciIndexBasedOn="0065"/>
    <wne:acd wne:argValue="AgBwAGEAcgA3AA==" wne:acdName="acd25" wne:fciIndexBasedOn="0065"/>
    <wne:acd wne:argValue="AgBwAGEAcgA4AA==" wne:acdName="acd26" wne:fciIndexBasedOn="0065"/>
    <wne:acd wne:argValue="AgBJAG4AbABpAG4AZQAgAEcAcgBhAHAAaABpAGMA" wne:acdName="acd27" wne:fciIndexBasedOn="0065"/>
    <wne:acd wne:argValue="AgBmAGkAZwB1AHIAZQAtAGMAYQBwAHQAaQBvAG4A" wne:acdName="acd28" wne:fciIndexBasedOn="0065"/>
    <wne:acd wne:argValue="AgBmAGkAZwB1AHIAZQAtAGYAaQBsAGUAbgBhAG0AZQA=" wne:acdName="acd29" wne:fciIndexBasedOn="0065"/>
    <wne:acd wne:argValue="AgBmAGkAZwB1AHIAZQAtAG8AcgBpAGUAbgB0AGEAdABpAG8AbgA=" wne:acdName="acd3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749C7" w14:textId="77777777" w:rsidR="00F41040" w:rsidRDefault="00F41040" w:rsidP="009C5126">
      <w:r>
        <w:separator/>
      </w:r>
    </w:p>
  </w:endnote>
  <w:endnote w:type="continuationSeparator" w:id="0">
    <w:p w14:paraId="539A4006" w14:textId="77777777" w:rsidR="00F41040" w:rsidRDefault="00F41040" w:rsidP="009C5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7BE8D" w14:textId="77777777" w:rsidR="00F41040" w:rsidRDefault="00F41040" w:rsidP="009C5126">
      <w:r>
        <w:separator/>
      </w:r>
    </w:p>
  </w:footnote>
  <w:footnote w:type="continuationSeparator" w:id="0">
    <w:p w14:paraId="3958CD72" w14:textId="77777777" w:rsidR="00F41040" w:rsidRDefault="00F41040" w:rsidP="009C51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D35EB" w14:textId="537F5FD1" w:rsidR="005D7AEF" w:rsidRDefault="005D7A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56FDF" w14:textId="588BC5B1" w:rsidR="005D7AEF" w:rsidRDefault="005D7A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C9D8" w14:textId="32FA9DAA" w:rsidR="005D7AEF" w:rsidRDefault="005D7A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CD77C2"/>
    <w:multiLevelType w:val="multilevel"/>
    <w:tmpl w:val="3AE24AD8"/>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0DD841CC"/>
    <w:multiLevelType w:val="multilevel"/>
    <w:tmpl w:val="CC102A5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12F272B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143867E4"/>
    <w:multiLevelType w:val="multilevel"/>
    <w:tmpl w:val="E5CAF2F0"/>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1F5A752C"/>
    <w:multiLevelType w:val="hybridMultilevel"/>
    <w:tmpl w:val="6B089DE8"/>
    <w:lvl w:ilvl="0" w:tplc="373090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FA5230D"/>
    <w:multiLevelType w:val="multilevel"/>
    <w:tmpl w:val="B8E6F9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387C1F34"/>
    <w:multiLevelType w:val="hybridMultilevel"/>
    <w:tmpl w:val="C68EADFE"/>
    <w:lvl w:ilvl="0" w:tplc="1C8A49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9180A11"/>
    <w:multiLevelType w:val="multilevel"/>
    <w:tmpl w:val="E20444C4"/>
    <w:lvl w:ilvl="0">
      <w:start w:val="1"/>
      <w:numFmt w:val="low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16cid:durableId="1514681867">
    <w:abstractNumId w:val="9"/>
  </w:num>
  <w:num w:numId="2" w16cid:durableId="186797841">
    <w:abstractNumId w:val="7"/>
  </w:num>
  <w:num w:numId="3" w16cid:durableId="3438147">
    <w:abstractNumId w:val="6"/>
  </w:num>
  <w:num w:numId="4" w16cid:durableId="1184397017">
    <w:abstractNumId w:val="5"/>
  </w:num>
  <w:num w:numId="5" w16cid:durableId="1032847701">
    <w:abstractNumId w:val="4"/>
  </w:num>
  <w:num w:numId="6" w16cid:durableId="1189828116">
    <w:abstractNumId w:val="8"/>
  </w:num>
  <w:num w:numId="7" w16cid:durableId="13194169">
    <w:abstractNumId w:val="3"/>
  </w:num>
  <w:num w:numId="8" w16cid:durableId="819611672">
    <w:abstractNumId w:val="2"/>
  </w:num>
  <w:num w:numId="9" w16cid:durableId="163672427">
    <w:abstractNumId w:val="1"/>
  </w:num>
  <w:num w:numId="10" w16cid:durableId="1879272560">
    <w:abstractNumId w:val="0"/>
  </w:num>
  <w:num w:numId="11" w16cid:durableId="1082407840">
    <w:abstractNumId w:val="12"/>
  </w:num>
  <w:num w:numId="12" w16cid:durableId="828593712">
    <w:abstractNumId w:val="10"/>
  </w:num>
  <w:num w:numId="13" w16cid:durableId="1128670009">
    <w:abstractNumId w:val="17"/>
  </w:num>
  <w:num w:numId="14" w16cid:durableId="2113502746">
    <w:abstractNumId w:val="15"/>
  </w:num>
  <w:num w:numId="15" w16cid:durableId="147479279">
    <w:abstractNumId w:val="13"/>
  </w:num>
  <w:num w:numId="16" w16cid:durableId="1572160546">
    <w:abstractNumId w:val="11"/>
  </w:num>
  <w:num w:numId="17" w16cid:durableId="297884455">
    <w:abstractNumId w:val="16"/>
  </w:num>
  <w:num w:numId="18" w16cid:durableId="8367723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efaultTableStyle w:val="TableNormal"/>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E68"/>
    <w:rsid w:val="0000490A"/>
    <w:rsid w:val="00016C2E"/>
    <w:rsid w:val="000355D1"/>
    <w:rsid w:val="000374A5"/>
    <w:rsid w:val="000434F3"/>
    <w:rsid w:val="00045F2E"/>
    <w:rsid w:val="00052BCD"/>
    <w:rsid w:val="000578E5"/>
    <w:rsid w:val="0006315B"/>
    <w:rsid w:val="000956AA"/>
    <w:rsid w:val="000B1DCF"/>
    <w:rsid w:val="000B77DA"/>
    <w:rsid w:val="000D38A8"/>
    <w:rsid w:val="000F4BCA"/>
    <w:rsid w:val="000F5E21"/>
    <w:rsid w:val="0011358B"/>
    <w:rsid w:val="001324D0"/>
    <w:rsid w:val="0013422A"/>
    <w:rsid w:val="00136129"/>
    <w:rsid w:val="001375C8"/>
    <w:rsid w:val="001409F9"/>
    <w:rsid w:val="00166CAE"/>
    <w:rsid w:val="00193BA2"/>
    <w:rsid w:val="00194636"/>
    <w:rsid w:val="00196F94"/>
    <w:rsid w:val="001C5878"/>
    <w:rsid w:val="001F0FAC"/>
    <w:rsid w:val="001F5D23"/>
    <w:rsid w:val="00200B1A"/>
    <w:rsid w:val="0020412C"/>
    <w:rsid w:val="00205887"/>
    <w:rsid w:val="00214E33"/>
    <w:rsid w:val="00217015"/>
    <w:rsid w:val="00220736"/>
    <w:rsid w:val="00230272"/>
    <w:rsid w:val="00235366"/>
    <w:rsid w:val="00242CC7"/>
    <w:rsid w:val="002451A9"/>
    <w:rsid w:val="00273DB9"/>
    <w:rsid w:val="00285558"/>
    <w:rsid w:val="002A0193"/>
    <w:rsid w:val="002C3BB8"/>
    <w:rsid w:val="002C5218"/>
    <w:rsid w:val="002C6F74"/>
    <w:rsid w:val="002D279F"/>
    <w:rsid w:val="002E4628"/>
    <w:rsid w:val="00310EF1"/>
    <w:rsid w:val="00320378"/>
    <w:rsid w:val="003347C4"/>
    <w:rsid w:val="00337E03"/>
    <w:rsid w:val="00342864"/>
    <w:rsid w:val="00346084"/>
    <w:rsid w:val="0035615E"/>
    <w:rsid w:val="00361911"/>
    <w:rsid w:val="00362D18"/>
    <w:rsid w:val="003635C9"/>
    <w:rsid w:val="0036510E"/>
    <w:rsid w:val="00366652"/>
    <w:rsid w:val="003761EC"/>
    <w:rsid w:val="003B0522"/>
    <w:rsid w:val="003C40AB"/>
    <w:rsid w:val="003C4CBB"/>
    <w:rsid w:val="003D2E68"/>
    <w:rsid w:val="003E4248"/>
    <w:rsid w:val="003E4BAD"/>
    <w:rsid w:val="003F1C21"/>
    <w:rsid w:val="00453407"/>
    <w:rsid w:val="00455534"/>
    <w:rsid w:val="00463730"/>
    <w:rsid w:val="00472E4E"/>
    <w:rsid w:val="00492B8F"/>
    <w:rsid w:val="004931F4"/>
    <w:rsid w:val="004A497D"/>
    <w:rsid w:val="004A54A0"/>
    <w:rsid w:val="004B0C10"/>
    <w:rsid w:val="004C4A52"/>
    <w:rsid w:val="004D26B4"/>
    <w:rsid w:val="004E14B5"/>
    <w:rsid w:val="004E161A"/>
    <w:rsid w:val="004E3917"/>
    <w:rsid w:val="004E724F"/>
    <w:rsid w:val="004F0141"/>
    <w:rsid w:val="004F187C"/>
    <w:rsid w:val="004F3903"/>
    <w:rsid w:val="00512C23"/>
    <w:rsid w:val="0052071F"/>
    <w:rsid w:val="00530161"/>
    <w:rsid w:val="005316E2"/>
    <w:rsid w:val="0054540F"/>
    <w:rsid w:val="00573E74"/>
    <w:rsid w:val="00574A15"/>
    <w:rsid w:val="005922BD"/>
    <w:rsid w:val="005B362F"/>
    <w:rsid w:val="005C5A9E"/>
    <w:rsid w:val="005D5038"/>
    <w:rsid w:val="005D6DB4"/>
    <w:rsid w:val="005D7AEF"/>
    <w:rsid w:val="005E3262"/>
    <w:rsid w:val="005E3709"/>
    <w:rsid w:val="00605080"/>
    <w:rsid w:val="006140F2"/>
    <w:rsid w:val="00614C5A"/>
    <w:rsid w:val="00651B78"/>
    <w:rsid w:val="00670053"/>
    <w:rsid w:val="0068018E"/>
    <w:rsid w:val="00681883"/>
    <w:rsid w:val="00691CDE"/>
    <w:rsid w:val="006C1090"/>
    <w:rsid w:val="006C664B"/>
    <w:rsid w:val="006D1856"/>
    <w:rsid w:val="006D21C0"/>
    <w:rsid w:val="006E4849"/>
    <w:rsid w:val="00726C5A"/>
    <w:rsid w:val="0073739C"/>
    <w:rsid w:val="00740CCD"/>
    <w:rsid w:val="00756300"/>
    <w:rsid w:val="00762642"/>
    <w:rsid w:val="00770010"/>
    <w:rsid w:val="00796036"/>
    <w:rsid w:val="007A0F18"/>
    <w:rsid w:val="007A3A49"/>
    <w:rsid w:val="007C36F4"/>
    <w:rsid w:val="007D5A4A"/>
    <w:rsid w:val="007D7EEC"/>
    <w:rsid w:val="007E728D"/>
    <w:rsid w:val="007F2CFF"/>
    <w:rsid w:val="00804448"/>
    <w:rsid w:val="00835BCB"/>
    <w:rsid w:val="00841C32"/>
    <w:rsid w:val="008465E3"/>
    <w:rsid w:val="008A709E"/>
    <w:rsid w:val="008A7FC9"/>
    <w:rsid w:val="008D3194"/>
    <w:rsid w:val="00910382"/>
    <w:rsid w:val="00935476"/>
    <w:rsid w:val="00944001"/>
    <w:rsid w:val="00944B99"/>
    <w:rsid w:val="00946342"/>
    <w:rsid w:val="00947832"/>
    <w:rsid w:val="00951181"/>
    <w:rsid w:val="009649D7"/>
    <w:rsid w:val="00982D59"/>
    <w:rsid w:val="0099478C"/>
    <w:rsid w:val="00994E43"/>
    <w:rsid w:val="00997327"/>
    <w:rsid w:val="009B6F88"/>
    <w:rsid w:val="009C5126"/>
    <w:rsid w:val="009D4BF1"/>
    <w:rsid w:val="009E0A72"/>
    <w:rsid w:val="009E1566"/>
    <w:rsid w:val="009E7BFB"/>
    <w:rsid w:val="009F3BE3"/>
    <w:rsid w:val="009F5755"/>
    <w:rsid w:val="00A01ED0"/>
    <w:rsid w:val="00A026BF"/>
    <w:rsid w:val="00A04887"/>
    <w:rsid w:val="00A23EC6"/>
    <w:rsid w:val="00A2629A"/>
    <w:rsid w:val="00A34EB7"/>
    <w:rsid w:val="00A40B22"/>
    <w:rsid w:val="00A63B59"/>
    <w:rsid w:val="00A82182"/>
    <w:rsid w:val="00AB0817"/>
    <w:rsid w:val="00AB54DD"/>
    <w:rsid w:val="00AB6B32"/>
    <w:rsid w:val="00AD19ED"/>
    <w:rsid w:val="00AE1ADC"/>
    <w:rsid w:val="00AF00EF"/>
    <w:rsid w:val="00AF5678"/>
    <w:rsid w:val="00B01A2E"/>
    <w:rsid w:val="00B06D7F"/>
    <w:rsid w:val="00B15D0C"/>
    <w:rsid w:val="00B25468"/>
    <w:rsid w:val="00B4091C"/>
    <w:rsid w:val="00B436F4"/>
    <w:rsid w:val="00B44CC3"/>
    <w:rsid w:val="00B5659D"/>
    <w:rsid w:val="00B60727"/>
    <w:rsid w:val="00B60A03"/>
    <w:rsid w:val="00B628BF"/>
    <w:rsid w:val="00B81A32"/>
    <w:rsid w:val="00B97474"/>
    <w:rsid w:val="00B975E4"/>
    <w:rsid w:val="00BA08E5"/>
    <w:rsid w:val="00BA495A"/>
    <w:rsid w:val="00BB0960"/>
    <w:rsid w:val="00BC691E"/>
    <w:rsid w:val="00BF10C7"/>
    <w:rsid w:val="00BF29F4"/>
    <w:rsid w:val="00C12306"/>
    <w:rsid w:val="00C136FB"/>
    <w:rsid w:val="00C13DBB"/>
    <w:rsid w:val="00C333DB"/>
    <w:rsid w:val="00C355E9"/>
    <w:rsid w:val="00C35D85"/>
    <w:rsid w:val="00C61A70"/>
    <w:rsid w:val="00C65DF7"/>
    <w:rsid w:val="00C87AEA"/>
    <w:rsid w:val="00CA293A"/>
    <w:rsid w:val="00CD06F3"/>
    <w:rsid w:val="00CD5735"/>
    <w:rsid w:val="00CF2904"/>
    <w:rsid w:val="00D05327"/>
    <w:rsid w:val="00D24BE5"/>
    <w:rsid w:val="00D42425"/>
    <w:rsid w:val="00D72C14"/>
    <w:rsid w:val="00D87165"/>
    <w:rsid w:val="00DB1E52"/>
    <w:rsid w:val="00DC0D06"/>
    <w:rsid w:val="00DC0FC6"/>
    <w:rsid w:val="00DD2F38"/>
    <w:rsid w:val="00DD3741"/>
    <w:rsid w:val="00DE11D2"/>
    <w:rsid w:val="00DE6E16"/>
    <w:rsid w:val="00DF0958"/>
    <w:rsid w:val="00E030A8"/>
    <w:rsid w:val="00E0484B"/>
    <w:rsid w:val="00E122B5"/>
    <w:rsid w:val="00E350CD"/>
    <w:rsid w:val="00E35CF0"/>
    <w:rsid w:val="00E37D64"/>
    <w:rsid w:val="00E43338"/>
    <w:rsid w:val="00E46752"/>
    <w:rsid w:val="00E506E7"/>
    <w:rsid w:val="00E607A5"/>
    <w:rsid w:val="00EC53EB"/>
    <w:rsid w:val="00EE4100"/>
    <w:rsid w:val="00F15F6E"/>
    <w:rsid w:val="00F1632E"/>
    <w:rsid w:val="00F232A2"/>
    <w:rsid w:val="00F41040"/>
    <w:rsid w:val="00F51D5A"/>
    <w:rsid w:val="00F60E8B"/>
    <w:rsid w:val="00F61B21"/>
    <w:rsid w:val="00F638CC"/>
    <w:rsid w:val="00F8151A"/>
    <w:rsid w:val="00F8368E"/>
    <w:rsid w:val="00F9125B"/>
    <w:rsid w:val="00FB5422"/>
    <w:rsid w:val="00FB6142"/>
    <w:rsid w:val="00FB6F24"/>
    <w:rsid w:val="00FC371D"/>
    <w:rsid w:val="00FD0E5E"/>
    <w:rsid w:val="00FD5CAD"/>
    <w:rsid w:val="00FE0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71963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uiPriority="99"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3BA2"/>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qFormat/>
    <w:pPr>
      <w:keepNext/>
      <w:spacing w:after="60"/>
      <w:outlineLvl w:val="0"/>
    </w:pPr>
    <w:rPr>
      <w:b/>
      <w:bCs/>
      <w:kern w:val="32"/>
      <w:sz w:val="32"/>
      <w:szCs w:val="32"/>
    </w:rPr>
  </w:style>
  <w:style w:type="paragraph" w:styleId="Heading2">
    <w:name w:val="heading 2"/>
    <w:basedOn w:val="Normal"/>
    <w:next w:val="Normal"/>
    <w:qFormat/>
    <w:pPr>
      <w:keepNext/>
      <w:spacing w:after="60"/>
      <w:outlineLvl w:val="1"/>
    </w:pPr>
    <w:rPr>
      <w:b/>
      <w:bCs/>
      <w:i/>
      <w:iCs/>
      <w:sz w:val="28"/>
      <w:szCs w:val="28"/>
    </w:rPr>
  </w:style>
  <w:style w:type="paragraph" w:styleId="Heading3">
    <w:name w:val="heading 3"/>
    <w:basedOn w:val="Normal"/>
    <w:next w:val="Normal"/>
    <w:qFormat/>
    <w:pPr>
      <w:keepNext/>
      <w:spacing w:after="60"/>
      <w:outlineLvl w:val="2"/>
    </w:pPr>
    <w:rPr>
      <w:b/>
      <w:bCs/>
      <w:sz w:val="26"/>
      <w:szCs w:val="26"/>
    </w:rPr>
  </w:style>
  <w:style w:type="character" w:default="1" w:styleId="DefaultParagraphFont">
    <w:name w:val="Default Paragraph Font"/>
    <w:uiPriority w:val="1"/>
    <w:semiHidden/>
    <w:unhideWhenUsed/>
    <w:rsid w:val="00193B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3BA2"/>
  </w:style>
  <w:style w:type="paragraph" w:customStyle="1" w:styleId="Department">
    <w:name w:val="Department"/>
    <w:pPr>
      <w:jc w:val="center"/>
    </w:pPr>
    <w:rPr>
      <w:rFonts w:ascii="Arial" w:hAnsi="Arial" w:cs="Arial"/>
      <w:b/>
      <w:bCs/>
      <w:caps/>
      <w:sz w:val="28"/>
      <w:szCs w:val="28"/>
    </w:rPr>
  </w:style>
  <w:style w:type="paragraph" w:customStyle="1" w:styleId="Agency">
    <w:name w:val="Agency"/>
    <w:basedOn w:val="Normal"/>
    <w:pPr>
      <w:jc w:val="center"/>
    </w:pPr>
    <w:rPr>
      <w:b/>
      <w:bCs/>
      <w:sz w:val="28"/>
      <w:szCs w:val="28"/>
    </w:rPr>
  </w:style>
  <w:style w:type="paragraph" w:customStyle="1" w:styleId="CCRNumber">
    <w:name w:val="CCR Number"/>
    <w:pPr>
      <w:spacing w:before="240"/>
      <w:jc w:val="center"/>
    </w:pPr>
    <w:rPr>
      <w:rFonts w:ascii="Arial" w:hAnsi="Arial" w:cs="Arial"/>
      <w:b/>
      <w:bCs/>
      <w:caps/>
      <w:sz w:val="24"/>
      <w:szCs w:val="24"/>
    </w:rPr>
  </w:style>
  <w:style w:type="paragraph" w:customStyle="1" w:styleId="CCRTitle">
    <w:name w:val="CCR Title"/>
    <w:pPr>
      <w:spacing w:before="240"/>
      <w:jc w:val="center"/>
    </w:pPr>
    <w:rPr>
      <w:rFonts w:ascii="Arial" w:hAnsi="Arial" w:cs="Arial"/>
      <w:b/>
      <w:bCs/>
      <w:caps/>
      <w:sz w:val="24"/>
      <w:szCs w:val="24"/>
    </w:rPr>
  </w:style>
  <w:style w:type="paragraph" w:customStyle="1" w:styleId="Title1">
    <w:name w:val="Title1"/>
    <w:basedOn w:val="Normal"/>
    <w:rsid w:val="00C333DB"/>
    <w:pPr>
      <w:tabs>
        <w:tab w:val="left" w:pos="720"/>
        <w:tab w:val="left" w:pos="1440"/>
        <w:tab w:val="left" w:pos="2160"/>
      </w:tabs>
      <w:ind w:left="720" w:hanging="720"/>
    </w:pPr>
    <w:rPr>
      <w:rFonts w:cs="Arial"/>
      <w:b/>
      <w:bCs/>
    </w:rPr>
  </w:style>
  <w:style w:type="paragraph" w:customStyle="1" w:styleId="Title5">
    <w:name w:val="Title5"/>
    <w:basedOn w:val="Title2"/>
  </w:style>
  <w:style w:type="character" w:customStyle="1" w:styleId="cite">
    <w:name w:val="cite"/>
    <w:rPr>
      <w:color w:val="008080"/>
    </w:rPr>
  </w:style>
  <w:style w:type="paragraph" w:customStyle="1" w:styleId="par1">
    <w:name w:val="par1"/>
    <w:basedOn w:val="Normal"/>
    <w:link w:val="par1Char"/>
    <w:rsid w:val="004F3903"/>
    <w:pPr>
      <w:tabs>
        <w:tab w:val="left" w:pos="720"/>
        <w:tab w:val="left" w:pos="1440"/>
        <w:tab w:val="left" w:pos="2160"/>
      </w:tabs>
      <w:ind w:left="720" w:hanging="720"/>
    </w:pPr>
  </w:style>
  <w:style w:type="paragraph" w:customStyle="1" w:styleId="cp">
    <w:name w:val="cp"/>
    <w:basedOn w:val="Normal"/>
    <w:pPr>
      <w:jc w:val="center"/>
    </w:pPr>
  </w:style>
  <w:style w:type="paragraph" w:customStyle="1" w:styleId="par2">
    <w:name w:val="par2"/>
    <w:basedOn w:val="par1"/>
    <w:pPr>
      <w:ind w:left="1440"/>
    </w:pPr>
  </w:style>
  <w:style w:type="paragraph" w:customStyle="1" w:styleId="upar2">
    <w:name w:val="upar2"/>
    <w:basedOn w:val="upar1"/>
    <w:rsid w:val="00835BCB"/>
    <w:pPr>
      <w:ind w:left="720"/>
    </w:pPr>
  </w:style>
  <w:style w:type="paragraph" w:customStyle="1" w:styleId="upar1">
    <w:name w:val="upar1"/>
    <w:basedOn w:val="Normal"/>
    <w:rsid w:val="00C333DB"/>
    <w:pPr>
      <w:tabs>
        <w:tab w:val="left" w:pos="720"/>
        <w:tab w:val="left" w:pos="1440"/>
      </w:tabs>
    </w:pPr>
    <w:rPr>
      <w:rFonts w:cs="Arial"/>
    </w:rPr>
  </w:style>
  <w:style w:type="paragraph" w:customStyle="1" w:styleId="upar3">
    <w:name w:val="upar3"/>
    <w:basedOn w:val="upar1"/>
    <w:pPr>
      <w:ind w:left="1440"/>
    </w:pPr>
  </w:style>
  <w:style w:type="paragraph" w:customStyle="1" w:styleId="Title2">
    <w:name w:val="Title2"/>
    <w:basedOn w:val="Title1"/>
  </w:style>
  <w:style w:type="paragraph" w:customStyle="1" w:styleId="Title3">
    <w:name w:val="Title3"/>
    <w:basedOn w:val="Title2"/>
  </w:style>
  <w:style w:type="paragraph" w:customStyle="1" w:styleId="Title4">
    <w:name w:val="Title4"/>
    <w:basedOn w:val="Title2"/>
  </w:style>
  <w:style w:type="paragraph" w:customStyle="1" w:styleId="upar4">
    <w:name w:val="upar4"/>
    <w:basedOn w:val="upar1"/>
    <w:pPr>
      <w:ind w:left="2160"/>
    </w:pPr>
  </w:style>
  <w:style w:type="paragraph" w:customStyle="1" w:styleId="par3">
    <w:name w:val="par3"/>
    <w:basedOn w:val="par1"/>
    <w:pPr>
      <w:ind w:left="2160"/>
    </w:pPr>
  </w:style>
  <w:style w:type="paragraph" w:customStyle="1" w:styleId="par4">
    <w:name w:val="par4"/>
    <w:basedOn w:val="par1"/>
    <w:pPr>
      <w:ind w:left="2880"/>
    </w:pPr>
  </w:style>
  <w:style w:type="paragraph" w:customStyle="1" w:styleId="figure-caption">
    <w:name w:val="figure-caption"/>
    <w:basedOn w:val="Normal"/>
    <w:rPr>
      <w:color w:val="800080"/>
    </w:rPr>
  </w:style>
  <w:style w:type="paragraph" w:customStyle="1" w:styleId="figure-orientation">
    <w:name w:val="figure-orientation"/>
    <w:basedOn w:val="Normal"/>
    <w:rPr>
      <w:color w:val="800080"/>
    </w:rPr>
  </w:style>
  <w:style w:type="paragraph" w:customStyle="1" w:styleId="figure-filename">
    <w:name w:val="figure-filename"/>
    <w:basedOn w:val="Normal"/>
    <w:rsid w:val="003D2E68"/>
    <w:rPr>
      <w:color w:val="800080"/>
    </w:rPr>
  </w:style>
  <w:style w:type="paragraph" w:customStyle="1" w:styleId="par5">
    <w:name w:val="par5"/>
    <w:basedOn w:val="par1"/>
    <w:pPr>
      <w:ind w:left="3600"/>
    </w:pPr>
  </w:style>
  <w:style w:type="paragraph" w:customStyle="1" w:styleId="upar5">
    <w:name w:val="upar5"/>
    <w:basedOn w:val="upar1"/>
    <w:pPr>
      <w:ind w:left="2880"/>
    </w:pPr>
  </w:style>
  <w:style w:type="character" w:customStyle="1" w:styleId="provision">
    <w:name w:val="provision"/>
    <w:rPr>
      <w:rFonts w:ascii="Arial" w:hAnsi="Arial" w:cs="Arial"/>
      <w:color w:val="333399"/>
      <w:sz w:val="20"/>
      <w:szCs w:val="20"/>
    </w:rPr>
  </w:style>
  <w:style w:type="character" w:customStyle="1" w:styleId="eff">
    <w:name w:val="eff"/>
    <w:rPr>
      <w:rFonts w:ascii="Arial" w:hAnsi="Arial" w:cs="Arial"/>
      <w:i/>
      <w:iCs/>
      <w:color w:val="0000FF"/>
      <w:sz w:val="20"/>
      <w:szCs w:val="20"/>
    </w:rPr>
  </w:style>
  <w:style w:type="paragraph" w:customStyle="1" w:styleId="Title6">
    <w:name w:val="Title6"/>
    <w:basedOn w:val="Title2"/>
  </w:style>
  <w:style w:type="paragraph" w:customStyle="1" w:styleId="par6">
    <w:name w:val="par6"/>
    <w:basedOn w:val="par1"/>
    <w:pPr>
      <w:ind w:left="4320"/>
    </w:pPr>
  </w:style>
  <w:style w:type="paragraph" w:customStyle="1" w:styleId="upar6">
    <w:name w:val="upar6"/>
    <w:basedOn w:val="upar1"/>
    <w:pPr>
      <w:ind w:left="3600"/>
    </w:pPr>
  </w:style>
  <w:style w:type="paragraph" w:customStyle="1" w:styleId="par7">
    <w:name w:val="par7"/>
    <w:basedOn w:val="par6"/>
  </w:style>
  <w:style w:type="paragraph" w:customStyle="1" w:styleId="upar7">
    <w:name w:val="upar7"/>
    <w:basedOn w:val="upar6"/>
  </w:style>
  <w:style w:type="paragraph" w:customStyle="1" w:styleId="upar8">
    <w:name w:val="upar8"/>
    <w:basedOn w:val="upar6"/>
  </w:style>
  <w:style w:type="paragraph" w:customStyle="1" w:styleId="upar9">
    <w:name w:val="upar9"/>
    <w:basedOn w:val="par6"/>
  </w:style>
  <w:style w:type="paragraph" w:customStyle="1" w:styleId="par8">
    <w:name w:val="par8"/>
    <w:basedOn w:val="par7"/>
  </w:style>
  <w:style w:type="character" w:customStyle="1" w:styleId="InlineGraphic">
    <w:name w:val="Inline Graphic"/>
    <w:rPr>
      <w:rFonts w:ascii="Arial" w:hAnsi="Arial" w:cs="Arial"/>
      <w:color w:val="FF6600"/>
      <w:sz w:val="20"/>
      <w:szCs w:val="20"/>
    </w:rPr>
  </w:style>
  <w:style w:type="paragraph" w:customStyle="1" w:styleId="Footnote">
    <w:name w:val="Footnote"/>
    <w:basedOn w:val="Normal"/>
    <w:pPr>
      <w:spacing w:before="120"/>
    </w:pPr>
    <w:rPr>
      <w:sz w:val="16"/>
      <w:szCs w:val="16"/>
    </w:rPr>
  </w:style>
  <w:style w:type="paragraph" w:styleId="Title">
    <w:name w:val="Title"/>
    <w:basedOn w:val="Normal"/>
    <w:link w:val="TitleChar"/>
    <w:uiPriority w:val="99"/>
    <w:qFormat/>
    <w:rsid w:val="00361911"/>
    <w:pPr>
      <w:jc w:val="center"/>
    </w:pPr>
    <w:rPr>
      <w:b/>
      <w:bCs/>
      <w:sz w:val="32"/>
      <w:szCs w:val="32"/>
      <w:lang w:val="x-none" w:eastAsia="x-none"/>
    </w:rPr>
  </w:style>
  <w:style w:type="character" w:customStyle="1" w:styleId="TitleChar">
    <w:name w:val="Title Char"/>
    <w:link w:val="Title"/>
    <w:uiPriority w:val="99"/>
    <w:rsid w:val="00361911"/>
    <w:rPr>
      <w:rFonts w:ascii="Arial" w:hAnsi="Arial"/>
      <w:b/>
      <w:bCs/>
      <w:sz w:val="32"/>
      <w:szCs w:val="32"/>
    </w:rPr>
  </w:style>
  <w:style w:type="paragraph" w:styleId="CommentText">
    <w:name w:val="annotation text"/>
    <w:basedOn w:val="Normal"/>
    <w:link w:val="CommentTextChar"/>
    <w:uiPriority w:val="99"/>
    <w:rsid w:val="00FB5422"/>
    <w:rPr>
      <w:rFonts w:ascii="Times New Roman" w:hAnsi="Times New Roman"/>
    </w:rPr>
  </w:style>
  <w:style w:type="character" w:customStyle="1" w:styleId="CommentTextChar">
    <w:name w:val="Comment Text Char"/>
    <w:basedOn w:val="DefaultParagraphFont"/>
    <w:link w:val="CommentText"/>
    <w:uiPriority w:val="99"/>
    <w:rsid w:val="00FB5422"/>
  </w:style>
  <w:style w:type="character" w:styleId="CommentReference">
    <w:name w:val="annotation reference"/>
    <w:uiPriority w:val="99"/>
    <w:rsid w:val="00FB5422"/>
    <w:rPr>
      <w:sz w:val="16"/>
      <w:szCs w:val="16"/>
    </w:rPr>
  </w:style>
  <w:style w:type="paragraph" w:styleId="BalloonText">
    <w:name w:val="Balloon Text"/>
    <w:basedOn w:val="Normal"/>
    <w:link w:val="BalloonTextChar"/>
    <w:rsid w:val="00FB5422"/>
    <w:rPr>
      <w:rFonts w:ascii="Tahoma" w:hAnsi="Tahoma"/>
      <w:sz w:val="16"/>
      <w:szCs w:val="16"/>
      <w:lang w:val="x-none" w:eastAsia="x-none"/>
    </w:rPr>
  </w:style>
  <w:style w:type="character" w:customStyle="1" w:styleId="BalloonTextChar">
    <w:name w:val="Balloon Text Char"/>
    <w:link w:val="BalloonText"/>
    <w:rsid w:val="00FB5422"/>
    <w:rPr>
      <w:rFonts w:ascii="Tahoma" w:hAnsi="Tahoma" w:cs="Tahoma"/>
      <w:sz w:val="16"/>
      <w:szCs w:val="16"/>
    </w:rPr>
  </w:style>
  <w:style w:type="paragraph" w:styleId="CommentSubject">
    <w:name w:val="annotation subject"/>
    <w:basedOn w:val="CommentText"/>
    <w:next w:val="CommentText"/>
    <w:link w:val="CommentSubjectChar"/>
    <w:rsid w:val="00E37D64"/>
    <w:pPr>
      <w:spacing w:before="240"/>
    </w:pPr>
    <w:rPr>
      <w:rFonts w:ascii="Arial" w:hAnsi="Arial"/>
      <w:b/>
      <w:bCs/>
      <w:lang w:val="x-none" w:eastAsia="x-none"/>
    </w:rPr>
  </w:style>
  <w:style w:type="character" w:customStyle="1" w:styleId="CommentSubjectChar">
    <w:name w:val="Comment Subject Char"/>
    <w:link w:val="CommentSubject"/>
    <w:rsid w:val="00E37D64"/>
    <w:rPr>
      <w:rFonts w:ascii="Arial" w:hAnsi="Arial"/>
      <w:b/>
      <w:bCs/>
    </w:rPr>
  </w:style>
  <w:style w:type="paragraph" w:styleId="Revision">
    <w:name w:val="Revision"/>
    <w:hidden/>
    <w:uiPriority w:val="99"/>
    <w:semiHidden/>
    <w:rsid w:val="00E37D64"/>
    <w:rPr>
      <w:rFonts w:ascii="Arial" w:hAnsi="Arial"/>
    </w:rPr>
  </w:style>
  <w:style w:type="paragraph" w:styleId="DocumentMap">
    <w:name w:val="Document Map"/>
    <w:basedOn w:val="Normal"/>
    <w:link w:val="DocumentMapChar"/>
    <w:rsid w:val="002E4628"/>
    <w:rPr>
      <w:rFonts w:ascii="Tahoma" w:hAnsi="Tahoma"/>
      <w:sz w:val="16"/>
      <w:szCs w:val="16"/>
      <w:lang w:val="x-none" w:eastAsia="x-none"/>
    </w:rPr>
  </w:style>
  <w:style w:type="character" w:customStyle="1" w:styleId="DocumentMapChar">
    <w:name w:val="Document Map Char"/>
    <w:link w:val="DocumentMap"/>
    <w:rsid w:val="002E4628"/>
    <w:rPr>
      <w:rFonts w:ascii="Tahoma" w:hAnsi="Tahoma" w:cs="Tahoma"/>
      <w:sz w:val="16"/>
      <w:szCs w:val="16"/>
    </w:rPr>
  </w:style>
  <w:style w:type="character" w:styleId="Hyperlink">
    <w:name w:val="Hyperlink"/>
    <w:rsid w:val="00B628BF"/>
    <w:rPr>
      <w:color w:val="0000FF"/>
      <w:u w:val="single"/>
    </w:rPr>
  </w:style>
  <w:style w:type="paragraph" w:styleId="Header">
    <w:name w:val="header"/>
    <w:basedOn w:val="Normal"/>
    <w:link w:val="HeaderChar"/>
    <w:rsid w:val="009C5126"/>
    <w:pPr>
      <w:tabs>
        <w:tab w:val="center" w:pos="4680"/>
        <w:tab w:val="right" w:pos="9360"/>
      </w:tabs>
    </w:pPr>
    <w:rPr>
      <w:lang w:val="x-none" w:eastAsia="x-none"/>
    </w:rPr>
  </w:style>
  <w:style w:type="character" w:customStyle="1" w:styleId="HeaderChar">
    <w:name w:val="Header Char"/>
    <w:link w:val="Header"/>
    <w:rsid w:val="009C5126"/>
    <w:rPr>
      <w:rFonts w:ascii="Arial" w:hAnsi="Arial"/>
    </w:rPr>
  </w:style>
  <w:style w:type="paragraph" w:styleId="Footer">
    <w:name w:val="footer"/>
    <w:basedOn w:val="Normal"/>
    <w:link w:val="FooterChar"/>
    <w:rsid w:val="009C5126"/>
    <w:pPr>
      <w:tabs>
        <w:tab w:val="center" w:pos="4680"/>
        <w:tab w:val="right" w:pos="9360"/>
      </w:tabs>
    </w:pPr>
    <w:rPr>
      <w:lang w:val="x-none" w:eastAsia="x-none"/>
    </w:rPr>
  </w:style>
  <w:style w:type="character" w:customStyle="1" w:styleId="FooterChar">
    <w:name w:val="Footer Char"/>
    <w:link w:val="Footer"/>
    <w:rsid w:val="009C5126"/>
    <w:rPr>
      <w:rFonts w:ascii="Arial" w:hAnsi="Arial"/>
    </w:rPr>
  </w:style>
  <w:style w:type="character" w:customStyle="1" w:styleId="par1Char">
    <w:name w:val="par1 Char"/>
    <w:link w:val="par1"/>
    <w:locked/>
    <w:rsid w:val="00FB6142"/>
    <w:rPr>
      <w:rFonts w:ascii="Arial" w:hAnsi="Arial"/>
      <w:szCs w:val="24"/>
    </w:rPr>
  </w:style>
  <w:style w:type="character" w:styleId="FollowedHyperlink">
    <w:name w:val="FollowedHyperlink"/>
    <w:rsid w:val="006C664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60432">
      <w:bodyDiv w:val="1"/>
      <w:marLeft w:val="0"/>
      <w:marRight w:val="0"/>
      <w:marTop w:val="0"/>
      <w:marBottom w:val="0"/>
      <w:divBdr>
        <w:top w:val="none" w:sz="0" w:space="0" w:color="auto"/>
        <w:left w:val="none" w:sz="0" w:space="0" w:color="auto"/>
        <w:bottom w:val="none" w:sz="0" w:space="0" w:color="auto"/>
        <w:right w:val="none" w:sz="0" w:space="0" w:color="auto"/>
      </w:divBdr>
    </w:div>
    <w:div w:id="190413185">
      <w:bodyDiv w:val="1"/>
      <w:marLeft w:val="0"/>
      <w:marRight w:val="0"/>
      <w:marTop w:val="0"/>
      <w:marBottom w:val="0"/>
      <w:divBdr>
        <w:top w:val="none" w:sz="0" w:space="0" w:color="auto"/>
        <w:left w:val="none" w:sz="0" w:space="0" w:color="auto"/>
        <w:bottom w:val="none" w:sz="0" w:space="0" w:color="auto"/>
        <w:right w:val="none" w:sz="0" w:space="0" w:color="auto"/>
      </w:divBdr>
    </w:div>
    <w:div w:id="279074772">
      <w:bodyDiv w:val="1"/>
      <w:marLeft w:val="0"/>
      <w:marRight w:val="0"/>
      <w:marTop w:val="0"/>
      <w:marBottom w:val="0"/>
      <w:divBdr>
        <w:top w:val="none" w:sz="0" w:space="0" w:color="auto"/>
        <w:left w:val="none" w:sz="0" w:space="0" w:color="auto"/>
        <w:bottom w:val="none" w:sz="0" w:space="0" w:color="auto"/>
        <w:right w:val="none" w:sz="0" w:space="0" w:color="auto"/>
      </w:divBdr>
    </w:div>
    <w:div w:id="1996882220">
      <w:bodyDiv w:val="1"/>
      <w:marLeft w:val="0"/>
      <w:marRight w:val="0"/>
      <w:marTop w:val="0"/>
      <w:marBottom w:val="0"/>
      <w:divBdr>
        <w:top w:val="none" w:sz="0" w:space="0" w:color="auto"/>
        <w:left w:val="none" w:sz="0" w:space="0" w:color="auto"/>
        <w:bottom w:val="none" w:sz="0" w:space="0" w:color="auto"/>
        <w:right w:val="none" w:sz="0" w:space="0" w:color="auto"/>
      </w:divBdr>
    </w:div>
    <w:div w:id="211373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2249</Words>
  <Characters>12823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2026-06-10T15:18:00Z</dcterms:created>
  <dcterms:modified xsi:type="dcterms:W3CDTF">2026-06-10T15:30:00Z</dcterms:modified>
</cp:coreProperties>
</file>