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027F238C" w:rsidR="00E569F8" w:rsidRPr="00AB0930" w:rsidRDefault="00AB0930" w:rsidP="00AB0930">
      <w:pPr>
        <w:pStyle w:val="Heading1"/>
      </w:pPr>
      <w:r w:rsidRPr="007176E9">
        <w:t>CIGARETTE TAX, TOBACCO ESCROW FUNDS - MASTER SETTLEMENT AGREEMENT, TOBACCO PRODUCTS TAX, NICOTINE PRODUCTS TAX</w:t>
      </w:r>
    </w:p>
    <w:p w14:paraId="435A0CBB" w14:textId="28DBE447" w:rsidR="00E569F8" w:rsidRDefault="00E569F8" w:rsidP="00E569F8">
      <w:pPr>
        <w:pStyle w:val="Upar1Bold"/>
      </w:pPr>
      <w:r w:rsidRPr="00B70233">
        <w:t>1 CCR 201</w:t>
      </w:r>
      <w:r w:rsidR="00486518" w:rsidRPr="00486518">
        <w:t>-</w:t>
      </w:r>
      <w:r w:rsidR="00AB0930">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10B6C661" w14:textId="77777777" w:rsidR="00AB0930" w:rsidRPr="007176E9" w:rsidRDefault="00AB0930" w:rsidP="00AB0930">
      <w:pPr>
        <w:pStyle w:val="Heading2"/>
      </w:pPr>
      <w:r w:rsidRPr="007176E9">
        <w:t>Rule 39-28.6-102.  Manufacturer’s List Price.</w:t>
      </w:r>
    </w:p>
    <w:p w14:paraId="4EE5319B" w14:textId="5602B440" w:rsidR="00AB0930" w:rsidRPr="007176E9" w:rsidRDefault="00AB0930" w:rsidP="00AB0930">
      <w:pPr>
        <w:pStyle w:val="upar1"/>
        <w:rPr>
          <w:szCs w:val="24"/>
        </w:rPr>
      </w:pPr>
      <w:r w:rsidRPr="007176E9">
        <w:rPr>
          <w:b/>
          <w:szCs w:val="24"/>
        </w:rPr>
        <w:t>Basis and Purpose.</w:t>
      </w:r>
      <w:r w:rsidRPr="007176E9">
        <w:rPr>
          <w:szCs w:val="24"/>
        </w:rPr>
        <w:t xml:space="preserve"> The statutory bases for this rule are sections 39-21-112, 39-28.6-102(5), and 39-28.6-103, C.R.S. The purpose of this rule is to provide clarification on the definition of manufacturer’s list price.</w:t>
      </w:r>
    </w:p>
    <w:p w14:paraId="49ACF441" w14:textId="77777777" w:rsidR="00AB0930" w:rsidRPr="007176E9" w:rsidRDefault="00AB0930" w:rsidP="00AB0930">
      <w:pPr>
        <w:pStyle w:val="par1"/>
      </w:pPr>
      <w:r w:rsidRPr="007176E9">
        <w:t>(1)</w:t>
      </w:r>
      <w:r w:rsidRPr="007176E9">
        <w:tab/>
        <w:t xml:space="preserve">As used in the definition of “manufacturer’s list price” in section 39-28.6-102(5), C.R.S., the term “invoice price” includes all consideration the manufacturer or supplier receives from the distributor in whatever form and regardless of the time of receipt. The term “invoice price” also includes </w:t>
      </w:r>
      <w:proofErr w:type="gramStart"/>
      <w:r w:rsidRPr="007176E9">
        <w:t>any and all</w:t>
      </w:r>
      <w:proofErr w:type="gramEnd"/>
      <w:r w:rsidRPr="007176E9">
        <w:t xml:space="preserve"> charges reflected on an invoice from the manufacturer or supplier to the distributor, whether separately stated or not, including, but not limited to, any federal excise tax and any charge for shipping, transportation, and storage.</w:t>
      </w:r>
    </w:p>
    <w:p w14:paraId="0B233F81" w14:textId="77777777" w:rsidR="00AB0930" w:rsidRPr="007176E9" w:rsidRDefault="00AB0930" w:rsidP="00AB0930">
      <w:pPr>
        <w:pStyle w:val="par2"/>
      </w:pPr>
      <w:r w:rsidRPr="007176E9">
        <w:t>(a)</w:t>
      </w:r>
      <w:r w:rsidRPr="007176E9">
        <w:tab/>
        <w:t>The “invoice price” for a nicotine product does not include any separately stated charges for non-nicotine products listed on the same invoice. “Non-nicotine products” are any tangible personal property that is not a nicotine product as defined in section 39-28.6-102(7), C.R.S.</w:t>
      </w:r>
    </w:p>
    <w:p w14:paraId="6247DBD4" w14:textId="77777777" w:rsidR="00AB0930" w:rsidRPr="007176E9" w:rsidRDefault="00AB0930" w:rsidP="00AB0930">
      <w:pPr>
        <w:pStyle w:val="par2"/>
      </w:pPr>
      <w:r w:rsidRPr="007176E9">
        <w:t>(b)</w:t>
      </w:r>
      <w:r w:rsidRPr="007176E9">
        <w:tab/>
        <w:t>If services provided in connection with the purchase of both nicotine products and non-nicotine products are aggregated on an invoice, the “invoice price” may exclude the portion of any aggregated charges that are properly allocable to non-nicotine products. The portion of any aggregated service charges that are properly allocable to non-nicotine products shall be determined by multiplying such charges by a fraction, the numerator of which is the sum total of all non-nicotine products on the invoice and the denominator of which is the sum total of all nicotine and non-nicotine products on the invoice, excluding from both the numerator and denominator any discounts or other price reductions allowed by the manufacturer or supplier.</w:t>
      </w:r>
    </w:p>
    <w:p w14:paraId="79C9350B" w14:textId="77777777" w:rsidR="00AB0930" w:rsidRPr="007176E9" w:rsidRDefault="00AB0930" w:rsidP="00AB0930">
      <w:pPr>
        <w:pStyle w:val="par1"/>
      </w:pPr>
      <w:r w:rsidRPr="007176E9">
        <w:t xml:space="preserve">(2) </w:t>
      </w:r>
      <w:r w:rsidRPr="007176E9">
        <w:tab/>
        <w:t xml:space="preserve">As used in the definition of “manufacturer’s list price” in section 39-28.6-102(5)(c), C.R.S.: </w:t>
      </w:r>
    </w:p>
    <w:p w14:paraId="3704EFD1" w14:textId="77777777" w:rsidR="00AB0930" w:rsidRPr="007176E9" w:rsidRDefault="00AB0930" w:rsidP="00305F70">
      <w:pPr>
        <w:pStyle w:val="par2"/>
      </w:pPr>
      <w:r w:rsidRPr="007176E9">
        <w:lastRenderedPageBreak/>
        <w:t>(a)</w:t>
      </w:r>
      <w:r w:rsidRPr="007176E9">
        <w:tab/>
        <w:t xml:space="preserve">“Manufacturing overhead” means manufacturing expenses paid or incurred that are indirectly attributable to the production of finished nicotine products. </w:t>
      </w:r>
    </w:p>
    <w:p w14:paraId="5370F27A" w14:textId="77777777" w:rsidR="00AB0930" w:rsidRPr="007176E9" w:rsidRDefault="00AB0930" w:rsidP="00305F70">
      <w:pPr>
        <w:pStyle w:val="par3"/>
      </w:pPr>
      <w:r w:rsidRPr="007176E9">
        <w:t>(</w:t>
      </w:r>
      <w:proofErr w:type="spellStart"/>
      <w:r w:rsidRPr="007176E9">
        <w:t>i</w:t>
      </w:r>
      <w:proofErr w:type="spellEnd"/>
      <w:r w:rsidRPr="007176E9">
        <w:t>)</w:t>
      </w:r>
      <w:r w:rsidRPr="007176E9">
        <w:tab/>
        <w:t>“Manufacturing overhead” includes depreciation, repairs and maintenance, rent and utilities for the production facilities and equipment, product quality testing equipment and supplies, materials and ingredients used in the manufacturing process that are not incorporated into the finished nicotine product, and similar indirect manufacturing expenses.</w:t>
      </w:r>
    </w:p>
    <w:p w14:paraId="2F130C16" w14:textId="77777777" w:rsidR="00AB0930" w:rsidRPr="007176E9" w:rsidRDefault="00AB0930" w:rsidP="00305F70">
      <w:pPr>
        <w:pStyle w:val="par3"/>
      </w:pPr>
      <w:r w:rsidRPr="007176E9">
        <w:t>(ii)</w:t>
      </w:r>
      <w:r w:rsidRPr="007176E9">
        <w:tab/>
        <w:t>“Manufacturing overhead” does not include expenses for research and development, selling, distribution, marketing, finance, information technology, human resources, legal activities, and similar general and administrative expenses.</w:t>
      </w:r>
    </w:p>
    <w:p w14:paraId="08C372B3" w14:textId="77777777" w:rsidR="00AB0930" w:rsidRPr="007176E9" w:rsidRDefault="00AB0930" w:rsidP="00305F70">
      <w:pPr>
        <w:pStyle w:val="par3"/>
      </w:pPr>
      <w:r w:rsidRPr="007176E9">
        <w:t>(iii)</w:t>
      </w:r>
      <w:r w:rsidRPr="007176E9">
        <w:tab/>
        <w:t>Manufacturing overhead must be allocated to each product unit by a reasonable and consistent pro-rata accounting method.</w:t>
      </w:r>
    </w:p>
    <w:p w14:paraId="4D13F42D" w14:textId="77777777" w:rsidR="00AB0930" w:rsidRPr="007176E9" w:rsidRDefault="00AB0930" w:rsidP="00305F70">
      <w:pPr>
        <w:pStyle w:val="par2"/>
      </w:pPr>
      <w:bookmarkStart w:id="0" w:name="_Hlk206594713"/>
      <w:r w:rsidRPr="007176E9">
        <w:t>(b)</w:t>
      </w:r>
      <w:r w:rsidRPr="007176E9">
        <w:tab/>
        <w:t xml:space="preserve">“Direct materials” means raw materials, ingredients, and components that </w:t>
      </w:r>
      <w:proofErr w:type="gramStart"/>
      <w:r w:rsidRPr="007176E9">
        <w:t>enter into</w:t>
      </w:r>
      <w:proofErr w:type="gramEnd"/>
      <w:r w:rsidRPr="007176E9">
        <w:t xml:space="preserve"> the production of nicotine products and are traceable to the finished nicotine product. </w:t>
      </w:r>
      <w:bookmarkEnd w:id="0"/>
    </w:p>
    <w:p w14:paraId="118B3034" w14:textId="77777777" w:rsidR="00AB0930" w:rsidRPr="007176E9" w:rsidRDefault="00AB0930" w:rsidP="00AB0930">
      <w:pPr>
        <w:pStyle w:val="par2"/>
      </w:pPr>
      <w:r w:rsidRPr="007176E9">
        <w:t>(c)</w:t>
      </w:r>
      <w:r w:rsidRPr="007176E9">
        <w:tab/>
        <w:t>“Direct labor” includes the wages, salaries, benefits, and taxes paid or incurred to, or with respect to, employees that directly produce the finished nicotine products. “Direct labor” does not include expenses paid or incurred to, or with respect to, indirect laborers such as supervisors, maintenance employees, materials handlers, or quality assurance employees. “Direct labor” also does not include expenses paid or incurred to, or with respect to, general and administrative employees.</w:t>
      </w:r>
    </w:p>
    <w:p w14:paraId="5364100E" w14:textId="3BC94A0D" w:rsidR="00AB0930" w:rsidRDefault="00AB0930" w:rsidP="005A0AFA">
      <w:pPr>
        <w:pStyle w:val="par1"/>
      </w:pPr>
      <w:r w:rsidRPr="007176E9">
        <w:t>(3)</w:t>
      </w:r>
      <w:r w:rsidRPr="007176E9">
        <w:tab/>
        <w:t xml:space="preserve">For the purpose of calculating the tax due, the manufacturer’s list price is determined without regard to any discounts or other price reductions allowed by the manufacturer or supplier. </w:t>
      </w:r>
    </w:p>
    <w:p w14:paraId="6391DD02" w14:textId="3828CFC0" w:rsidR="00486518" w:rsidRPr="00BF6E0D" w:rsidRDefault="00486518" w:rsidP="00AB0930">
      <w:pPr>
        <w:pStyle w:val="Heading2"/>
      </w:pPr>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216F" w14:textId="77777777" w:rsidR="00142B76" w:rsidRDefault="00142B76" w:rsidP="00112A8C">
      <w:r>
        <w:separator/>
      </w:r>
    </w:p>
  </w:endnote>
  <w:endnote w:type="continuationSeparator" w:id="0">
    <w:p w14:paraId="2A0C63B9" w14:textId="77777777" w:rsidR="00142B76" w:rsidRDefault="00142B7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E8645" w14:textId="77777777" w:rsidR="00142B76" w:rsidRDefault="00142B76" w:rsidP="00112A8C">
      <w:r>
        <w:separator/>
      </w:r>
    </w:p>
  </w:footnote>
  <w:footnote w:type="continuationSeparator" w:id="0">
    <w:p w14:paraId="4CA8F35C" w14:textId="77777777" w:rsidR="00142B76" w:rsidRDefault="00142B7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1" w:name="_Hlk220342015"/>
    <w:bookmarkStart w:id="2" w:name="_Hlk220342016"/>
    <w:bookmarkStart w:id="3" w:name="_Hlk220342063"/>
    <w:bookmarkStart w:id="4" w:name="_Hlk220342064"/>
    <w:bookmarkStart w:id="5" w:name="_Hlk226463999"/>
    <w:bookmarkStart w:id="6"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1"/>
  <w:bookmarkEnd w:id="2"/>
  <w:bookmarkEnd w:id="3"/>
  <w:bookmarkEnd w:id="4"/>
  <w:bookmarkEnd w:id="5"/>
  <w:bookmarkEnd w:id="6"/>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146B3B"/>
    <w:multiLevelType w:val="multilevel"/>
    <w:tmpl w:val="F0F805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563F6707"/>
    <w:multiLevelType w:val="multilevel"/>
    <w:tmpl w:val="C42209AC"/>
    <w:numStyleLink w:val="CDOSCCR"/>
  </w:abstractNum>
  <w:abstractNum w:abstractNumId="13"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3"/>
  </w:num>
  <w:num w:numId="12" w16cid:durableId="236018032">
    <w:abstractNumId w:val="11"/>
  </w:num>
  <w:num w:numId="13" w16cid:durableId="2116245184">
    <w:abstractNumId w:val="12"/>
    <w:lvlOverride w:ilvl="0">
      <w:lvl w:ilvl="0">
        <w:start w:val="1"/>
        <w:numFmt w:val="upperLetter"/>
        <w:lvlText w:val="%1."/>
        <w:lvlJc w:val="left"/>
        <w:pPr>
          <w:ind w:left="720" w:hanging="720"/>
        </w:pPr>
        <w:rPr>
          <w:rFonts w:hint="default"/>
          <w:color w:val="auto"/>
        </w:rPr>
      </w:lvl>
    </w:lvlOverride>
  </w:num>
  <w:num w:numId="14" w16cid:durableId="1832137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2B76"/>
    <w:rsid w:val="001453E5"/>
    <w:rsid w:val="001552DF"/>
    <w:rsid w:val="0018020C"/>
    <w:rsid w:val="001A68F2"/>
    <w:rsid w:val="001C2929"/>
    <w:rsid w:val="001C4A71"/>
    <w:rsid w:val="001D7598"/>
    <w:rsid w:val="001E3BA2"/>
    <w:rsid w:val="001F227D"/>
    <w:rsid w:val="002451A9"/>
    <w:rsid w:val="0027177D"/>
    <w:rsid w:val="002B27B6"/>
    <w:rsid w:val="002B3611"/>
    <w:rsid w:val="002C3A77"/>
    <w:rsid w:val="002C4265"/>
    <w:rsid w:val="00304210"/>
    <w:rsid w:val="00305F70"/>
    <w:rsid w:val="003161F6"/>
    <w:rsid w:val="00356142"/>
    <w:rsid w:val="00362D18"/>
    <w:rsid w:val="003635C9"/>
    <w:rsid w:val="003800C9"/>
    <w:rsid w:val="0039186E"/>
    <w:rsid w:val="00396731"/>
    <w:rsid w:val="003B38AB"/>
    <w:rsid w:val="003D2E68"/>
    <w:rsid w:val="003D78E1"/>
    <w:rsid w:val="003E4BAD"/>
    <w:rsid w:val="00402A62"/>
    <w:rsid w:val="004473C7"/>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AFA"/>
    <w:rsid w:val="005A0C7D"/>
    <w:rsid w:val="005A7C00"/>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0930"/>
    <w:rsid w:val="00AB58A8"/>
    <w:rsid w:val="00AD4552"/>
    <w:rsid w:val="00AE61D0"/>
    <w:rsid w:val="00AE630F"/>
    <w:rsid w:val="00AF4B9E"/>
    <w:rsid w:val="00B0153D"/>
    <w:rsid w:val="00B25468"/>
    <w:rsid w:val="00B44F6D"/>
    <w:rsid w:val="00B617A6"/>
    <w:rsid w:val="00B707A7"/>
    <w:rsid w:val="00B75CB6"/>
    <w:rsid w:val="00BB226C"/>
    <w:rsid w:val="00BB7319"/>
    <w:rsid w:val="00BE25DC"/>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AB0930"/>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2026-06-30T17:43:00Z</dcterms:created>
  <dcterms:modified xsi:type="dcterms:W3CDTF">2026-06-30T17:43:00Z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