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line="278" w:lineRule="auto" w:before="82"/>
        <w:ind w:left="3772" w:right="3750"/>
        <w:jc w:val="center"/>
      </w:pPr>
      <w:r>
        <w:rPr/>
        <w:t>Colorado Department of Revenue Division of Motor Vehicles Adoption of Emergency Rule:</w:t>
      </w:r>
    </w:p>
    <w:p>
      <w:pPr>
        <w:spacing w:before="0"/>
        <w:ind w:left="208" w:right="186" w:firstLine="0"/>
        <w:jc w:val="center"/>
        <w:rPr>
          <w:b/>
          <w:sz w:val="22"/>
        </w:rPr>
      </w:pPr>
      <w:r>
        <w:rPr>
          <w:b/>
          <w:sz w:val="22"/>
        </w:rPr>
        <w:t>Revised Rule 1, 1 CCR 204-30 – Rules for Application for a Colorado Road and Community Safety Act Identification Documents 42-2-501</w:t>
      </w:r>
    </w:p>
    <w:p>
      <w:pPr>
        <w:spacing w:before="38"/>
        <w:ind w:left="208" w:right="186" w:firstLine="0"/>
        <w:jc w:val="center"/>
        <w:rPr>
          <w:b/>
          <w:sz w:val="22"/>
        </w:rPr>
      </w:pPr>
      <w:r>
        <w:rPr>
          <w:b/>
          <w:sz w:val="22"/>
        </w:rPr>
        <w:t>Revised Rule 17, 1 CCR 204-30 - Fees for </w:t>
      </w:r>
      <w:r>
        <w:rPr>
          <w:b/>
          <w:spacing w:val="-3"/>
          <w:sz w:val="22"/>
        </w:rPr>
        <w:t>Testing </w:t>
      </w:r>
      <w:r>
        <w:rPr>
          <w:b/>
          <w:sz w:val="22"/>
        </w:rPr>
        <w:t>and For Issuance of Records, Licenses, Permits</w:t>
      </w:r>
      <w:r>
        <w:rPr>
          <w:b/>
          <w:spacing w:val="-11"/>
          <w:sz w:val="22"/>
        </w:rPr>
        <w:t> </w:t>
      </w:r>
      <w:r>
        <w:rPr>
          <w:b/>
          <w:sz w:val="22"/>
        </w:rPr>
        <w:t>and Identification Documents by the Colorado Department of</w:t>
      </w:r>
      <w:r>
        <w:rPr>
          <w:b/>
          <w:spacing w:val="-7"/>
          <w:sz w:val="22"/>
        </w:rPr>
        <w:t> </w:t>
      </w:r>
      <w:r>
        <w:rPr>
          <w:b/>
          <w:sz w:val="22"/>
        </w:rPr>
        <w:t>Revenue</w:t>
      </w:r>
    </w:p>
    <w:p>
      <w:pPr>
        <w:pStyle w:val="BodyText"/>
        <w:spacing w:before="11"/>
        <w:rPr>
          <w:b/>
          <w:sz w:val="28"/>
        </w:rPr>
      </w:pPr>
    </w:p>
    <w:p>
      <w:pPr>
        <w:spacing w:before="0"/>
        <w:ind w:left="205" w:right="186" w:firstLine="0"/>
        <w:jc w:val="center"/>
        <w:rPr>
          <w:b/>
          <w:sz w:val="22"/>
        </w:rPr>
      </w:pPr>
      <w:r>
        <w:rPr>
          <w:b/>
          <w:sz w:val="22"/>
        </w:rPr>
        <w:t>Statement of Basis, Purpose and Justification of Emergency</w:t>
      </w:r>
      <w:r>
        <w:rPr>
          <w:b/>
          <w:spacing w:val="-8"/>
          <w:sz w:val="22"/>
        </w:rPr>
        <w:t> </w:t>
      </w:r>
      <w:r>
        <w:rPr>
          <w:b/>
          <w:sz w:val="22"/>
        </w:rPr>
        <w:t>Rules</w:t>
      </w:r>
    </w:p>
    <w:p>
      <w:pPr>
        <w:pStyle w:val="BodyText"/>
        <w:spacing w:before="11"/>
        <w:rPr>
          <w:b/>
          <w:sz w:val="28"/>
        </w:rPr>
      </w:pPr>
    </w:p>
    <w:p>
      <w:pPr>
        <w:pStyle w:val="BodyText"/>
        <w:ind w:left="119"/>
      </w:pPr>
      <w:r>
        <w:rPr/>
        <w:t>Pursuant to section 24-4-103(6)(a), C.R.S., the Colorado Department of Revenue, Division of Motor Vehicles (“Department”) hereby amends Rule 1 and Rule 17, 1 CCR 204-30.</w:t>
      </w:r>
    </w:p>
    <w:p>
      <w:pPr>
        <w:pStyle w:val="BodyText"/>
      </w:pPr>
    </w:p>
    <w:p>
      <w:pPr>
        <w:pStyle w:val="Heading1"/>
      </w:pPr>
      <w:r>
        <w:rPr/>
        <w:t>Basis:</w:t>
      </w:r>
    </w:p>
    <w:p>
      <w:pPr>
        <w:pStyle w:val="BodyText"/>
        <w:rPr>
          <w:b/>
        </w:rPr>
      </w:pPr>
    </w:p>
    <w:p>
      <w:pPr>
        <w:pStyle w:val="BodyText"/>
        <w:spacing w:line="276" w:lineRule="auto"/>
        <w:ind w:left="119" w:right="147"/>
      </w:pPr>
      <w:r>
        <w:rPr/>
        <w:t>The DRIVES cash fund is the primary source of funding for DMV operations. This fund is made up of revenue generated by the DMV’s services, including fees for driver licenses and identification cards, registration and title fees, specific ownership tax collections, motorist insurance identification database fees, and other miscellaneous items. Fees for the DMV’s services are intended to support the DMV’s operations.</w:t>
      </w:r>
    </w:p>
    <w:p>
      <w:pPr>
        <w:pStyle w:val="BodyText"/>
        <w:spacing w:before="3"/>
        <w:rPr>
          <w:sz w:val="25"/>
        </w:rPr>
      </w:pPr>
    </w:p>
    <w:p>
      <w:pPr>
        <w:pStyle w:val="BodyText"/>
        <w:spacing w:line="276" w:lineRule="auto" w:before="1"/>
        <w:ind w:left="119" w:right="147"/>
      </w:pPr>
      <w:r>
        <w:rPr/>
        <w:t>DMV’s revenue has not kept pace with cost escalations for many years. While stop-gap actions have been taken to delay the depletion of the cash in the DRIVES fund, no ongoing changes have been made to address the long-term downward trajectory of this fund balance.</w:t>
      </w:r>
    </w:p>
    <w:p>
      <w:pPr>
        <w:pStyle w:val="BodyText"/>
        <w:spacing w:before="3"/>
        <w:rPr>
          <w:sz w:val="25"/>
        </w:rPr>
      </w:pPr>
    </w:p>
    <w:p>
      <w:pPr>
        <w:pStyle w:val="BodyText"/>
        <w:spacing w:line="276" w:lineRule="auto"/>
        <w:ind w:left="119" w:right="147"/>
      </w:pPr>
      <w:r>
        <w:rPr/>
        <w:t>Current projections indicate that, without immediate action, the account will be unable to meet its financial obligations by Fall 2027, with an operating deficit projected to be more than $13 million in FY 2026-27. The impact of operating for years at a significant annual loss will lead to the depletion of the $38 million fund balance by the end of FY 2026-27 with the fund dropping to a negative position early in FY 2027-28.</w:t>
      </w:r>
    </w:p>
    <w:p>
      <w:pPr>
        <w:pStyle w:val="BodyText"/>
        <w:spacing w:before="3"/>
        <w:rPr>
          <w:sz w:val="25"/>
        </w:rPr>
      </w:pPr>
    </w:p>
    <w:p>
      <w:pPr>
        <w:pStyle w:val="BodyText"/>
        <w:spacing w:line="276" w:lineRule="auto"/>
        <w:ind w:left="119" w:right="112"/>
      </w:pPr>
      <w:r>
        <w:rPr/>
        <w:t>If this fund becomes insolvent, it will impact critical driver and vehicle services for Colorado residents. This includes issuing driver licenses and identification cards according to state and federal regulations, managing registration and title fees, conducting non-commercial and commercial driver testing and education, maintaining driver records, overseeing the state's ignition interlock program, processing specific ownership tax collections, and managing motorist insurance identification database fees. The cessation of these services will severely impact residents' access to employment, housing, and safe transportation, and will compromise</w:t>
      </w:r>
      <w:r>
        <w:rPr>
          <w:spacing w:val="-13"/>
        </w:rPr>
        <w:t> </w:t>
      </w:r>
      <w:r>
        <w:rPr/>
        <w:t>public safety on our</w:t>
      </w:r>
      <w:r>
        <w:rPr>
          <w:spacing w:val="-3"/>
        </w:rPr>
        <w:t> </w:t>
      </w:r>
      <w:r>
        <w:rPr/>
        <w:t>roads.</w:t>
      </w:r>
    </w:p>
    <w:p>
      <w:pPr>
        <w:pStyle w:val="BodyText"/>
        <w:spacing w:before="4"/>
        <w:rPr>
          <w:sz w:val="25"/>
        </w:rPr>
      </w:pPr>
    </w:p>
    <w:p>
      <w:pPr>
        <w:pStyle w:val="BodyText"/>
        <w:spacing w:line="276" w:lineRule="auto"/>
        <w:ind w:left="119" w:right="123"/>
      </w:pPr>
      <w:r>
        <w:rPr/>
        <w:t>The unavailability of DMV services would result in significant disruptions. The cessation of issuing and renewing driver's licenses and vehicle registrations would invalidate existing credentials, prevent individuals from renewing essential documents for legal driving and vehicle ownership, and expose them to potential fines and legal ramifications. Law enforcement's access to crucial vehicle and driver information for investigations and enforcement would be impaired. Furthermore, external entities like insurance companies and financial institutions that depend on DMV data for verification purposes would be negatively impacted.</w:t>
      </w:r>
    </w:p>
    <w:p>
      <w:pPr>
        <w:spacing w:after="0" w:line="276" w:lineRule="auto"/>
        <w:sectPr>
          <w:type w:val="continuous"/>
          <w:pgSz w:w="12240" w:h="15840"/>
          <w:pgMar w:top="1220" w:bottom="280" w:left="600" w:right="620"/>
        </w:sectPr>
      </w:pPr>
    </w:p>
    <w:p>
      <w:pPr>
        <w:pStyle w:val="Heading1"/>
        <w:spacing w:before="80"/>
      </w:pPr>
      <w:r>
        <w:rPr/>
        <w:t>Purpose:</w:t>
      </w:r>
    </w:p>
    <w:p>
      <w:pPr>
        <w:pStyle w:val="BodyText"/>
        <w:spacing w:before="3"/>
        <w:rPr>
          <w:b/>
          <w:sz w:val="25"/>
        </w:rPr>
      </w:pPr>
    </w:p>
    <w:p>
      <w:pPr>
        <w:pStyle w:val="BodyText"/>
        <w:spacing w:line="276" w:lineRule="auto"/>
        <w:ind w:left="119" w:right="147"/>
      </w:pPr>
      <w:r>
        <w:rPr/>
        <w:t>To mitigate the potential insolvency of the DRIVES Cash Fund, the DMV will implement an emergency rule to increase fees for the credentials described in Rule 1 and Rule 17, within 1 CCR 204-30. The specific fee increases are detailed in the attached emergency rule. These increased fees are projected to generate a portion of the revenue needed to maintain the solvency of the account and ensure the continued provision of essential services while the Department begins permanent rule making.</w:t>
      </w:r>
    </w:p>
    <w:p>
      <w:pPr>
        <w:pStyle w:val="BodyText"/>
        <w:spacing w:before="3"/>
        <w:rPr>
          <w:sz w:val="25"/>
        </w:rPr>
      </w:pPr>
    </w:p>
    <w:p>
      <w:pPr>
        <w:pStyle w:val="Heading1"/>
        <w:spacing w:before="1"/>
      </w:pPr>
      <w:r>
        <w:rPr/>
        <w:t>Justification</w:t>
      </w:r>
    </w:p>
    <w:p>
      <w:pPr>
        <w:pStyle w:val="BodyText"/>
        <w:spacing w:before="11"/>
        <w:rPr>
          <w:b/>
          <w:sz w:val="21"/>
        </w:rPr>
      </w:pPr>
    </w:p>
    <w:p>
      <w:pPr>
        <w:pStyle w:val="BodyText"/>
        <w:spacing w:line="276" w:lineRule="auto"/>
        <w:ind w:left="119" w:right="147"/>
      </w:pPr>
      <w:r>
        <w:rPr/>
        <w:t>The DMV finds that an emergency exists that is imperative necessary to protect the public welfare. This emergency is the impending insolvency of the DRIVES Cash Fund and the direct and imminent threat of service denial. The following factors necessitate emergency rulemaking:</w:t>
      </w:r>
    </w:p>
    <w:p>
      <w:pPr>
        <w:pStyle w:val="BodyText"/>
        <w:spacing w:before="10"/>
        <w:rPr>
          <w:sz w:val="20"/>
        </w:rPr>
      </w:pPr>
    </w:p>
    <w:p>
      <w:pPr>
        <w:pStyle w:val="ListParagraph"/>
        <w:numPr>
          <w:ilvl w:val="0"/>
          <w:numId w:val="1"/>
        </w:numPr>
        <w:tabs>
          <w:tab w:pos="840" w:val="left" w:leader="none"/>
        </w:tabs>
        <w:spacing w:line="276" w:lineRule="auto" w:before="0" w:after="0"/>
        <w:ind w:left="839" w:right="693" w:hanging="360"/>
        <w:jc w:val="both"/>
        <w:rPr>
          <w:sz w:val="22"/>
        </w:rPr>
      </w:pPr>
      <w:r>
        <w:rPr>
          <w:b/>
          <w:sz w:val="22"/>
        </w:rPr>
        <w:t>Imminent Insolvency: </w:t>
      </w:r>
      <w:r>
        <w:rPr>
          <w:sz w:val="22"/>
        </w:rPr>
        <w:t>The DRIVES Cash Fund is projected to become insolvent in less than</w:t>
      </w:r>
      <w:r>
        <w:rPr>
          <w:spacing w:val="-14"/>
          <w:sz w:val="22"/>
        </w:rPr>
        <w:t> </w:t>
      </w:r>
      <w:r>
        <w:rPr>
          <w:sz w:val="22"/>
        </w:rPr>
        <w:t>two years.</w:t>
      </w:r>
    </w:p>
    <w:p>
      <w:pPr>
        <w:pStyle w:val="ListParagraph"/>
        <w:numPr>
          <w:ilvl w:val="0"/>
          <w:numId w:val="1"/>
        </w:numPr>
        <w:tabs>
          <w:tab w:pos="840" w:val="left" w:leader="none"/>
        </w:tabs>
        <w:spacing w:line="276" w:lineRule="auto" w:before="0" w:after="0"/>
        <w:ind w:left="839" w:right="448" w:hanging="360"/>
        <w:jc w:val="both"/>
        <w:rPr>
          <w:sz w:val="22"/>
        </w:rPr>
      </w:pPr>
      <w:r>
        <w:rPr>
          <w:b/>
          <w:sz w:val="22"/>
        </w:rPr>
        <w:t>Direct Service Impact: </w:t>
      </w:r>
      <w:r>
        <w:rPr>
          <w:sz w:val="22"/>
        </w:rPr>
        <w:t>Insolvency of the account will directly and immediately result in the denial</w:t>
      </w:r>
      <w:r>
        <w:rPr>
          <w:spacing w:val="-15"/>
          <w:sz w:val="22"/>
        </w:rPr>
        <w:t> </w:t>
      </w:r>
      <w:r>
        <w:rPr>
          <w:sz w:val="22"/>
        </w:rPr>
        <w:t>of essential services. There is no alternative funding source or mechanism to continue providing these services without a solvent</w:t>
      </w:r>
      <w:r>
        <w:rPr>
          <w:spacing w:val="-4"/>
          <w:sz w:val="22"/>
        </w:rPr>
        <w:t> </w:t>
      </w:r>
      <w:r>
        <w:rPr>
          <w:sz w:val="22"/>
        </w:rPr>
        <w:t>account.</w:t>
      </w:r>
    </w:p>
    <w:p>
      <w:pPr>
        <w:pStyle w:val="ListParagraph"/>
        <w:numPr>
          <w:ilvl w:val="0"/>
          <w:numId w:val="1"/>
        </w:numPr>
        <w:tabs>
          <w:tab w:pos="839" w:val="left" w:leader="none"/>
          <w:tab w:pos="840" w:val="left" w:leader="none"/>
        </w:tabs>
        <w:spacing w:line="276" w:lineRule="auto" w:before="0" w:after="0"/>
        <w:ind w:left="839" w:right="113" w:hanging="360"/>
        <w:jc w:val="left"/>
        <w:rPr>
          <w:sz w:val="22"/>
        </w:rPr>
      </w:pPr>
      <w:r>
        <w:rPr>
          <w:b/>
          <w:sz w:val="22"/>
        </w:rPr>
        <w:t>Severity of Consequences: </w:t>
      </w:r>
      <w:r>
        <w:rPr>
          <w:sz w:val="22"/>
        </w:rPr>
        <w:t>The denial of these services will have significant and detrimental impacts on customers that rely on these services from residents to business and financial institutions both from within and outside of Colorado. These impacts include, but are not limited to disruption in issuing and renewing driver's licenses and vehicle registrations, both of which are essential for legal driving and vehicle ownership and potentially render existing licenses and registrations invalid. People would be unable to renew their driver's licenses or vehicle registrations, leading to potential fines or legal issues</w:t>
      </w:r>
      <w:r>
        <w:rPr>
          <w:spacing w:val="-16"/>
          <w:sz w:val="22"/>
        </w:rPr>
        <w:t> </w:t>
      </w:r>
      <w:r>
        <w:rPr>
          <w:sz w:val="22"/>
        </w:rPr>
        <w:t>if they continue driving without valid documentation. Law enforcement agencies rely on DMV records for identifying vehicles and drivers, and the inability to provide these services would disrupt their ability to access this information, potentially hindering investigations and enforcement efforts; and agencies that rely on DMV data, such as insurance companies and financial institutions, would also be affected as they would not be able to verify vehicle information or driver's license</w:t>
      </w:r>
      <w:r>
        <w:rPr>
          <w:spacing w:val="-16"/>
          <w:sz w:val="22"/>
        </w:rPr>
        <w:t> </w:t>
      </w:r>
      <w:r>
        <w:rPr>
          <w:sz w:val="22"/>
        </w:rPr>
        <w:t>validity.</w:t>
      </w:r>
    </w:p>
    <w:p>
      <w:pPr>
        <w:pStyle w:val="ListParagraph"/>
        <w:numPr>
          <w:ilvl w:val="0"/>
          <w:numId w:val="1"/>
        </w:numPr>
        <w:tabs>
          <w:tab w:pos="839" w:val="left" w:leader="none"/>
          <w:tab w:pos="840" w:val="left" w:leader="none"/>
        </w:tabs>
        <w:spacing w:line="276" w:lineRule="auto" w:before="0" w:after="0"/>
        <w:ind w:left="839" w:right="134" w:hanging="360"/>
        <w:jc w:val="left"/>
        <w:rPr>
          <w:sz w:val="22"/>
        </w:rPr>
      </w:pPr>
      <w:r>
        <w:rPr>
          <w:b/>
          <w:sz w:val="22"/>
        </w:rPr>
        <w:t>Time Sensitivity: </w:t>
      </w:r>
      <w:r>
        <w:rPr>
          <w:sz w:val="22"/>
        </w:rPr>
        <w:t>The standard rulemaking process, which requires notice and comment, cannot be completed quickly enough to address this emergency. Delaying the implementation of the fee</w:t>
      </w:r>
      <w:r>
        <w:rPr>
          <w:spacing w:val="-30"/>
          <w:sz w:val="22"/>
        </w:rPr>
        <w:t> </w:t>
      </w:r>
      <w:r>
        <w:rPr>
          <w:sz w:val="22"/>
        </w:rPr>
        <w:t>increases will exacerbate the problem, further jeopardizing the solvency of the</w:t>
      </w:r>
      <w:r>
        <w:rPr>
          <w:spacing w:val="-10"/>
          <w:sz w:val="22"/>
        </w:rPr>
        <w:t> </w:t>
      </w:r>
      <w:r>
        <w:rPr>
          <w:sz w:val="22"/>
        </w:rPr>
        <w:t>account.</w:t>
      </w:r>
    </w:p>
    <w:p>
      <w:pPr>
        <w:pStyle w:val="ListParagraph"/>
        <w:numPr>
          <w:ilvl w:val="0"/>
          <w:numId w:val="1"/>
        </w:numPr>
        <w:tabs>
          <w:tab w:pos="840" w:val="left" w:leader="none"/>
        </w:tabs>
        <w:spacing w:line="276" w:lineRule="auto" w:before="0" w:after="0"/>
        <w:ind w:left="839" w:right="363" w:hanging="360"/>
        <w:jc w:val="both"/>
        <w:rPr>
          <w:sz w:val="22"/>
        </w:rPr>
      </w:pPr>
      <w:r>
        <w:rPr>
          <w:b/>
          <w:sz w:val="22"/>
        </w:rPr>
        <w:t>Lack of Alternatives: </w:t>
      </w:r>
      <w:r>
        <w:rPr>
          <w:sz w:val="22"/>
        </w:rPr>
        <w:t>There are no other immediate measures available to prevent the insolvency</w:t>
      </w:r>
      <w:r>
        <w:rPr>
          <w:spacing w:val="-14"/>
          <w:sz w:val="22"/>
        </w:rPr>
        <w:t> </w:t>
      </w:r>
      <w:r>
        <w:rPr>
          <w:sz w:val="22"/>
        </w:rPr>
        <w:t>of the fund and service denial. Colorado's population growth is insufficient to offset this decline. Internal budget reallocations are insufficient to address the magnitude of the</w:t>
      </w:r>
      <w:r>
        <w:rPr>
          <w:spacing w:val="-11"/>
          <w:sz w:val="22"/>
        </w:rPr>
        <w:t> </w:t>
      </w:r>
      <w:r>
        <w:rPr>
          <w:sz w:val="22"/>
        </w:rPr>
        <w:t>shortfall.</w:t>
      </w:r>
    </w:p>
    <w:p>
      <w:pPr>
        <w:pStyle w:val="BodyText"/>
        <w:rPr>
          <w:sz w:val="24"/>
        </w:rPr>
      </w:pPr>
    </w:p>
    <w:p>
      <w:pPr>
        <w:pStyle w:val="BodyText"/>
        <w:spacing w:before="10"/>
        <w:rPr>
          <w:sz w:val="18"/>
        </w:rPr>
      </w:pPr>
    </w:p>
    <w:p>
      <w:pPr>
        <w:pStyle w:val="Heading1"/>
      </w:pPr>
      <w:r>
        <w:rPr/>
        <w:t>Statutory Authority</w:t>
      </w:r>
    </w:p>
    <w:p>
      <w:pPr>
        <w:pStyle w:val="BodyText"/>
        <w:rPr>
          <w:b/>
        </w:rPr>
      </w:pPr>
    </w:p>
    <w:p>
      <w:pPr>
        <w:pStyle w:val="BodyText"/>
        <w:ind w:left="119" w:right="147"/>
      </w:pPr>
      <w:r>
        <w:rPr/>
        <w:t>Section 24-4-103(6)(a), C.R.S., authorizes the Department to adopt a temporary or emergency rule if the DMV finds that the immediate adoption of the rule is imperatively necessary to comply with law or for the preservation of public health, safety, or welfare and compliance with the requirements of section 24-4-103, C.R.S., would be contrary to the public interest. Statutory authority for these rules are found in Colorado Revised Statutes, sections 24-72.1-103, 42-1-206 (2), 42-2-107, 42-2-114, 42-2-114.5, 42-2-117, 42-2-118,</w:t>
      </w:r>
    </w:p>
    <w:p>
      <w:pPr>
        <w:pStyle w:val="BodyText"/>
        <w:ind w:left="119"/>
      </w:pPr>
      <w:r>
        <w:rPr/>
        <w:t>42-2-127.7, 42-2-133, 42-2-306, 42-2-406, 42-1-204, 42-2-508, and 42-2-114.5, C.R.S.</w:t>
      </w:r>
    </w:p>
    <w:p>
      <w:pPr>
        <w:pStyle w:val="BodyText"/>
        <w:rPr>
          <w:sz w:val="24"/>
        </w:rPr>
      </w:pPr>
    </w:p>
    <w:p>
      <w:pPr>
        <w:pStyle w:val="BodyText"/>
        <w:rPr>
          <w:sz w:val="20"/>
        </w:rPr>
      </w:pPr>
    </w:p>
    <w:p>
      <w:pPr>
        <w:pStyle w:val="Heading1"/>
      </w:pPr>
      <w:r>
        <w:rPr/>
        <w:t>Adoption</w:t>
      </w:r>
    </w:p>
    <w:p>
      <w:pPr>
        <w:pStyle w:val="BodyText"/>
        <w:rPr>
          <w:b/>
        </w:rPr>
      </w:pPr>
    </w:p>
    <w:p>
      <w:pPr>
        <w:pStyle w:val="BodyText"/>
        <w:ind w:left="119"/>
      </w:pPr>
      <w:r>
        <w:rPr/>
        <w:t>Pursuant to section 24-4-103(6)(a), C.R.S., the Colorado Department of Revenue, Division of Motor Vehicles (“Department”) hereby amends Rule 1 and Rule 17, 1 CCR 204-30 and hereby adopts the attached</w:t>
      </w:r>
    </w:p>
    <w:p>
      <w:pPr>
        <w:spacing w:after="0"/>
        <w:sectPr>
          <w:pgSz w:w="12240" w:h="15840"/>
          <w:pgMar w:top="640" w:bottom="280" w:left="600" w:right="620"/>
        </w:sectPr>
      </w:pPr>
    </w:p>
    <w:p>
      <w:pPr>
        <w:pStyle w:val="BodyText"/>
        <w:spacing w:before="80"/>
        <w:ind w:left="120"/>
      </w:pPr>
      <w:r>
        <w:rPr/>
        <w:t>amendments. The amendments shall be effective on the date indicated below. This emergency rule shall be in force and effect for a period of one hundred and twenty days from the date of this notice, unless sooner terminated or replaced by permanent rules adopted in accordance with section 24-4-103, C.R.S.</w:t>
      </w:r>
    </w:p>
    <w:p>
      <w:pPr>
        <w:pStyle w:val="BodyText"/>
        <w:spacing w:before="11"/>
        <w:rPr>
          <w:sz w:val="21"/>
        </w:rPr>
      </w:pPr>
    </w:p>
    <w:p>
      <w:pPr>
        <w:pStyle w:val="BodyText"/>
        <w:ind w:left="120"/>
      </w:pPr>
      <w:r>
        <w:rPr/>
        <w:t>Adopted this day of 2026, to be effective June 30, 2026.</w:t>
      </w:r>
    </w:p>
    <w:p>
      <w:pPr>
        <w:pStyle w:val="BodyText"/>
        <w:rPr>
          <w:sz w:val="20"/>
        </w:rPr>
      </w:pPr>
    </w:p>
    <w:p>
      <w:pPr>
        <w:pStyle w:val="BodyText"/>
        <w:spacing w:before="5"/>
        <w:rPr>
          <w:sz w:val="27"/>
        </w:rPr>
      </w:pPr>
    </w:p>
    <w:p>
      <w:pPr>
        <w:spacing w:before="95"/>
        <w:ind w:left="5470" w:right="0" w:firstLine="0"/>
        <w:jc w:val="left"/>
        <w:rPr>
          <w:sz w:val="24"/>
        </w:rPr>
      </w:pPr>
      <w:r>
        <w:rPr/>
        <w:pict>
          <v:shape style="position:absolute;margin-left:301.944824pt;margin-top:22.864185pt;width:140.65pt;height:.1pt;mso-position-horizontal-relative:page;mso-position-vertical-relative:paragraph;z-index:-251658240;mso-wrap-distance-left:0;mso-wrap-distance-right:0" coordorigin="6039,457" coordsize="2813,0" path="m6039,457l8852,457e" filled="false" stroked="true" strokeweight=".692685pt" strokecolor="#000000">
            <v:path arrowok="t"/>
            <v:stroke dashstyle="solid"/>
            <w10:wrap type="topAndBottom"/>
          </v:shape>
        </w:pict>
      </w:r>
      <w:r>
        <w:rPr/>
        <w:pict>
          <v:group style="position:absolute;margin-left:36pt;margin-top:-11.307338pt;width:207.95pt;height:34.550pt;mso-position-horizontal-relative:page;mso-position-vertical-relative:paragraph;z-index:251661312" coordorigin="720,-226" coordsize="4159,691">
            <v:line style="position:absolute" from="720,457" to="4878,457" stroked="true" strokeweight=".692685pt" strokecolor="#000000">
              <v:stroke dashstyle="solid"/>
            </v:line>
            <v:shape style="position:absolute;left:2480;top:-213;width:648;height:643" coordorigin="2481,-212" coordsize="648,643" path="m2598,295l2541,332,2505,367,2486,398,2481,420,2481,431,2530,431,2534,429,2493,429,2499,405,2520,372,2554,333,2598,295xm2758,-212l2745,-203,2738,-183,2736,-161,2735,-145,2736,-130,2737,-115,2739,-98,2742,-81,2745,-64,2749,-45,2753,-28,2758,-10,2748,26,2722,93,2683,178,2637,268,2587,349,2537,407,2493,429,2534,429,2536,429,2571,399,2612,347,2661,269,2667,267,2661,267,2708,181,2739,115,2758,65,2770,27,2793,27,2778,-12,2783,-45,2770,-45,2762,-74,2757,-102,2754,-128,2753,-152,2753,-162,2755,-179,2759,-196,2767,-208,2783,-208,2775,-211,2758,-212xm3122,265l3103,265,3096,272,3096,290,3103,296,3122,296,3125,293,3105,293,3099,288,3099,274,3105,269,3125,269,3122,265xm3125,269l3120,269,3124,274,3124,288,3120,293,3125,293,3128,290,3128,272,3125,269xm3117,271l3106,271,3106,290,3109,290,3109,282,3118,282,3117,282,3115,281,3119,280,3109,280,3109,275,3119,275,3118,273,3117,271xm3118,282l3113,282,3115,284,3115,286,3116,290,3119,290,3118,286,3118,284,3118,282xm3119,275l3114,275,3115,275,3115,279,3113,280,3119,280,3119,277,3119,275xm2793,27l2770,27,2805,98,2842,147,2877,178,2905,196,2846,208,2784,223,2722,243,2661,267,2667,267,2723,250,2790,234,2860,221,2929,213,2979,213,2968,208,3013,206,3115,206,3098,197,3073,191,2939,191,2924,183,2909,173,2894,163,2880,153,2847,120,2819,80,2796,35,2793,27xm2979,213l2929,213,2973,232,3015,247,3055,256,3088,259,3108,259,3119,255,3121,249,3101,249,3075,246,3043,238,3007,225,2979,213xm3122,244l3117,246,3110,249,3121,249,3122,244xm3115,206l3013,206,3065,207,3108,216,3124,237,3126,232,3128,230,3128,226,3120,209,3115,206xm3018,187l3001,187,2981,188,2939,191,3073,191,3063,189,3018,187xm2790,-158l2786,-139,2782,-113,2777,-83,2770,-45,2783,-45,2784,-50,2787,-86,2788,-122,2790,-158xm2783,-208l2767,-208,2774,-204,2781,-196,2786,-185,2790,-170,2792,-194,2787,-207,2783,-208xe" filled="true" fillcolor="#ffd8d8" stroked="false">
              <v:path arrowok="t"/>
              <v:fill type="solid"/>
            </v:shape>
            <v:shapetype id="_x0000_t202" o:spt="202" coordsize="21600,21600" path="m,l,21600r21600,l21600,xe">
              <v:stroke joinstyle="miter"/>
              <v:path gradientshapeok="t" o:connecttype="rect"/>
            </v:shapetype>
            <v:shape style="position:absolute;left:747;top:-227;width:1411;height:631" type="#_x0000_t202" filled="false" stroked="false">
              <v:textbox inset="0,0,0,0">
                <w:txbxContent>
                  <w:p>
                    <w:pPr>
                      <w:spacing w:line="252" w:lineRule="auto" w:before="0"/>
                      <w:ind w:left="0" w:right="10" w:firstLine="0"/>
                      <w:jc w:val="left"/>
                      <w:rPr>
                        <w:sz w:val="27"/>
                      </w:rPr>
                    </w:pPr>
                    <w:r>
                      <w:rPr>
                        <w:sz w:val="27"/>
                      </w:rPr>
                      <w:t>Heidi Humphreys</w:t>
                    </w:r>
                  </w:p>
                </w:txbxContent>
              </v:textbox>
              <w10:wrap type="none"/>
            </v:shape>
            <v:shape style="position:absolute;left:2843;top:-222;width:1618;height:637" type="#_x0000_t202" filled="false" stroked="false">
              <v:textbox inset="0,0,0,0">
                <w:txbxContent>
                  <w:p>
                    <w:pPr>
                      <w:spacing w:line="259" w:lineRule="auto" w:before="0"/>
                      <w:ind w:left="0" w:right="0" w:firstLine="0"/>
                      <w:jc w:val="left"/>
                      <w:rPr>
                        <w:sz w:val="13"/>
                      </w:rPr>
                    </w:pPr>
                    <w:r>
                      <w:rPr>
                        <w:w w:val="105"/>
                        <w:sz w:val="13"/>
                      </w:rPr>
                      <w:t>Digitally signed by Heidi Humphreys</w:t>
                    </w:r>
                  </w:p>
                  <w:p>
                    <w:pPr>
                      <w:spacing w:before="1"/>
                      <w:ind w:left="0" w:right="0" w:firstLine="0"/>
                      <w:jc w:val="left"/>
                      <w:rPr>
                        <w:sz w:val="13"/>
                      </w:rPr>
                    </w:pPr>
                    <w:r>
                      <w:rPr>
                        <w:w w:val="105"/>
                        <w:sz w:val="13"/>
                      </w:rPr>
                      <w:t>Date: 2026.06.05 13:47:47</w:t>
                    </w:r>
                  </w:p>
                  <w:p>
                    <w:pPr>
                      <w:spacing w:before="12"/>
                      <w:ind w:left="0" w:right="0" w:firstLine="0"/>
                      <w:jc w:val="left"/>
                      <w:rPr>
                        <w:sz w:val="13"/>
                      </w:rPr>
                    </w:pPr>
                    <w:r>
                      <w:rPr>
                        <w:w w:val="105"/>
                        <w:sz w:val="13"/>
                      </w:rPr>
                      <w:t>-06'00'</w:t>
                    </w:r>
                  </w:p>
                </w:txbxContent>
              </v:textbox>
              <w10:wrap type="none"/>
            </v:shape>
            <w10:wrap type="none"/>
          </v:group>
        </w:pict>
      </w:r>
      <w:r>
        <w:rPr>
          <w:sz w:val="24"/>
        </w:rPr>
        <w:t>6/5/26</w:t>
      </w:r>
    </w:p>
    <w:p>
      <w:pPr>
        <w:pStyle w:val="BodyText"/>
        <w:tabs>
          <w:tab w:pos="5465" w:val="left" w:leader="none"/>
        </w:tabs>
        <w:ind w:left="120"/>
      </w:pPr>
      <w:r>
        <w:rPr/>
        <w:t>Heidi</w:t>
      </w:r>
      <w:r>
        <w:rPr>
          <w:spacing w:val="-1"/>
        </w:rPr>
        <w:t> </w:t>
      </w:r>
      <w:r>
        <w:rPr/>
        <w:t>Humphreys</w:t>
        <w:tab/>
        <w:t>Date</w:t>
      </w:r>
    </w:p>
    <w:p>
      <w:pPr>
        <w:pStyle w:val="BodyText"/>
        <w:ind w:left="120"/>
      </w:pPr>
      <w:r>
        <w:rPr/>
        <w:t>Executive Director</w:t>
      </w:r>
    </w:p>
    <w:p>
      <w:pPr>
        <w:pStyle w:val="BodyText"/>
        <w:ind w:left="120"/>
      </w:pPr>
      <w:r>
        <w:rPr/>
        <w:t>Colorado Department of Revenue</w:t>
      </w:r>
    </w:p>
    <w:sectPr>
      <w:pgSz w:w="12240" w:h="15840"/>
      <w:pgMar w:top="640" w:bottom="280" w:left="600" w:right="6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840" w:hanging="360"/>
      </w:pPr>
      <w:rPr>
        <w:rFonts w:hint="default" w:ascii="Arial" w:hAnsi="Arial" w:eastAsia="Arial" w:cs="Arial"/>
        <w:spacing w:val="-18"/>
        <w:w w:val="100"/>
        <w:sz w:val="22"/>
        <w:szCs w:val="22"/>
        <w:lang w:val="en-US" w:eastAsia="en-US" w:bidi="en-US"/>
      </w:rPr>
    </w:lvl>
    <w:lvl w:ilvl="1">
      <w:start w:val="0"/>
      <w:numFmt w:val="bullet"/>
      <w:lvlText w:val="•"/>
      <w:lvlJc w:val="left"/>
      <w:pPr>
        <w:ind w:left="1858" w:hanging="360"/>
      </w:pPr>
      <w:rPr>
        <w:rFonts w:hint="default"/>
        <w:lang w:val="en-US" w:eastAsia="en-US" w:bidi="en-US"/>
      </w:rPr>
    </w:lvl>
    <w:lvl w:ilvl="2">
      <w:start w:val="0"/>
      <w:numFmt w:val="bullet"/>
      <w:lvlText w:val="•"/>
      <w:lvlJc w:val="left"/>
      <w:pPr>
        <w:ind w:left="2876" w:hanging="360"/>
      </w:pPr>
      <w:rPr>
        <w:rFonts w:hint="default"/>
        <w:lang w:val="en-US" w:eastAsia="en-US" w:bidi="en-US"/>
      </w:rPr>
    </w:lvl>
    <w:lvl w:ilvl="3">
      <w:start w:val="0"/>
      <w:numFmt w:val="bullet"/>
      <w:lvlText w:val="•"/>
      <w:lvlJc w:val="left"/>
      <w:pPr>
        <w:ind w:left="3894" w:hanging="360"/>
      </w:pPr>
      <w:rPr>
        <w:rFonts w:hint="default"/>
        <w:lang w:val="en-US" w:eastAsia="en-US" w:bidi="en-US"/>
      </w:rPr>
    </w:lvl>
    <w:lvl w:ilvl="4">
      <w:start w:val="0"/>
      <w:numFmt w:val="bullet"/>
      <w:lvlText w:val="•"/>
      <w:lvlJc w:val="left"/>
      <w:pPr>
        <w:ind w:left="4912" w:hanging="360"/>
      </w:pPr>
      <w:rPr>
        <w:rFonts w:hint="default"/>
        <w:lang w:val="en-US" w:eastAsia="en-US" w:bidi="en-US"/>
      </w:rPr>
    </w:lvl>
    <w:lvl w:ilvl="5">
      <w:start w:val="0"/>
      <w:numFmt w:val="bullet"/>
      <w:lvlText w:val="•"/>
      <w:lvlJc w:val="left"/>
      <w:pPr>
        <w:ind w:left="5930" w:hanging="360"/>
      </w:pPr>
      <w:rPr>
        <w:rFonts w:hint="default"/>
        <w:lang w:val="en-US" w:eastAsia="en-US" w:bidi="en-US"/>
      </w:rPr>
    </w:lvl>
    <w:lvl w:ilvl="6">
      <w:start w:val="0"/>
      <w:numFmt w:val="bullet"/>
      <w:lvlText w:val="•"/>
      <w:lvlJc w:val="left"/>
      <w:pPr>
        <w:ind w:left="6948" w:hanging="360"/>
      </w:pPr>
      <w:rPr>
        <w:rFonts w:hint="default"/>
        <w:lang w:val="en-US" w:eastAsia="en-US" w:bidi="en-US"/>
      </w:rPr>
    </w:lvl>
    <w:lvl w:ilvl="7">
      <w:start w:val="0"/>
      <w:numFmt w:val="bullet"/>
      <w:lvlText w:val="•"/>
      <w:lvlJc w:val="left"/>
      <w:pPr>
        <w:ind w:left="7966" w:hanging="360"/>
      </w:pPr>
      <w:rPr>
        <w:rFonts w:hint="default"/>
        <w:lang w:val="en-US" w:eastAsia="en-US" w:bidi="en-US"/>
      </w:rPr>
    </w:lvl>
    <w:lvl w:ilvl="8">
      <w:start w:val="0"/>
      <w:numFmt w:val="bullet"/>
      <w:lvlText w:val="•"/>
      <w:lvlJc w:val="left"/>
      <w:pPr>
        <w:ind w:left="8984" w:hanging="360"/>
      </w:pPr>
      <w:rPr>
        <w:rFonts w:hint="default"/>
        <w:lang w:val="en-US" w:eastAsia="en-US" w:bidi="en-US"/>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en-US"/>
    </w:rPr>
  </w:style>
  <w:style w:styleId="BodyText" w:type="paragraph">
    <w:name w:val="Body Text"/>
    <w:basedOn w:val="Normal"/>
    <w:uiPriority w:val="1"/>
    <w:qFormat/>
    <w:pPr/>
    <w:rPr>
      <w:rFonts w:ascii="Arial" w:hAnsi="Arial" w:eastAsia="Arial" w:cs="Arial"/>
      <w:sz w:val="22"/>
      <w:szCs w:val="22"/>
      <w:lang w:val="en-US" w:eastAsia="en-US" w:bidi="en-US"/>
    </w:rPr>
  </w:style>
  <w:style w:styleId="Heading1" w:type="paragraph">
    <w:name w:val="Heading 1"/>
    <w:basedOn w:val="Normal"/>
    <w:uiPriority w:val="1"/>
    <w:qFormat/>
    <w:pPr>
      <w:ind w:left="119"/>
      <w:outlineLvl w:val="1"/>
    </w:pPr>
    <w:rPr>
      <w:rFonts w:ascii="Arial" w:hAnsi="Arial" w:eastAsia="Arial" w:cs="Arial"/>
      <w:b/>
      <w:bCs/>
      <w:sz w:val="22"/>
      <w:szCs w:val="22"/>
      <w:lang w:val="en-US" w:eastAsia="en-US" w:bidi="en-US"/>
    </w:rPr>
  </w:style>
  <w:style w:styleId="ListParagraph" w:type="paragraph">
    <w:name w:val="List Paragraph"/>
    <w:basedOn w:val="Normal"/>
    <w:uiPriority w:val="1"/>
    <w:qFormat/>
    <w:pPr>
      <w:ind w:left="839" w:right="113" w:hanging="360"/>
      <w:jc w:val="both"/>
    </w:pPr>
    <w:rPr>
      <w:rFonts w:ascii="Arial" w:hAnsi="Arial" w:eastAsia="Arial" w:cs="Arial"/>
      <w:lang w:val="en-US" w:eastAsia="en-US" w:bidi="en-US"/>
    </w:rPr>
  </w:style>
  <w:style w:styleId="TableParagraph" w:type="paragraph">
    <w:name w:val="Table Paragraph"/>
    <w:basedOn w:val="Normal"/>
    <w:uiPriority w:val="1"/>
    <w:qFormat/>
    <w:pPr/>
    <w:rPr>
      <w:lang w:val="en-US" w:eastAsia="en-US" w:bidi="en-U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OSPB Approved Fee Increases (FY26)-Emergency and Permanent Rulemaking Process and Documents - Google Docs</dc:title>
  <dcterms:created xsi:type="dcterms:W3CDTF">2026-06-08T15:35:22Z</dcterms:created>
  <dcterms:modified xsi:type="dcterms:W3CDTF">2026-06-08T15:35:22Z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2026-06-04T00:00:00Z</vt:filetime>
  </property>
  <property fmtid="{D5CDD505-2E9C-101B-9397-08002B2CF9AE}" pid="3" name="Creator">
    <vt:lpwstr>Mozilla/5.0 (Windows NT 10.0; Win64; x64) AppleWebKit/537.36 (KHTML, like Gecko) Chrome/148.0.0.0 Safari/537.36</vt:lpwstr>
  </property>
  <property fmtid="{D5CDD505-2E9C-101B-9397-08002B2CF9AE}" pid="4" name="LastSaved">
    <vt:filetime>2026-06-08T00:00:00Z</vt:filetime>
  </property>
</Properties>
</file>