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04673" w14:textId="77777777" w:rsidR="00262D08" w:rsidRDefault="00262D08" w:rsidP="00262D08">
      <w:pPr>
        <w:pStyle w:val="Department"/>
      </w:pPr>
      <w:r>
        <w:t>COLORADO DEPARTMENT OF REGULATORY AGENCIES</w:t>
      </w:r>
    </w:p>
    <w:p w14:paraId="052B8558" w14:textId="77777777" w:rsidR="00262D08" w:rsidRDefault="00262D08" w:rsidP="00262D08">
      <w:pPr>
        <w:pStyle w:val="Agency"/>
      </w:pPr>
      <w:r>
        <w:t>Public Utilities Commission</w:t>
      </w:r>
    </w:p>
    <w:p w14:paraId="71A73318" w14:textId="77777777" w:rsidR="00262D08" w:rsidRDefault="00262D08" w:rsidP="00262D08">
      <w:pPr>
        <w:pStyle w:val="CCRNumber"/>
      </w:pPr>
      <w:r>
        <w:t>4 </w:t>
      </w:r>
      <w:proofErr w:type="gramStart"/>
      <w:r>
        <w:rPr>
          <w:i/>
        </w:rPr>
        <w:t>Code</w:t>
      </w:r>
      <w:proofErr w:type="gramEnd"/>
      <w:r>
        <w:rPr>
          <w:i/>
        </w:rPr>
        <w:t xml:space="preserve"> of </w:t>
      </w:r>
      <w:smartTag w:uri="urn:schemas-microsoft-com:office:smarttags" w:element="PostalCode">
        <w:smartTag w:uri="urn:schemas-microsoft-com:office:smarttags" w:element="State">
          <w:r>
            <w:rPr>
              <w:i/>
            </w:rPr>
            <w:t>Colorado</w:t>
          </w:r>
        </w:smartTag>
      </w:smartTag>
      <w:r>
        <w:rPr>
          <w:i/>
        </w:rPr>
        <w:t xml:space="preserve"> Regulations</w:t>
      </w:r>
      <w:r>
        <w:t xml:space="preserve"> (CCR) 723-7</w:t>
      </w:r>
    </w:p>
    <w:p w14:paraId="2261DCC7" w14:textId="77777777" w:rsidR="000014F0" w:rsidRDefault="00262D08" w:rsidP="00262D08">
      <w:pPr>
        <w:pStyle w:val="CCRTitle"/>
      </w:pPr>
      <w:r>
        <w:t>PART 7</w:t>
      </w:r>
    </w:p>
    <w:p w14:paraId="36600D6A" w14:textId="75F7115C" w:rsidR="00262D08" w:rsidRPr="000014F0" w:rsidRDefault="00262D08" w:rsidP="000014F0">
      <w:pPr>
        <w:pStyle w:val="Heading1"/>
        <w:jc w:val="center"/>
        <w:rPr>
          <w:sz w:val="28"/>
          <w:szCs w:val="28"/>
        </w:rPr>
      </w:pPr>
      <w:r>
        <w:br/>
      </w:r>
      <w:r w:rsidRPr="000014F0">
        <w:rPr>
          <w:sz w:val="28"/>
          <w:szCs w:val="28"/>
        </w:rPr>
        <w:t>RULES REGULATING RAILROADS, RAIL FIXED GUIDEWAYS,</w:t>
      </w:r>
      <w:r w:rsidRPr="000014F0">
        <w:rPr>
          <w:sz w:val="28"/>
          <w:szCs w:val="28"/>
        </w:rPr>
        <w:br/>
        <w:t>TRANSPORTATION BY RAIL, AND RAIL CROSSINGS</w:t>
      </w:r>
    </w:p>
    <w:p w14:paraId="1DEF725A" w14:textId="77777777" w:rsidR="00262D08" w:rsidRDefault="00262D08" w:rsidP="00262D08">
      <w:pPr>
        <w:pStyle w:val="upar1"/>
        <w:jc w:val="center"/>
        <w:rPr>
          <w:b/>
          <w:bCs/>
        </w:rPr>
      </w:pPr>
    </w:p>
    <w:p w14:paraId="0602AE2E" w14:textId="77777777" w:rsidR="00262D08" w:rsidRPr="000014F0" w:rsidRDefault="00262D08" w:rsidP="000014F0">
      <w:pPr>
        <w:pStyle w:val="Heading2"/>
        <w:rPr>
          <w:i w:val="0"/>
          <w:iCs w:val="0"/>
          <w:sz w:val="24"/>
          <w:szCs w:val="24"/>
        </w:rPr>
      </w:pPr>
      <w:bookmarkStart w:id="0" w:name="_Toc145843018"/>
      <w:bookmarkStart w:id="1" w:name="_Toc200350774"/>
      <w:r w:rsidRPr="000014F0">
        <w:rPr>
          <w:i w:val="0"/>
          <w:iCs w:val="0"/>
          <w:sz w:val="24"/>
          <w:szCs w:val="24"/>
        </w:rPr>
        <w:t>BASIS, PURPOSE, AND STATUTORY AUTHORITY</w:t>
      </w:r>
      <w:bookmarkEnd w:id="0"/>
      <w:bookmarkEnd w:id="1"/>
    </w:p>
    <w:p w14:paraId="2FE0D921" w14:textId="77777777" w:rsidR="00262D08" w:rsidRPr="00320734" w:rsidRDefault="00262D08" w:rsidP="00262D08">
      <w:pPr>
        <w:pStyle w:val="upar1"/>
        <w:keepLines/>
        <w:rPr>
          <w:sz w:val="24"/>
          <w:szCs w:val="24"/>
        </w:rPr>
      </w:pPr>
      <w:r w:rsidRPr="00320734">
        <w:rPr>
          <w:sz w:val="24"/>
          <w:szCs w:val="24"/>
        </w:rPr>
        <w:t>The basis for and purpose of these rules is to describe the manner of regulation over railroads, railroad corporations, rail fixed guideways, rail fixed guideway systems, transit agencies, persons holding a certificate of public convenience and necessity to operate by rail, any other person operating by rail, governmental or quasi-governmental entities that own and/or maintain public highways at rail crossings, railroad peace officers, and to Commission proceedings concerning such entities.  These rules address a wide variety of subject areas including, but not limited to, applications, petitions, annual reporting, civil penalties, formal and informal complaints, operating authority, transfers of operating authority, mergers, tariffs, crossings and warning devices, cost allocation for grade separations, crossing construction and maintenance, railroad clearances, program standard for rail fixed guideway systems, and employment of railroad peace officers.</w:t>
      </w:r>
    </w:p>
    <w:p w14:paraId="5FF6863A" w14:textId="353A8BDB" w:rsidR="00262D08" w:rsidRPr="00320734" w:rsidRDefault="00262D08" w:rsidP="00262D08">
      <w:pPr>
        <w:pStyle w:val="upar1"/>
        <w:rPr>
          <w:sz w:val="24"/>
          <w:szCs w:val="24"/>
        </w:rPr>
      </w:pPr>
      <w:r w:rsidRPr="00320734">
        <w:rPr>
          <w:sz w:val="24"/>
          <w:szCs w:val="24"/>
        </w:rPr>
        <w:t>The statutory authority for the promulgation of these rules can be found at §§ 40-2-108, 40-2-119, 40-3-101(1), 40-3-102, 40-3-103, 40-3-110, 40-4-101(1), 40-4-101(2), 40-4-106, 40-5-105, 40-6-108(2), 40-6-111(3), 40-9-108(2), 40-18-101, 40-18-102, 40-18-103, 40-18-104, 40-20-302, 40-20-303</w:t>
      </w:r>
      <w:r w:rsidR="00380FA3" w:rsidRPr="00320734">
        <w:rPr>
          <w:sz w:val="24"/>
          <w:szCs w:val="24"/>
        </w:rPr>
        <w:t xml:space="preserve">, </w:t>
      </w:r>
      <w:r w:rsidR="000B1821" w:rsidRPr="00320734">
        <w:rPr>
          <w:sz w:val="24"/>
          <w:szCs w:val="24"/>
        </w:rPr>
        <w:t>40-20-305, 40-20-310,</w:t>
      </w:r>
      <w:r w:rsidRPr="00320734">
        <w:rPr>
          <w:sz w:val="24"/>
          <w:szCs w:val="24"/>
        </w:rPr>
        <w:t xml:space="preserve"> 40-29-110, and 40-32-108, C.R.S.</w:t>
      </w:r>
    </w:p>
    <w:p w14:paraId="0F88449A" w14:textId="77777777" w:rsidR="00262D08" w:rsidRPr="00320734" w:rsidRDefault="00262D08" w:rsidP="00262D08">
      <w:pPr>
        <w:pStyle w:val="upar1"/>
        <w:jc w:val="center"/>
        <w:rPr>
          <w:sz w:val="24"/>
          <w:szCs w:val="24"/>
        </w:rPr>
      </w:pPr>
      <w:r w:rsidRPr="00320734">
        <w:rPr>
          <w:sz w:val="24"/>
          <w:szCs w:val="24"/>
        </w:rPr>
        <w:t>*</w:t>
      </w:r>
      <w:r w:rsidRPr="00320734">
        <w:rPr>
          <w:sz w:val="24"/>
          <w:szCs w:val="24"/>
        </w:rPr>
        <w:tab/>
        <w:t>*</w:t>
      </w:r>
      <w:r w:rsidRPr="00320734">
        <w:rPr>
          <w:sz w:val="24"/>
          <w:szCs w:val="24"/>
        </w:rPr>
        <w:tab/>
        <w:t>*</w:t>
      </w:r>
      <w:r w:rsidRPr="00320734">
        <w:rPr>
          <w:sz w:val="24"/>
          <w:szCs w:val="24"/>
        </w:rPr>
        <w:tab/>
        <w:t>*</w:t>
      </w:r>
    </w:p>
    <w:p w14:paraId="79BC8023" w14:textId="77777777" w:rsidR="00262D08" w:rsidRPr="00320734" w:rsidRDefault="00262D08" w:rsidP="00262D08">
      <w:pPr>
        <w:pStyle w:val="upar1"/>
        <w:jc w:val="center"/>
        <w:rPr>
          <w:sz w:val="24"/>
          <w:szCs w:val="24"/>
        </w:rPr>
      </w:pPr>
      <w:r w:rsidRPr="00320734">
        <w:rPr>
          <w:sz w:val="24"/>
          <w:szCs w:val="24"/>
        </w:rPr>
        <w:t>[indicates omission of unaffected rules]</w:t>
      </w:r>
    </w:p>
    <w:p w14:paraId="6A5D1A8B" w14:textId="77777777" w:rsidR="000E0F3C" w:rsidRPr="000014F0" w:rsidRDefault="000E0F3C" w:rsidP="000014F0">
      <w:pPr>
        <w:pStyle w:val="Heading3"/>
        <w:rPr>
          <w:sz w:val="24"/>
          <w:szCs w:val="24"/>
        </w:rPr>
      </w:pPr>
      <w:r w:rsidRPr="000014F0">
        <w:rPr>
          <w:sz w:val="24"/>
          <w:szCs w:val="24"/>
        </w:rPr>
        <w:t>Railroad and Hazardous Materials Safety</w:t>
      </w:r>
    </w:p>
    <w:p w14:paraId="10D03EFC" w14:textId="77777777" w:rsidR="000E0F3C" w:rsidRPr="00320734" w:rsidRDefault="000E0F3C" w:rsidP="000E0F3C">
      <w:pPr>
        <w:pStyle w:val="Title3"/>
        <w:rPr>
          <w:sz w:val="24"/>
          <w:szCs w:val="24"/>
        </w:rPr>
      </w:pPr>
      <w:r w:rsidRPr="00320734">
        <w:rPr>
          <w:sz w:val="24"/>
          <w:szCs w:val="24"/>
        </w:rPr>
        <w:t>7330.</w:t>
      </w:r>
      <w:r w:rsidRPr="00320734">
        <w:rPr>
          <w:sz w:val="24"/>
          <w:szCs w:val="24"/>
        </w:rPr>
        <w:tab/>
        <w:t>Applicability.</w:t>
      </w:r>
    </w:p>
    <w:p w14:paraId="017E35F5" w14:textId="48332017" w:rsidR="00667CE7" w:rsidRPr="00320734" w:rsidRDefault="00667CE7" w:rsidP="00667CE7">
      <w:pPr>
        <w:pStyle w:val="upar1"/>
        <w:rPr>
          <w:sz w:val="24"/>
          <w:szCs w:val="24"/>
        </w:rPr>
      </w:pPr>
      <w:r w:rsidRPr="00320734">
        <w:rPr>
          <w:sz w:val="24"/>
          <w:szCs w:val="24"/>
        </w:rPr>
        <w:t>Rules 7330 through 7335 apply to all railroads, defined in paragraph 7331(</w:t>
      </w:r>
      <w:r w:rsidR="00917DCE" w:rsidRPr="00320734">
        <w:rPr>
          <w:sz w:val="24"/>
          <w:szCs w:val="24"/>
        </w:rPr>
        <w:t>t</w:t>
      </w:r>
      <w:r w:rsidRPr="00320734">
        <w:rPr>
          <w:sz w:val="24"/>
          <w:szCs w:val="24"/>
        </w:rPr>
        <w:t>) and passenger rail systems, defined in paragraph 7331(</w:t>
      </w:r>
      <w:r w:rsidR="00917DCE" w:rsidRPr="00320734">
        <w:rPr>
          <w:sz w:val="24"/>
          <w:szCs w:val="24"/>
        </w:rPr>
        <w:t>s</w:t>
      </w:r>
      <w:r w:rsidRPr="00320734">
        <w:rPr>
          <w:sz w:val="24"/>
          <w:szCs w:val="24"/>
        </w:rPr>
        <w:t>).</w:t>
      </w:r>
    </w:p>
    <w:p w14:paraId="3932688C" w14:textId="58BDB965" w:rsidR="00262D08" w:rsidRPr="00320734" w:rsidRDefault="00262D08" w:rsidP="00262D08">
      <w:pPr>
        <w:pStyle w:val="Title3"/>
        <w:rPr>
          <w:sz w:val="24"/>
          <w:szCs w:val="24"/>
        </w:rPr>
      </w:pPr>
      <w:r w:rsidRPr="00320734">
        <w:rPr>
          <w:sz w:val="24"/>
          <w:szCs w:val="24"/>
        </w:rPr>
        <w:lastRenderedPageBreak/>
        <w:t>7331.</w:t>
      </w:r>
      <w:r w:rsidRPr="00320734">
        <w:rPr>
          <w:sz w:val="24"/>
          <w:szCs w:val="24"/>
        </w:rPr>
        <w:tab/>
        <w:t>Definitions.</w:t>
      </w:r>
    </w:p>
    <w:p w14:paraId="5DE1A1CB" w14:textId="0DFD9B6E" w:rsidR="00262D08" w:rsidRPr="00320734" w:rsidRDefault="00262D08" w:rsidP="00262D08">
      <w:pPr>
        <w:pStyle w:val="upar1"/>
        <w:rPr>
          <w:sz w:val="24"/>
          <w:szCs w:val="24"/>
        </w:rPr>
      </w:pPr>
      <w:r w:rsidRPr="00320734">
        <w:rPr>
          <w:sz w:val="24"/>
          <w:szCs w:val="24"/>
        </w:rPr>
        <w:t>The following definitions apply only in the context of rules 7330 through 733</w:t>
      </w:r>
      <w:r w:rsidR="000B1821" w:rsidRPr="00320734">
        <w:rPr>
          <w:sz w:val="24"/>
          <w:szCs w:val="24"/>
        </w:rPr>
        <w:t>5</w:t>
      </w:r>
      <w:r w:rsidRPr="00320734">
        <w:rPr>
          <w:sz w:val="24"/>
          <w:szCs w:val="24"/>
        </w:rPr>
        <w:t>.</w:t>
      </w:r>
    </w:p>
    <w:p w14:paraId="4D48AF09" w14:textId="1F0727DC" w:rsidR="00667CE7" w:rsidRPr="00320734" w:rsidRDefault="000B1821" w:rsidP="00667CE7">
      <w:pPr>
        <w:pStyle w:val="par1"/>
        <w:rPr>
          <w:sz w:val="24"/>
        </w:rPr>
      </w:pPr>
      <w:r w:rsidRPr="00320734">
        <w:rPr>
          <w:sz w:val="24"/>
        </w:rPr>
        <w:t>(a)</w:t>
      </w:r>
      <w:r w:rsidR="00917DCE" w:rsidRPr="00320734">
        <w:rPr>
          <w:sz w:val="24"/>
        </w:rPr>
        <w:tab/>
      </w:r>
      <w:r w:rsidR="00667CE7" w:rsidRPr="00320734">
        <w:rPr>
          <w:sz w:val="24"/>
        </w:rPr>
        <w:t>“Adequacy” has the same meaning as set forth in § 40-20-305(1)(a), C.R.S., and refers to sufficient capabilities, resources, and staffing to meet initial response objectives for hazards likely in the defined area.</w:t>
      </w:r>
    </w:p>
    <w:p w14:paraId="1C6E30D1" w14:textId="77777777" w:rsidR="00917DCE" w:rsidRPr="00320734" w:rsidRDefault="00917DCE" w:rsidP="00917DCE">
      <w:pPr>
        <w:pStyle w:val="par1"/>
        <w:rPr>
          <w:sz w:val="24"/>
        </w:rPr>
      </w:pPr>
      <w:r w:rsidRPr="00320734">
        <w:rPr>
          <w:sz w:val="24"/>
        </w:rPr>
        <w:t>(b)</w:t>
      </w:r>
      <w:r w:rsidRPr="00320734">
        <w:rPr>
          <w:sz w:val="24"/>
        </w:rPr>
        <w:tab/>
        <w:t>“</w:t>
      </w:r>
      <w:proofErr w:type="gramStart"/>
      <w:r w:rsidRPr="00320734">
        <w:rPr>
          <w:sz w:val="24"/>
        </w:rPr>
        <w:t>Class</w:t>
      </w:r>
      <w:proofErr w:type="gramEnd"/>
      <w:r w:rsidRPr="00320734">
        <w:rPr>
          <w:sz w:val="24"/>
        </w:rPr>
        <w:t xml:space="preserve"> I railroad” has the meaning set forth in §40-20-302(2), C.R.S.</w:t>
      </w:r>
    </w:p>
    <w:p w14:paraId="4A5389EE" w14:textId="77777777" w:rsidR="00917DCE" w:rsidRPr="00320734" w:rsidRDefault="00917DCE" w:rsidP="00917DCE">
      <w:pPr>
        <w:pStyle w:val="par1"/>
        <w:rPr>
          <w:sz w:val="24"/>
        </w:rPr>
      </w:pPr>
      <w:r w:rsidRPr="00320734">
        <w:rPr>
          <w:sz w:val="24"/>
        </w:rPr>
        <w:t>(c)</w:t>
      </w:r>
      <w:r w:rsidRPr="00320734">
        <w:rPr>
          <w:sz w:val="24"/>
        </w:rPr>
        <w:tab/>
        <w:t>“Class II railroad” has the meaning set forth in §40-20-302(3), C.R.S.</w:t>
      </w:r>
    </w:p>
    <w:p w14:paraId="01DF5EA9" w14:textId="77777777" w:rsidR="00917DCE" w:rsidRPr="00320734" w:rsidRDefault="00917DCE" w:rsidP="00917DCE">
      <w:pPr>
        <w:pStyle w:val="par1"/>
        <w:rPr>
          <w:sz w:val="24"/>
        </w:rPr>
      </w:pPr>
      <w:r w:rsidRPr="00320734">
        <w:rPr>
          <w:sz w:val="24"/>
        </w:rPr>
        <w:t>(d)</w:t>
      </w:r>
      <w:r w:rsidRPr="00320734">
        <w:rPr>
          <w:sz w:val="24"/>
        </w:rPr>
        <w:tab/>
        <w:t>“Class III railroad” has the meaning set forth in §40-20-302(4), C.R.S.</w:t>
      </w:r>
    </w:p>
    <w:p w14:paraId="4148F8E1" w14:textId="4FC976F6" w:rsidR="00667CE7" w:rsidRPr="00320734" w:rsidRDefault="00667CE7" w:rsidP="00667CE7">
      <w:pPr>
        <w:pStyle w:val="par1"/>
        <w:rPr>
          <w:sz w:val="24"/>
        </w:rPr>
      </w:pPr>
      <w:r w:rsidRPr="00320734">
        <w:rPr>
          <w:sz w:val="24"/>
        </w:rPr>
        <w:t>(e)</w:t>
      </w:r>
      <w:r w:rsidRPr="00320734">
        <w:rPr>
          <w:sz w:val="24"/>
        </w:rPr>
        <w:tab/>
        <w:t>“Coordinate” has the same meaning as used in § 40-20-305, C.R.S., and means to share information, confer, and plan jointly with Emergency Management Organizations, as defined in paragraph 7331(h).  Coordination does not require approval by, or the assumption of duties or authority of, any other governmental entity.</w:t>
      </w:r>
    </w:p>
    <w:p w14:paraId="7ACA8BF4" w14:textId="05D341F1" w:rsidR="00F32E3A" w:rsidRPr="00320734" w:rsidRDefault="00262D08" w:rsidP="00AB001C">
      <w:pPr>
        <w:pStyle w:val="par1"/>
        <w:rPr>
          <w:rFonts w:cs="Arial"/>
          <w:sz w:val="24"/>
        </w:rPr>
      </w:pPr>
      <w:r w:rsidRPr="00320734">
        <w:rPr>
          <w:rFonts w:cs="Arial"/>
          <w:sz w:val="24"/>
        </w:rPr>
        <w:t>(</w:t>
      </w:r>
      <w:r w:rsidR="00667CE7" w:rsidRPr="00320734">
        <w:rPr>
          <w:rFonts w:cs="Arial"/>
          <w:sz w:val="24"/>
        </w:rPr>
        <w:t>f</w:t>
      </w:r>
      <w:r w:rsidRPr="00320734">
        <w:rPr>
          <w:rFonts w:cs="Arial"/>
          <w:sz w:val="24"/>
        </w:rPr>
        <w:t>)</w:t>
      </w:r>
      <w:r w:rsidRPr="00320734">
        <w:rPr>
          <w:rFonts w:cs="Arial"/>
          <w:sz w:val="24"/>
        </w:rPr>
        <w:tab/>
        <w:t xml:space="preserve">“Defect” means a </w:t>
      </w:r>
      <w:r w:rsidR="00F32E3A" w:rsidRPr="00320734">
        <w:rPr>
          <w:rFonts w:cs="Arial"/>
          <w:sz w:val="24"/>
        </w:rPr>
        <w:t>condition in railroad equipment or infrastructure that violates safety regulations</w:t>
      </w:r>
      <w:r w:rsidR="00AC470B" w:rsidRPr="00320734">
        <w:rPr>
          <w:rFonts w:cs="Arial"/>
          <w:sz w:val="24"/>
        </w:rPr>
        <w:t xml:space="preserve"> </w:t>
      </w:r>
      <w:r w:rsidRPr="00320734">
        <w:rPr>
          <w:rFonts w:cs="Arial"/>
          <w:sz w:val="24"/>
        </w:rPr>
        <w:t>including, but not limited to, hot wheel bearings, hot wheels, deficient bearings detected through acoustic means, dragging of equipment, excessive height, excessive weight, a shifted load, a loose hose, improper rail temperature, or a deficient wheel condition.</w:t>
      </w:r>
    </w:p>
    <w:p w14:paraId="4FE9DCFB" w14:textId="78CFCB68" w:rsidR="00262D08" w:rsidRPr="00320734" w:rsidRDefault="00262D08" w:rsidP="00262D08">
      <w:pPr>
        <w:pStyle w:val="par1"/>
        <w:rPr>
          <w:rFonts w:cs="Arial"/>
          <w:sz w:val="24"/>
        </w:rPr>
      </w:pPr>
      <w:r w:rsidRPr="00320734">
        <w:rPr>
          <w:rFonts w:cs="Arial"/>
          <w:sz w:val="24"/>
        </w:rPr>
        <w:t>(</w:t>
      </w:r>
      <w:r w:rsidR="00667CE7" w:rsidRPr="00320734">
        <w:rPr>
          <w:rFonts w:cs="Arial"/>
          <w:sz w:val="24"/>
        </w:rPr>
        <w:t>g</w:t>
      </w:r>
      <w:r w:rsidRPr="00320734">
        <w:rPr>
          <w:rFonts w:cs="Arial"/>
          <w:sz w:val="24"/>
        </w:rPr>
        <w:t>)</w:t>
      </w:r>
      <w:r w:rsidRPr="00320734">
        <w:rPr>
          <w:rFonts w:cs="Arial"/>
          <w:sz w:val="24"/>
        </w:rPr>
        <w:tab/>
        <w:t>“Dragging equipment detector” means an electronic device or other technology that monitors a passing train to actively detect and alert operators of the train of the existence of any objects dragging from the train.</w:t>
      </w:r>
    </w:p>
    <w:p w14:paraId="217BA40F" w14:textId="77777777" w:rsidR="00667CE7" w:rsidRPr="00320734" w:rsidRDefault="00667CE7" w:rsidP="00667CE7">
      <w:pPr>
        <w:pStyle w:val="par1"/>
        <w:rPr>
          <w:sz w:val="24"/>
        </w:rPr>
      </w:pPr>
      <w:r w:rsidRPr="00320734">
        <w:rPr>
          <w:sz w:val="24"/>
        </w:rPr>
        <w:t>(h)</w:t>
      </w:r>
      <w:r w:rsidRPr="00320734">
        <w:rPr>
          <w:sz w:val="24"/>
        </w:rPr>
        <w:tab/>
        <w:t>“Emergency Management Organization” means a local emergency management agency or office established under state or local law, including local emergency planning committees.</w:t>
      </w:r>
    </w:p>
    <w:p w14:paraId="1F51A13A" w14:textId="77777777" w:rsidR="00667CE7" w:rsidRPr="00320734" w:rsidRDefault="00667CE7" w:rsidP="00667CE7">
      <w:pPr>
        <w:pStyle w:val="par1"/>
        <w:rPr>
          <w:sz w:val="24"/>
        </w:rPr>
      </w:pPr>
      <w:r w:rsidRPr="00320734">
        <w:rPr>
          <w:sz w:val="24"/>
        </w:rPr>
        <w:t>(</w:t>
      </w:r>
      <w:proofErr w:type="spellStart"/>
      <w:r w:rsidRPr="00320734">
        <w:rPr>
          <w:sz w:val="24"/>
        </w:rPr>
        <w:t>i</w:t>
      </w:r>
      <w:proofErr w:type="spellEnd"/>
      <w:r w:rsidRPr="00320734">
        <w:rPr>
          <w:sz w:val="24"/>
        </w:rPr>
        <w:t>)</w:t>
      </w:r>
      <w:r w:rsidRPr="00320734">
        <w:rPr>
          <w:sz w:val="24"/>
        </w:rPr>
        <w:tab/>
        <w:t>“First Responder Organization” means a fire department, law enforcement agency, emergency medical services provider, or other public safety entity with legal authority under state or local law over the geographic area in which a railroad line or facility is located.</w:t>
      </w:r>
    </w:p>
    <w:p w14:paraId="19A2F661" w14:textId="77777777" w:rsidR="00667CE7" w:rsidRPr="00320734" w:rsidRDefault="00667CE7" w:rsidP="00667CE7">
      <w:pPr>
        <w:pStyle w:val="par1"/>
        <w:rPr>
          <w:sz w:val="24"/>
        </w:rPr>
      </w:pPr>
      <w:r w:rsidRPr="00320734">
        <w:rPr>
          <w:sz w:val="24"/>
        </w:rPr>
        <w:t>(j)</w:t>
      </w:r>
      <w:r w:rsidRPr="00320734">
        <w:rPr>
          <w:sz w:val="24"/>
        </w:rPr>
        <w:tab/>
        <w:t>“Functional Exercise” means an operations-based exercise designed to test capabilities and functions in a realistic, real-time environment; movement of resources may be simulated.</w:t>
      </w:r>
    </w:p>
    <w:p w14:paraId="6698963C" w14:textId="69C3EFCB" w:rsidR="000B1821" w:rsidRPr="00320734" w:rsidRDefault="000B1821" w:rsidP="00262D08">
      <w:pPr>
        <w:pStyle w:val="par1"/>
        <w:rPr>
          <w:rFonts w:cs="Arial"/>
          <w:sz w:val="24"/>
        </w:rPr>
      </w:pPr>
      <w:r w:rsidRPr="00320734">
        <w:rPr>
          <w:rFonts w:cs="Arial"/>
          <w:sz w:val="24"/>
        </w:rPr>
        <w:t>(</w:t>
      </w:r>
      <w:r w:rsidR="00667CE7" w:rsidRPr="00320734">
        <w:rPr>
          <w:rFonts w:cs="Arial"/>
          <w:sz w:val="24"/>
        </w:rPr>
        <w:t>k</w:t>
      </w:r>
      <w:r w:rsidRPr="00320734">
        <w:rPr>
          <w:rFonts w:cs="Arial"/>
          <w:sz w:val="24"/>
        </w:rPr>
        <w:t>)</w:t>
      </w:r>
      <w:r w:rsidRPr="00320734">
        <w:rPr>
          <w:rFonts w:cs="Arial"/>
          <w:sz w:val="24"/>
        </w:rPr>
        <w:tab/>
        <w:t>“Hazardous material” has the meaning set forth in § 40-20-302(10), C.R.S.</w:t>
      </w:r>
    </w:p>
    <w:p w14:paraId="414FA961" w14:textId="77777777" w:rsidR="00667CE7" w:rsidRPr="00320734" w:rsidRDefault="00667CE7" w:rsidP="00667CE7">
      <w:pPr>
        <w:pStyle w:val="par1"/>
        <w:rPr>
          <w:sz w:val="24"/>
        </w:rPr>
      </w:pPr>
      <w:r w:rsidRPr="00320734">
        <w:rPr>
          <w:sz w:val="24"/>
        </w:rPr>
        <w:t>(l)</w:t>
      </w:r>
      <w:r w:rsidRPr="00320734">
        <w:rPr>
          <w:sz w:val="24"/>
        </w:rPr>
        <w:tab/>
        <w:t>“High-hazard flammable train (HHFT)” has the meaning set forth in § 40-20-305(1)(a), C.R.S.</w:t>
      </w:r>
    </w:p>
    <w:p w14:paraId="11F07949" w14:textId="77777777" w:rsidR="00667CE7" w:rsidRPr="00320734" w:rsidRDefault="00667CE7" w:rsidP="00667CE7">
      <w:pPr>
        <w:pStyle w:val="par1"/>
        <w:rPr>
          <w:sz w:val="24"/>
        </w:rPr>
      </w:pPr>
      <w:r w:rsidRPr="00320734">
        <w:rPr>
          <w:sz w:val="24"/>
        </w:rPr>
        <w:lastRenderedPageBreak/>
        <w:t>(m)</w:t>
      </w:r>
      <w:r w:rsidRPr="00320734">
        <w:rPr>
          <w:sz w:val="24"/>
        </w:rPr>
        <w:tab/>
        <w:t>“High-consequence hazardous material” means shipments moving as HHFTs or consisting of toxic or poison inhalation hazard materials, as defined in § 40-20-302(10), C.R.S.</w:t>
      </w:r>
    </w:p>
    <w:p w14:paraId="59CF70E2" w14:textId="6C62F748" w:rsidR="00262D08" w:rsidRPr="00320734" w:rsidRDefault="00262D08" w:rsidP="00262D08">
      <w:pPr>
        <w:pStyle w:val="par1"/>
        <w:rPr>
          <w:rFonts w:cs="Arial"/>
          <w:sz w:val="24"/>
        </w:rPr>
      </w:pPr>
      <w:r w:rsidRPr="00320734">
        <w:rPr>
          <w:rFonts w:cs="Arial"/>
          <w:sz w:val="24"/>
        </w:rPr>
        <w:t>(</w:t>
      </w:r>
      <w:r w:rsidR="00667CE7" w:rsidRPr="00320734">
        <w:rPr>
          <w:rFonts w:cs="Arial"/>
          <w:sz w:val="24"/>
        </w:rPr>
        <w:t>n</w:t>
      </w:r>
      <w:r w:rsidRPr="00320734">
        <w:rPr>
          <w:rFonts w:cs="Arial"/>
          <w:sz w:val="24"/>
        </w:rPr>
        <w:t>)</w:t>
      </w:r>
      <w:r w:rsidRPr="00320734">
        <w:rPr>
          <w:rFonts w:cs="Arial"/>
          <w:sz w:val="24"/>
        </w:rPr>
        <w:tab/>
        <w:t>“Hot bearings detector” means an infrared detector located along railroad tracks to detect and alert the operators of a passing train to any overheating of a train’s bearings</w:t>
      </w:r>
      <w:r w:rsidR="00CF5BCE" w:rsidRPr="00320734">
        <w:rPr>
          <w:rFonts w:cs="Arial"/>
          <w:sz w:val="24"/>
        </w:rPr>
        <w:t>,</w:t>
      </w:r>
      <w:r w:rsidRPr="00320734">
        <w:rPr>
          <w:rFonts w:cs="Arial"/>
          <w:sz w:val="24"/>
        </w:rPr>
        <w:t xml:space="preserve"> or wheels.</w:t>
      </w:r>
    </w:p>
    <w:p w14:paraId="510AA242" w14:textId="11492E5C" w:rsidR="00667CE7" w:rsidRPr="00320734" w:rsidRDefault="00667CE7" w:rsidP="00667CE7">
      <w:pPr>
        <w:pStyle w:val="par1"/>
        <w:rPr>
          <w:rFonts w:cs="Arial"/>
          <w:sz w:val="24"/>
        </w:rPr>
      </w:pPr>
      <w:r w:rsidRPr="00320734">
        <w:rPr>
          <w:rFonts w:cs="Arial"/>
          <w:sz w:val="24"/>
        </w:rPr>
        <w:t>(o)</w:t>
      </w:r>
      <w:r w:rsidRPr="00320734">
        <w:rPr>
          <w:rFonts w:cs="Arial"/>
          <w:sz w:val="24"/>
        </w:rPr>
        <w:tab/>
        <w:t>“Hot box detector” means a stationary, infrared detector located wayside that provides continuous, real-time monitoring to detect and alert railroad personnel of train equipment temperature changes allowing for early intervention.</w:t>
      </w:r>
    </w:p>
    <w:p w14:paraId="02DD98A8" w14:textId="2BB578B2" w:rsidR="000B1821" w:rsidRPr="00320734" w:rsidRDefault="000B1821" w:rsidP="00262D08">
      <w:pPr>
        <w:pStyle w:val="par1"/>
        <w:rPr>
          <w:rFonts w:cs="Arial"/>
          <w:sz w:val="24"/>
        </w:rPr>
      </w:pPr>
      <w:r w:rsidRPr="00320734">
        <w:rPr>
          <w:rFonts w:cs="Arial"/>
          <w:sz w:val="24"/>
        </w:rPr>
        <w:t>(</w:t>
      </w:r>
      <w:r w:rsidR="00667CE7" w:rsidRPr="00320734">
        <w:rPr>
          <w:rFonts w:cs="Arial"/>
          <w:sz w:val="24"/>
        </w:rPr>
        <w:t>p</w:t>
      </w:r>
      <w:r w:rsidRPr="00320734">
        <w:rPr>
          <w:rFonts w:cs="Arial"/>
          <w:sz w:val="24"/>
        </w:rPr>
        <w:t>)</w:t>
      </w:r>
      <w:r w:rsidRPr="00320734">
        <w:rPr>
          <w:rFonts w:cs="Arial"/>
          <w:sz w:val="24"/>
        </w:rPr>
        <w:tab/>
        <w:t>“Incident” has the meaning set forth in § 40-20-302(13), C.R.S.</w:t>
      </w:r>
    </w:p>
    <w:p w14:paraId="062A76EE" w14:textId="781E6597" w:rsidR="00262D08" w:rsidRPr="00320734" w:rsidRDefault="00262D08" w:rsidP="00262D08">
      <w:pPr>
        <w:pStyle w:val="par1"/>
        <w:rPr>
          <w:rFonts w:cs="Arial"/>
          <w:sz w:val="24"/>
        </w:rPr>
      </w:pPr>
      <w:r w:rsidRPr="00320734">
        <w:rPr>
          <w:rFonts w:cs="Arial"/>
          <w:sz w:val="24"/>
        </w:rPr>
        <w:t>(</w:t>
      </w:r>
      <w:r w:rsidR="00667CE7" w:rsidRPr="00320734">
        <w:rPr>
          <w:rFonts w:cs="Arial"/>
          <w:sz w:val="24"/>
        </w:rPr>
        <w:t>q</w:t>
      </w:r>
      <w:r w:rsidRPr="00320734">
        <w:rPr>
          <w:rFonts w:cs="Arial"/>
          <w:sz w:val="24"/>
        </w:rPr>
        <w:t>)</w:t>
      </w:r>
      <w:r w:rsidRPr="00320734">
        <w:rPr>
          <w:rFonts w:cs="Arial"/>
          <w:sz w:val="24"/>
        </w:rPr>
        <w:tab/>
        <w:t xml:space="preserve">“Main line” means a segment or route of railroad tracks of any railroad over which five million or more gross tons of railroad traffic is transported annually as documented in timetables filed with the Federal Railroad Administration, pursuant to </w:t>
      </w:r>
      <w:r w:rsidR="00D911DC" w:rsidRPr="00320734">
        <w:rPr>
          <w:rFonts w:cs="Arial"/>
          <w:sz w:val="24"/>
        </w:rPr>
        <w:t xml:space="preserve">§ 40-20-302(14), C.R.S.  </w:t>
      </w:r>
      <w:r w:rsidRPr="00320734">
        <w:rPr>
          <w:rFonts w:cs="Arial"/>
          <w:sz w:val="24"/>
        </w:rPr>
        <w:t xml:space="preserve">Main line does not include tourist, scenic, historic, or excursion operations as defined in </w:t>
      </w:r>
      <w:r w:rsidR="00D911DC" w:rsidRPr="00320734">
        <w:rPr>
          <w:rFonts w:cs="Arial"/>
          <w:sz w:val="24"/>
        </w:rPr>
        <w:t>§ 40-20-302(14), C.R.S.</w:t>
      </w:r>
    </w:p>
    <w:p w14:paraId="0AAD5D7F" w14:textId="06125ED1" w:rsidR="002E55E1" w:rsidRPr="00320734" w:rsidRDefault="00667CE7" w:rsidP="002E55E1">
      <w:pPr>
        <w:pStyle w:val="par1"/>
        <w:rPr>
          <w:rFonts w:cs="Arial"/>
          <w:sz w:val="24"/>
        </w:rPr>
      </w:pPr>
      <w:r w:rsidRPr="00320734">
        <w:rPr>
          <w:rFonts w:cs="Arial"/>
          <w:sz w:val="24"/>
        </w:rPr>
        <w:t>(r)</w:t>
      </w:r>
      <w:r w:rsidR="000B1821" w:rsidRPr="00320734">
        <w:rPr>
          <w:rFonts w:cs="Arial"/>
          <w:sz w:val="24"/>
        </w:rPr>
        <w:tab/>
      </w:r>
      <w:r w:rsidR="002E55E1" w:rsidRPr="00320734">
        <w:rPr>
          <w:rFonts w:cs="Arial"/>
          <w:sz w:val="24"/>
        </w:rPr>
        <w:t>“Onboard hot box detector” means an infrared detector located on board a train that provides continuous, real-time monitoring to detect and alert railroad personnel of train equipment temperature changes allowing for early intervention.</w:t>
      </w:r>
    </w:p>
    <w:p w14:paraId="32ABABF5" w14:textId="412C52A8" w:rsidR="00667CE7" w:rsidRPr="00320734" w:rsidRDefault="00667CE7" w:rsidP="00667CE7">
      <w:pPr>
        <w:pStyle w:val="par1"/>
        <w:rPr>
          <w:sz w:val="24"/>
        </w:rPr>
      </w:pPr>
      <w:r w:rsidRPr="00320734">
        <w:rPr>
          <w:sz w:val="24"/>
        </w:rPr>
        <w:t>(s)</w:t>
      </w:r>
      <w:r w:rsidRPr="00320734">
        <w:rPr>
          <w:sz w:val="24"/>
        </w:rPr>
        <w:tab/>
        <w:t>“Passenger rail system” means a rail system as defined in § 32-22-102(9), C.R.S.</w:t>
      </w:r>
    </w:p>
    <w:p w14:paraId="2621405C" w14:textId="5C6BDA29" w:rsidR="00262D08" w:rsidRPr="00320734" w:rsidRDefault="00262D08" w:rsidP="00262D08">
      <w:pPr>
        <w:pStyle w:val="par1"/>
        <w:rPr>
          <w:rFonts w:cs="Arial"/>
          <w:sz w:val="24"/>
        </w:rPr>
      </w:pPr>
      <w:r w:rsidRPr="00320734">
        <w:rPr>
          <w:rFonts w:cs="Arial"/>
          <w:sz w:val="24"/>
        </w:rPr>
        <w:t>(</w:t>
      </w:r>
      <w:r w:rsidR="00667CE7" w:rsidRPr="00320734">
        <w:rPr>
          <w:rFonts w:cs="Arial"/>
          <w:sz w:val="24"/>
        </w:rPr>
        <w:t>t</w:t>
      </w:r>
      <w:r w:rsidRPr="00320734">
        <w:rPr>
          <w:rFonts w:cs="Arial"/>
          <w:sz w:val="24"/>
        </w:rPr>
        <w:t>)</w:t>
      </w:r>
      <w:r w:rsidRPr="00320734">
        <w:rPr>
          <w:rFonts w:cs="Arial"/>
          <w:sz w:val="24"/>
        </w:rPr>
        <w:tab/>
        <w:t>“Railroad” means a person providing railroad transportation.</w:t>
      </w:r>
    </w:p>
    <w:p w14:paraId="64AED03A" w14:textId="309D3CA6" w:rsidR="00262D08" w:rsidRPr="00320734" w:rsidRDefault="00262D08" w:rsidP="00262D08">
      <w:pPr>
        <w:pStyle w:val="par1"/>
        <w:rPr>
          <w:rFonts w:cs="Arial"/>
          <w:sz w:val="24"/>
        </w:rPr>
      </w:pPr>
      <w:r w:rsidRPr="00320734">
        <w:rPr>
          <w:rFonts w:cs="Arial"/>
          <w:sz w:val="24"/>
        </w:rPr>
        <w:t>(</w:t>
      </w:r>
      <w:r w:rsidR="00667CE7" w:rsidRPr="00320734">
        <w:rPr>
          <w:rFonts w:cs="Arial"/>
          <w:sz w:val="24"/>
        </w:rPr>
        <w:t>u</w:t>
      </w:r>
      <w:r w:rsidRPr="00320734">
        <w:rPr>
          <w:rFonts w:cs="Arial"/>
          <w:sz w:val="24"/>
        </w:rPr>
        <w:t>)</w:t>
      </w:r>
      <w:r w:rsidRPr="00320734">
        <w:rPr>
          <w:rFonts w:cs="Arial"/>
          <w:sz w:val="24"/>
        </w:rPr>
        <w:tab/>
        <w:t>“Railroad transportation” means any form of nonhighway ground transportation that runs on rails or electromagnetic guideways.  “Railroad transportation” does not include rapid transit operations, public transportation, rail fixed guideway operations, or commuter passenger rail that:</w:t>
      </w:r>
    </w:p>
    <w:p w14:paraId="217733DD" w14:textId="17D71B76" w:rsidR="00262D08" w:rsidRPr="00320734" w:rsidRDefault="00262D08" w:rsidP="00262D08">
      <w:pPr>
        <w:pStyle w:val="par2"/>
        <w:rPr>
          <w:rFonts w:cs="Arial"/>
          <w:sz w:val="24"/>
        </w:rPr>
      </w:pPr>
      <w:r w:rsidRPr="00320734">
        <w:rPr>
          <w:rFonts w:cs="Arial"/>
          <w:sz w:val="24"/>
        </w:rPr>
        <w:t>(I) </w:t>
      </w:r>
      <w:r w:rsidRPr="00320734">
        <w:rPr>
          <w:rFonts w:cs="Arial"/>
          <w:sz w:val="24"/>
        </w:rPr>
        <w:tab/>
      </w:r>
      <w:r w:rsidR="00D911DC" w:rsidRPr="00320734">
        <w:rPr>
          <w:rFonts w:cs="Arial"/>
          <w:sz w:val="24"/>
        </w:rPr>
        <w:t>i</w:t>
      </w:r>
      <w:r w:rsidRPr="00320734">
        <w:rPr>
          <w:rFonts w:cs="Arial"/>
          <w:sz w:val="24"/>
        </w:rPr>
        <w:t>s in an urban or a suburban area; and</w:t>
      </w:r>
    </w:p>
    <w:p w14:paraId="750D633F" w14:textId="32453A69" w:rsidR="00262D08" w:rsidRPr="00320734" w:rsidRDefault="00262D08" w:rsidP="00262D08">
      <w:pPr>
        <w:pStyle w:val="par2"/>
        <w:rPr>
          <w:rFonts w:cs="Arial"/>
          <w:sz w:val="24"/>
        </w:rPr>
      </w:pPr>
      <w:r w:rsidRPr="00320734">
        <w:rPr>
          <w:rFonts w:cs="Arial"/>
          <w:sz w:val="24"/>
        </w:rPr>
        <w:t>(II) </w:t>
      </w:r>
      <w:r w:rsidRPr="00320734">
        <w:rPr>
          <w:rFonts w:cs="Arial"/>
          <w:sz w:val="24"/>
        </w:rPr>
        <w:tab/>
      </w:r>
      <w:r w:rsidR="00D911DC" w:rsidRPr="00320734">
        <w:rPr>
          <w:rFonts w:cs="Arial"/>
          <w:sz w:val="24"/>
        </w:rPr>
        <w:t>i</w:t>
      </w:r>
      <w:r w:rsidRPr="00320734">
        <w:rPr>
          <w:rFonts w:cs="Arial"/>
          <w:sz w:val="24"/>
        </w:rPr>
        <w:t>s not connected to a general or an interstate railroad system.</w:t>
      </w:r>
    </w:p>
    <w:p w14:paraId="6AC7964C" w14:textId="1B2C7969" w:rsidR="00667CE7" w:rsidRPr="00320734" w:rsidRDefault="00667CE7" w:rsidP="00667CE7">
      <w:pPr>
        <w:pStyle w:val="par1"/>
        <w:rPr>
          <w:sz w:val="24"/>
        </w:rPr>
      </w:pPr>
      <w:r w:rsidRPr="00320734">
        <w:rPr>
          <w:sz w:val="24"/>
        </w:rPr>
        <w:t>(v)</w:t>
      </w:r>
      <w:r w:rsidRPr="00320734">
        <w:rPr>
          <w:sz w:val="24"/>
        </w:rPr>
        <w:tab/>
        <w:t>“Sensitive area protection walkthrough” means a field-based familiarization activity focused on site-specific sensitive environmental or community areas (e.g., waterways, drinking water intakes) to review spill containment and protection strategies.</w:t>
      </w:r>
    </w:p>
    <w:p w14:paraId="1DA57069" w14:textId="7C514A9F" w:rsidR="00262D08" w:rsidRPr="00320734" w:rsidRDefault="00262D08" w:rsidP="00262D08">
      <w:pPr>
        <w:pStyle w:val="par1"/>
        <w:rPr>
          <w:rFonts w:cs="Arial"/>
          <w:sz w:val="24"/>
        </w:rPr>
      </w:pPr>
      <w:r w:rsidRPr="00320734">
        <w:rPr>
          <w:rFonts w:cs="Arial"/>
          <w:sz w:val="24"/>
        </w:rPr>
        <w:t>(</w:t>
      </w:r>
      <w:r w:rsidR="00667CE7" w:rsidRPr="00320734">
        <w:rPr>
          <w:rFonts w:cs="Arial"/>
          <w:sz w:val="24"/>
        </w:rPr>
        <w:t>w</w:t>
      </w:r>
      <w:r w:rsidRPr="00320734">
        <w:rPr>
          <w:rFonts w:cs="Arial"/>
          <w:sz w:val="24"/>
        </w:rPr>
        <w:t>)</w:t>
      </w:r>
      <w:r w:rsidRPr="00320734">
        <w:rPr>
          <w:rFonts w:cs="Arial"/>
          <w:sz w:val="24"/>
        </w:rPr>
        <w:tab/>
        <w:t xml:space="preserve">“Siding” has the meaning set forth in </w:t>
      </w:r>
      <w:r w:rsidR="00F22EFB" w:rsidRPr="00320734">
        <w:rPr>
          <w:rFonts w:cs="Arial"/>
          <w:sz w:val="24"/>
        </w:rPr>
        <w:t>§</w:t>
      </w:r>
      <w:r w:rsidR="00380FA3" w:rsidRPr="00320734">
        <w:rPr>
          <w:rFonts w:cs="Arial"/>
          <w:sz w:val="24"/>
        </w:rPr>
        <w:t xml:space="preserve"> </w:t>
      </w:r>
      <w:r w:rsidR="00F22EFB" w:rsidRPr="00320734">
        <w:rPr>
          <w:rFonts w:cs="Arial"/>
          <w:sz w:val="24"/>
        </w:rPr>
        <w:t>40-20-302(22), C.R.S</w:t>
      </w:r>
      <w:r w:rsidR="00C53A69" w:rsidRPr="00320734">
        <w:rPr>
          <w:rFonts w:cs="Arial"/>
          <w:sz w:val="24"/>
        </w:rPr>
        <w:t>.</w:t>
      </w:r>
    </w:p>
    <w:p w14:paraId="72450194" w14:textId="143A611A" w:rsidR="00667CE7" w:rsidRPr="00320734" w:rsidRDefault="00667CE7" w:rsidP="00667CE7">
      <w:pPr>
        <w:pStyle w:val="par1"/>
        <w:rPr>
          <w:sz w:val="24"/>
        </w:rPr>
      </w:pPr>
      <w:r w:rsidRPr="00320734">
        <w:rPr>
          <w:sz w:val="24"/>
        </w:rPr>
        <w:t>(x)</w:t>
      </w:r>
      <w:r w:rsidRPr="00320734">
        <w:rPr>
          <w:sz w:val="24"/>
        </w:rPr>
        <w:tab/>
        <w:t xml:space="preserve">“Tabletop exercise” means a discussion-based exercise conducted in response to a simulated hypothetical emergency or crisis scenario, that involves key </w:t>
      </w:r>
      <w:r w:rsidRPr="00320734">
        <w:rPr>
          <w:sz w:val="24"/>
        </w:rPr>
        <w:lastRenderedPageBreak/>
        <w:t>personnel from affected railroads, Emergency Management Organizations, and first responder agencies, and is intended to promote conceptual understanding, strengthen coordination, identify strengths and areas for improvement, and evaluate relevant plans, policies, or procedures.</w:t>
      </w:r>
    </w:p>
    <w:p w14:paraId="6ED61DD2" w14:textId="1EABDF84" w:rsidR="00262D08" w:rsidRPr="00320734" w:rsidRDefault="00262D08" w:rsidP="00CF5BCE">
      <w:pPr>
        <w:pStyle w:val="par1"/>
        <w:rPr>
          <w:rFonts w:cs="Arial"/>
          <w:sz w:val="24"/>
        </w:rPr>
      </w:pPr>
      <w:r w:rsidRPr="00320734">
        <w:rPr>
          <w:rFonts w:cs="Arial"/>
          <w:sz w:val="24"/>
        </w:rPr>
        <w:t>(</w:t>
      </w:r>
      <w:r w:rsidR="00917DCE" w:rsidRPr="00320734">
        <w:rPr>
          <w:rFonts w:cs="Arial"/>
          <w:sz w:val="24"/>
        </w:rPr>
        <w:t>y</w:t>
      </w:r>
      <w:r w:rsidRPr="00320734">
        <w:rPr>
          <w:rFonts w:cs="Arial"/>
          <w:sz w:val="24"/>
        </w:rPr>
        <w:t>)</w:t>
      </w:r>
      <w:r w:rsidRPr="00320734">
        <w:rPr>
          <w:rFonts w:cs="Arial"/>
          <w:sz w:val="24"/>
        </w:rPr>
        <w:tab/>
        <w:t xml:space="preserve">“Train” means a locomotive unit or locomotive units, with or without cars, that require an air brake test pursuant to </w:t>
      </w:r>
      <w:r w:rsidR="00CF5BCE" w:rsidRPr="00320734">
        <w:rPr>
          <w:rFonts w:cs="Arial"/>
          <w:sz w:val="24"/>
        </w:rPr>
        <w:t>§ 40-20-302(23), C.R.S.</w:t>
      </w:r>
    </w:p>
    <w:p w14:paraId="2742EB8A" w14:textId="719B9799" w:rsidR="00262D08" w:rsidRPr="00320734" w:rsidRDefault="00262D08" w:rsidP="00262D08">
      <w:pPr>
        <w:pStyle w:val="par1"/>
        <w:rPr>
          <w:rFonts w:cs="Arial"/>
          <w:sz w:val="24"/>
        </w:rPr>
      </w:pPr>
      <w:r w:rsidRPr="00320734">
        <w:rPr>
          <w:rFonts w:cs="Arial"/>
          <w:sz w:val="24"/>
        </w:rPr>
        <w:t>(</w:t>
      </w:r>
      <w:r w:rsidR="00917DCE" w:rsidRPr="00320734">
        <w:rPr>
          <w:rFonts w:cs="Arial"/>
          <w:sz w:val="24"/>
        </w:rPr>
        <w:t>z</w:t>
      </w:r>
      <w:r w:rsidRPr="00320734">
        <w:rPr>
          <w:rFonts w:cs="Arial"/>
          <w:sz w:val="24"/>
        </w:rPr>
        <w:t>)</w:t>
      </w:r>
      <w:r w:rsidRPr="00320734">
        <w:rPr>
          <w:rFonts w:cs="Arial"/>
          <w:sz w:val="24"/>
        </w:rPr>
        <w:tab/>
        <w:t xml:space="preserve">“Wayside detector system” means an electronic device or a series of connected devices that monitors a passing train to determine whether the train has a defect, including, but not limited to, a </w:t>
      </w:r>
      <w:r w:rsidR="00260A46" w:rsidRPr="00320734">
        <w:rPr>
          <w:rFonts w:cs="Arial"/>
          <w:sz w:val="24"/>
        </w:rPr>
        <w:t xml:space="preserve">hot box detector, </w:t>
      </w:r>
      <w:r w:rsidRPr="00320734">
        <w:rPr>
          <w:rFonts w:cs="Arial"/>
          <w:sz w:val="24"/>
        </w:rPr>
        <w:t>hot bearings detector</w:t>
      </w:r>
      <w:r w:rsidR="00260A46" w:rsidRPr="00320734">
        <w:rPr>
          <w:rFonts w:cs="Arial"/>
          <w:sz w:val="24"/>
        </w:rPr>
        <w:t>,</w:t>
      </w:r>
      <w:r w:rsidRPr="00320734">
        <w:rPr>
          <w:rFonts w:cs="Arial"/>
          <w:sz w:val="24"/>
        </w:rPr>
        <w:t xml:space="preserve"> and</w:t>
      </w:r>
      <w:r w:rsidR="00FB3078" w:rsidRPr="00320734">
        <w:rPr>
          <w:rFonts w:cs="Arial"/>
          <w:sz w:val="24"/>
        </w:rPr>
        <w:t xml:space="preserve"> </w:t>
      </w:r>
      <w:r w:rsidRPr="00320734">
        <w:rPr>
          <w:rFonts w:cs="Arial"/>
          <w:sz w:val="24"/>
        </w:rPr>
        <w:t>dragging equipment detect</w:t>
      </w:r>
      <w:r w:rsidR="005D3D5A" w:rsidRPr="00320734">
        <w:rPr>
          <w:rFonts w:cs="Arial"/>
          <w:sz w:val="24"/>
        </w:rPr>
        <w:t>or</w:t>
      </w:r>
      <w:r w:rsidRPr="00320734">
        <w:rPr>
          <w:rFonts w:cs="Arial"/>
          <w:sz w:val="24"/>
        </w:rPr>
        <w:t>.</w:t>
      </w:r>
    </w:p>
    <w:p w14:paraId="7DFB4C94" w14:textId="7474AFC2" w:rsidR="00262D08" w:rsidRPr="00320734" w:rsidRDefault="00262D08" w:rsidP="00262D08">
      <w:pPr>
        <w:pStyle w:val="Title3"/>
        <w:rPr>
          <w:sz w:val="24"/>
          <w:szCs w:val="24"/>
        </w:rPr>
      </w:pPr>
      <w:r w:rsidRPr="00320734">
        <w:rPr>
          <w:sz w:val="24"/>
          <w:szCs w:val="24"/>
        </w:rPr>
        <w:t>7332.</w:t>
      </w:r>
      <w:r w:rsidRPr="00320734">
        <w:rPr>
          <w:sz w:val="24"/>
          <w:szCs w:val="24"/>
        </w:rPr>
        <w:tab/>
        <w:t>Wayside Detector Systems and Reports.</w:t>
      </w:r>
    </w:p>
    <w:p w14:paraId="2CB5BB6F" w14:textId="20B472E9" w:rsidR="00262D08" w:rsidRPr="00320734" w:rsidRDefault="00262D08" w:rsidP="00D258AE">
      <w:pPr>
        <w:pStyle w:val="upar1"/>
        <w:rPr>
          <w:sz w:val="24"/>
          <w:szCs w:val="24"/>
        </w:rPr>
      </w:pPr>
      <w:r w:rsidRPr="00320734">
        <w:rPr>
          <w:sz w:val="24"/>
          <w:szCs w:val="24"/>
        </w:rPr>
        <w:t>Starting January 1, 2025, and on or before January 1 of each year thereafter, all railroads operating any main line in the state of Colorado shall submit to the Commission a report, available for public inspection, that discloses the following information regarding wayside detector systems:</w:t>
      </w:r>
    </w:p>
    <w:p w14:paraId="52E459EE" w14:textId="4D7E1199" w:rsidR="00262D08" w:rsidRPr="00320734" w:rsidRDefault="00262D08" w:rsidP="00D258AE">
      <w:pPr>
        <w:pStyle w:val="par1"/>
        <w:rPr>
          <w:rFonts w:cs="Arial"/>
          <w:sz w:val="24"/>
        </w:rPr>
      </w:pPr>
      <w:r w:rsidRPr="00320734">
        <w:rPr>
          <w:rFonts w:cs="Arial"/>
          <w:sz w:val="24"/>
        </w:rPr>
        <w:t>(</w:t>
      </w:r>
      <w:r w:rsidR="00522B92" w:rsidRPr="00320734">
        <w:rPr>
          <w:rFonts w:cs="Arial"/>
          <w:sz w:val="24"/>
        </w:rPr>
        <w:t>a</w:t>
      </w:r>
      <w:r w:rsidRPr="00320734">
        <w:rPr>
          <w:rFonts w:cs="Arial"/>
          <w:sz w:val="24"/>
        </w:rPr>
        <w:t>)</w:t>
      </w:r>
      <w:r w:rsidRPr="00320734">
        <w:rPr>
          <w:rFonts w:cs="Arial"/>
          <w:sz w:val="24"/>
        </w:rPr>
        <w:tab/>
        <w:t>type of wayside detector system;</w:t>
      </w:r>
    </w:p>
    <w:p w14:paraId="1D5AD9AD" w14:textId="21242F44" w:rsidR="00262D08" w:rsidRPr="00320734" w:rsidRDefault="00262D08" w:rsidP="00D258AE">
      <w:pPr>
        <w:pStyle w:val="par1"/>
        <w:rPr>
          <w:rFonts w:cs="Arial"/>
          <w:sz w:val="24"/>
        </w:rPr>
      </w:pPr>
      <w:r w:rsidRPr="00320734">
        <w:rPr>
          <w:rFonts w:cs="Arial"/>
          <w:sz w:val="24"/>
        </w:rPr>
        <w:t>(</w:t>
      </w:r>
      <w:r w:rsidR="00DF26D2" w:rsidRPr="00320734">
        <w:rPr>
          <w:rFonts w:cs="Arial"/>
          <w:sz w:val="24"/>
        </w:rPr>
        <w:t>b</w:t>
      </w:r>
      <w:r w:rsidRPr="00320734">
        <w:rPr>
          <w:rFonts w:cs="Arial"/>
          <w:sz w:val="24"/>
        </w:rPr>
        <w:t>)</w:t>
      </w:r>
      <w:r w:rsidRPr="00320734">
        <w:rPr>
          <w:rFonts w:cs="Arial"/>
          <w:sz w:val="24"/>
        </w:rPr>
        <w:tab/>
        <w:t>general location of wayside detector system;</w:t>
      </w:r>
    </w:p>
    <w:p w14:paraId="415D9000" w14:textId="4D4B3A2F" w:rsidR="00262D08" w:rsidRPr="00320734" w:rsidRDefault="00262D08" w:rsidP="00D258AE">
      <w:pPr>
        <w:pStyle w:val="par1"/>
        <w:rPr>
          <w:rFonts w:cs="Arial"/>
          <w:sz w:val="24"/>
        </w:rPr>
      </w:pPr>
      <w:r w:rsidRPr="00320734">
        <w:rPr>
          <w:rFonts w:cs="Arial"/>
          <w:sz w:val="24"/>
        </w:rPr>
        <w:t>(</w:t>
      </w:r>
      <w:r w:rsidR="00DF26D2" w:rsidRPr="00320734">
        <w:rPr>
          <w:rFonts w:cs="Arial"/>
          <w:sz w:val="24"/>
        </w:rPr>
        <w:t>c</w:t>
      </w:r>
      <w:r w:rsidRPr="00320734">
        <w:rPr>
          <w:rFonts w:cs="Arial"/>
          <w:sz w:val="24"/>
        </w:rPr>
        <w:t>)</w:t>
      </w:r>
      <w:r w:rsidRPr="00320734">
        <w:rPr>
          <w:rFonts w:cs="Arial"/>
          <w:sz w:val="24"/>
        </w:rPr>
        <w:tab/>
        <w:t>spacing of wayside detectors by each type of wayside detector system;</w:t>
      </w:r>
    </w:p>
    <w:p w14:paraId="3D6A14C9" w14:textId="13B88226" w:rsidR="00262D08" w:rsidRPr="00320734" w:rsidRDefault="00262D08" w:rsidP="00D258AE">
      <w:pPr>
        <w:pStyle w:val="par1"/>
        <w:rPr>
          <w:rFonts w:cs="Arial"/>
          <w:sz w:val="24"/>
        </w:rPr>
      </w:pPr>
      <w:r w:rsidRPr="00320734">
        <w:rPr>
          <w:rFonts w:cs="Arial"/>
          <w:sz w:val="24"/>
        </w:rPr>
        <w:t>(</w:t>
      </w:r>
      <w:r w:rsidR="00DF26D2" w:rsidRPr="00320734">
        <w:rPr>
          <w:rFonts w:cs="Arial"/>
          <w:sz w:val="24"/>
        </w:rPr>
        <w:t>d</w:t>
      </w:r>
      <w:r w:rsidRPr="00320734">
        <w:rPr>
          <w:rFonts w:cs="Arial"/>
          <w:sz w:val="24"/>
        </w:rPr>
        <w:t>)</w:t>
      </w:r>
      <w:r w:rsidRPr="00320734">
        <w:rPr>
          <w:rFonts w:cs="Arial"/>
          <w:sz w:val="24"/>
        </w:rPr>
        <w:tab/>
        <w:t>a description of how each wayside detector system used by the railroad promotes safety;</w:t>
      </w:r>
    </w:p>
    <w:p w14:paraId="29AC331F" w14:textId="3E67DD1E" w:rsidR="00262D08" w:rsidRPr="00320734" w:rsidRDefault="00262D08" w:rsidP="00D258AE">
      <w:pPr>
        <w:pStyle w:val="par1"/>
        <w:rPr>
          <w:rFonts w:cs="Arial"/>
          <w:sz w:val="24"/>
        </w:rPr>
      </w:pPr>
      <w:r w:rsidRPr="00320734">
        <w:rPr>
          <w:rFonts w:cs="Arial"/>
          <w:sz w:val="24"/>
        </w:rPr>
        <w:t>(</w:t>
      </w:r>
      <w:r w:rsidR="00DF26D2" w:rsidRPr="00320734">
        <w:rPr>
          <w:rFonts w:cs="Arial"/>
          <w:sz w:val="24"/>
        </w:rPr>
        <w:t>e</w:t>
      </w:r>
      <w:r w:rsidRPr="00320734">
        <w:rPr>
          <w:rFonts w:cs="Arial"/>
          <w:sz w:val="24"/>
        </w:rPr>
        <w:t>)</w:t>
      </w:r>
      <w:r w:rsidRPr="00320734">
        <w:rPr>
          <w:rFonts w:cs="Arial"/>
          <w:sz w:val="24"/>
        </w:rPr>
        <w:tab/>
        <w:t>a general description of the process by which defects or other detections are managed in order to provide notice to train operators and others for each wayside detector system used by the railroad;</w:t>
      </w:r>
    </w:p>
    <w:p w14:paraId="4E31E668" w14:textId="41B898F0" w:rsidR="00262D08" w:rsidRPr="00320734" w:rsidRDefault="00262D08" w:rsidP="00D258AE">
      <w:pPr>
        <w:pStyle w:val="par1"/>
        <w:rPr>
          <w:rFonts w:cs="Arial"/>
          <w:sz w:val="24"/>
        </w:rPr>
      </w:pPr>
      <w:r w:rsidRPr="00320734">
        <w:rPr>
          <w:rFonts w:cs="Arial"/>
          <w:sz w:val="24"/>
        </w:rPr>
        <w:t>(</w:t>
      </w:r>
      <w:r w:rsidR="00DF26D2" w:rsidRPr="00320734">
        <w:rPr>
          <w:rFonts w:cs="Arial"/>
          <w:sz w:val="24"/>
        </w:rPr>
        <w:t>f</w:t>
      </w:r>
      <w:r w:rsidRPr="00320734">
        <w:rPr>
          <w:rFonts w:cs="Arial"/>
          <w:sz w:val="24"/>
        </w:rPr>
        <w:t>)</w:t>
      </w:r>
      <w:r w:rsidRPr="00320734">
        <w:rPr>
          <w:rFonts w:cs="Arial"/>
          <w:sz w:val="24"/>
        </w:rPr>
        <w:tab/>
        <w:t>the percentage of time that each type of wayside detector was operational for the previous year; and</w:t>
      </w:r>
    </w:p>
    <w:p w14:paraId="6B60FBD2" w14:textId="5A514FE6" w:rsidR="00262D08" w:rsidRPr="00320734" w:rsidRDefault="00262D08" w:rsidP="00D258AE">
      <w:pPr>
        <w:pStyle w:val="par1"/>
        <w:rPr>
          <w:rFonts w:cs="Arial"/>
          <w:sz w:val="24"/>
        </w:rPr>
      </w:pPr>
      <w:r w:rsidRPr="00320734">
        <w:rPr>
          <w:rFonts w:cs="Arial"/>
          <w:sz w:val="24"/>
        </w:rPr>
        <w:t>(</w:t>
      </w:r>
      <w:r w:rsidR="00DF26D2" w:rsidRPr="00320734">
        <w:rPr>
          <w:rFonts w:cs="Arial"/>
          <w:sz w:val="24"/>
        </w:rPr>
        <w:t>g</w:t>
      </w:r>
      <w:r w:rsidRPr="00320734">
        <w:rPr>
          <w:rFonts w:cs="Arial"/>
          <w:sz w:val="24"/>
        </w:rPr>
        <w:t>)</w:t>
      </w:r>
      <w:r w:rsidRPr="00320734">
        <w:rPr>
          <w:rFonts w:cs="Arial"/>
          <w:sz w:val="24"/>
        </w:rPr>
        <w:tab/>
        <w:t>plans to adjust or improve the wayside detector system or review wayside detector technology.</w:t>
      </w:r>
      <w:bookmarkStart w:id="2" w:name="_Toc200350832"/>
    </w:p>
    <w:bookmarkEnd w:id="2"/>
    <w:p w14:paraId="7E7B3A3C" w14:textId="6EFAF275" w:rsidR="00980B32" w:rsidRPr="00380FA3" w:rsidRDefault="00980B32" w:rsidP="00444106">
      <w:pPr>
        <w:pStyle w:val="Title3NotWithNext"/>
      </w:pPr>
    </w:p>
    <w:sectPr w:rsidR="00980B32" w:rsidRPr="00380FA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B004A" w14:textId="77777777" w:rsidR="00BC4D18" w:rsidRDefault="00BC4D18" w:rsidP="000578DE">
      <w:pPr>
        <w:spacing w:before="0"/>
      </w:pPr>
      <w:r>
        <w:separator/>
      </w:r>
    </w:p>
  </w:endnote>
  <w:endnote w:type="continuationSeparator" w:id="0">
    <w:p w14:paraId="5984F415" w14:textId="77777777" w:rsidR="00BC4D18" w:rsidRDefault="00BC4D18" w:rsidP="000578D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104A3" w14:textId="77777777" w:rsidR="00BC4D18" w:rsidRDefault="00BC4D18" w:rsidP="000578DE">
      <w:pPr>
        <w:spacing w:before="0"/>
      </w:pPr>
      <w:r>
        <w:separator/>
      </w:r>
    </w:p>
  </w:footnote>
  <w:footnote w:type="continuationSeparator" w:id="0">
    <w:p w14:paraId="4587BCCA" w14:textId="77777777" w:rsidR="00BC4D18" w:rsidRDefault="00BC4D18" w:rsidP="000578DE">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4588A" w14:textId="50D4B7F0" w:rsidR="000578DE" w:rsidRPr="00D320CC" w:rsidRDefault="000578DE" w:rsidP="000578DE">
    <w:pPr>
      <w:pStyle w:val="Header"/>
    </w:pPr>
    <w:r w:rsidRPr="00D320CC">
      <w:t xml:space="preserve">Attachment </w:t>
    </w:r>
    <w:r w:rsidR="006E0C32">
      <w:t>B</w:t>
    </w:r>
    <w:r w:rsidRPr="00D320CC">
      <w:t xml:space="preserve"> – </w:t>
    </w:r>
    <w:r w:rsidR="006E0C32">
      <w:t>Adopt</w:t>
    </w:r>
    <w:r w:rsidRPr="00D320CC">
      <w:t xml:space="preserve">ed Rules in </w:t>
    </w:r>
    <w:r w:rsidR="006E0C32">
      <w:t>Clean</w:t>
    </w:r>
    <w:r w:rsidRPr="00D320CC">
      <w:t xml:space="preserve"> Format</w:t>
    </w:r>
  </w:p>
  <w:p w14:paraId="71159001" w14:textId="7B1BE848" w:rsidR="000578DE" w:rsidRPr="00D320CC" w:rsidRDefault="000578DE" w:rsidP="000578DE">
    <w:pPr>
      <w:pStyle w:val="Header"/>
    </w:pPr>
    <w:r w:rsidRPr="00D320CC">
      <w:t xml:space="preserve">Decision No. </w:t>
    </w:r>
    <w:r w:rsidR="00920702">
      <w:t>R</w:t>
    </w:r>
    <w:r w:rsidRPr="00D320CC">
      <w:t>2</w:t>
    </w:r>
    <w:r w:rsidR="00920702">
      <w:t>6</w:t>
    </w:r>
    <w:r w:rsidRPr="00D320CC">
      <w:t>-0</w:t>
    </w:r>
    <w:r w:rsidR="006543B5">
      <w:t>341</w:t>
    </w:r>
  </w:p>
  <w:p w14:paraId="63426974" w14:textId="44212BA6" w:rsidR="000578DE" w:rsidRPr="00D320CC" w:rsidRDefault="000578DE" w:rsidP="000578DE">
    <w:pPr>
      <w:pStyle w:val="Header"/>
    </w:pPr>
    <w:r w:rsidRPr="00D320CC">
      <w:t>Proceeding No. 25R-0</w:t>
    </w:r>
    <w:r>
      <w:t>408</w:t>
    </w:r>
    <w:r w:rsidRPr="00D320CC">
      <w:t>R</w:t>
    </w:r>
  </w:p>
  <w:p w14:paraId="05D460FC" w14:textId="77777777" w:rsidR="000578DE" w:rsidRPr="00D320CC" w:rsidRDefault="000578DE" w:rsidP="000578DE">
    <w:pPr>
      <w:pStyle w:val="Header"/>
    </w:pPr>
    <w:r w:rsidRPr="00D320CC">
      <w:t xml:space="preserve">Page </w:t>
    </w:r>
    <w:r w:rsidRPr="00D320CC">
      <w:fldChar w:fldCharType="begin"/>
    </w:r>
    <w:r w:rsidRPr="00D320CC">
      <w:instrText xml:space="preserve"> PAGE </w:instrText>
    </w:r>
    <w:r w:rsidRPr="00D320CC">
      <w:fldChar w:fldCharType="separate"/>
    </w:r>
    <w:r>
      <w:t>1</w:t>
    </w:r>
    <w:r w:rsidRPr="00D320CC">
      <w:fldChar w:fldCharType="end"/>
    </w:r>
    <w:r w:rsidRPr="00D320CC">
      <w:t xml:space="preserve"> of </w:t>
    </w:r>
    <w:fldSimple w:instr=" NUMPAGES  ">
      <w:r>
        <w:t>5</w:t>
      </w:r>
    </w:fldSimple>
  </w:p>
  <w:p w14:paraId="7CA08089" w14:textId="77777777" w:rsidR="000578DE" w:rsidRDefault="000578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946EFE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4BE10A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84661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C8C97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56828A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EE2362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690006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5FC8E3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48E3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A9C0C24"/>
    <w:lvl w:ilvl="0">
      <w:start w:val="1"/>
      <w:numFmt w:val="bullet"/>
      <w:lvlText w:val=""/>
      <w:lvlJc w:val="left"/>
      <w:pPr>
        <w:tabs>
          <w:tab w:val="num" w:pos="360"/>
        </w:tabs>
        <w:ind w:left="360" w:hanging="360"/>
      </w:pPr>
      <w:rPr>
        <w:rFonts w:ascii="Symbol" w:hAnsi="Symbol" w:hint="default"/>
      </w:rPr>
    </w:lvl>
  </w:abstractNum>
  <w:num w:numId="1" w16cid:durableId="1419912290">
    <w:abstractNumId w:val="9"/>
  </w:num>
  <w:num w:numId="2" w16cid:durableId="1953710933">
    <w:abstractNumId w:val="7"/>
  </w:num>
  <w:num w:numId="3" w16cid:durableId="1710107690">
    <w:abstractNumId w:val="6"/>
  </w:num>
  <w:num w:numId="4" w16cid:durableId="1729184446">
    <w:abstractNumId w:val="5"/>
  </w:num>
  <w:num w:numId="5" w16cid:durableId="1623027697">
    <w:abstractNumId w:val="4"/>
  </w:num>
  <w:num w:numId="6" w16cid:durableId="584461283">
    <w:abstractNumId w:val="8"/>
  </w:num>
  <w:num w:numId="7" w16cid:durableId="1047802181">
    <w:abstractNumId w:val="3"/>
  </w:num>
  <w:num w:numId="8" w16cid:durableId="391579511">
    <w:abstractNumId w:val="2"/>
  </w:num>
  <w:num w:numId="9" w16cid:durableId="1588806707">
    <w:abstractNumId w:val="1"/>
  </w:num>
  <w:num w:numId="10" w16cid:durableId="2143649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D08"/>
    <w:rsid w:val="000014F0"/>
    <w:rsid w:val="000232EF"/>
    <w:rsid w:val="00024571"/>
    <w:rsid w:val="000302BA"/>
    <w:rsid w:val="000578DE"/>
    <w:rsid w:val="000963AA"/>
    <w:rsid w:val="000973B3"/>
    <w:rsid w:val="000B1821"/>
    <w:rsid w:val="000B74F4"/>
    <w:rsid w:val="000E0F3C"/>
    <w:rsid w:val="000F22C9"/>
    <w:rsid w:val="001115A6"/>
    <w:rsid w:val="00124E91"/>
    <w:rsid w:val="00175CD3"/>
    <w:rsid w:val="001A7658"/>
    <w:rsid w:val="001B34D9"/>
    <w:rsid w:val="00244740"/>
    <w:rsid w:val="00260A46"/>
    <w:rsid w:val="00262D08"/>
    <w:rsid w:val="0027394F"/>
    <w:rsid w:val="00276B18"/>
    <w:rsid w:val="002E55E1"/>
    <w:rsid w:val="002E68B3"/>
    <w:rsid w:val="002F3B93"/>
    <w:rsid w:val="002F4AE2"/>
    <w:rsid w:val="00306428"/>
    <w:rsid w:val="00320734"/>
    <w:rsid w:val="00337C4E"/>
    <w:rsid w:val="0034311B"/>
    <w:rsid w:val="00356F76"/>
    <w:rsid w:val="00377C1A"/>
    <w:rsid w:val="00380FA3"/>
    <w:rsid w:val="003B0480"/>
    <w:rsid w:val="003C5911"/>
    <w:rsid w:val="00444106"/>
    <w:rsid w:val="0048308D"/>
    <w:rsid w:val="004B1EC2"/>
    <w:rsid w:val="004F2D39"/>
    <w:rsid w:val="004F2FF9"/>
    <w:rsid w:val="00504357"/>
    <w:rsid w:val="00522B92"/>
    <w:rsid w:val="0055466E"/>
    <w:rsid w:val="00586245"/>
    <w:rsid w:val="005A1F72"/>
    <w:rsid w:val="005A2576"/>
    <w:rsid w:val="005C63FF"/>
    <w:rsid w:val="005D3D5A"/>
    <w:rsid w:val="005E39CC"/>
    <w:rsid w:val="005F6A82"/>
    <w:rsid w:val="006543B5"/>
    <w:rsid w:val="00667CE7"/>
    <w:rsid w:val="00682BE4"/>
    <w:rsid w:val="0068742C"/>
    <w:rsid w:val="006D6813"/>
    <w:rsid w:val="006E0C32"/>
    <w:rsid w:val="006E3959"/>
    <w:rsid w:val="00703B3A"/>
    <w:rsid w:val="00710091"/>
    <w:rsid w:val="00746120"/>
    <w:rsid w:val="00761AD3"/>
    <w:rsid w:val="00765B49"/>
    <w:rsid w:val="0077628C"/>
    <w:rsid w:val="007D4EA4"/>
    <w:rsid w:val="007D763A"/>
    <w:rsid w:val="007E789B"/>
    <w:rsid w:val="008057B1"/>
    <w:rsid w:val="00836915"/>
    <w:rsid w:val="00841EA0"/>
    <w:rsid w:val="00875180"/>
    <w:rsid w:val="00893917"/>
    <w:rsid w:val="008D4702"/>
    <w:rsid w:val="008F5C02"/>
    <w:rsid w:val="00901161"/>
    <w:rsid w:val="009045BC"/>
    <w:rsid w:val="00912169"/>
    <w:rsid w:val="00917DCE"/>
    <w:rsid w:val="00920702"/>
    <w:rsid w:val="00927272"/>
    <w:rsid w:val="00933FAA"/>
    <w:rsid w:val="00933FC7"/>
    <w:rsid w:val="00943B6D"/>
    <w:rsid w:val="00980B32"/>
    <w:rsid w:val="009959A5"/>
    <w:rsid w:val="009A79D9"/>
    <w:rsid w:val="009F434F"/>
    <w:rsid w:val="00A3466E"/>
    <w:rsid w:val="00A438C6"/>
    <w:rsid w:val="00A50A09"/>
    <w:rsid w:val="00A6134D"/>
    <w:rsid w:val="00A8338C"/>
    <w:rsid w:val="00A85FB0"/>
    <w:rsid w:val="00AB001C"/>
    <w:rsid w:val="00AC470B"/>
    <w:rsid w:val="00AC4748"/>
    <w:rsid w:val="00B0122C"/>
    <w:rsid w:val="00B366E2"/>
    <w:rsid w:val="00B4608C"/>
    <w:rsid w:val="00B557EE"/>
    <w:rsid w:val="00BA7E5F"/>
    <w:rsid w:val="00BC4D18"/>
    <w:rsid w:val="00BD4C2D"/>
    <w:rsid w:val="00BD738B"/>
    <w:rsid w:val="00C0491A"/>
    <w:rsid w:val="00C11CB4"/>
    <w:rsid w:val="00C16B62"/>
    <w:rsid w:val="00C35DC0"/>
    <w:rsid w:val="00C53A69"/>
    <w:rsid w:val="00C75AAD"/>
    <w:rsid w:val="00C77BD8"/>
    <w:rsid w:val="00C95BD6"/>
    <w:rsid w:val="00CA642D"/>
    <w:rsid w:val="00CF5BCE"/>
    <w:rsid w:val="00CF77C5"/>
    <w:rsid w:val="00D01F60"/>
    <w:rsid w:val="00D258AE"/>
    <w:rsid w:val="00D55139"/>
    <w:rsid w:val="00D8286C"/>
    <w:rsid w:val="00D86A86"/>
    <w:rsid w:val="00D911DC"/>
    <w:rsid w:val="00D934CA"/>
    <w:rsid w:val="00DD2E50"/>
    <w:rsid w:val="00DF26D2"/>
    <w:rsid w:val="00DF354B"/>
    <w:rsid w:val="00E260B3"/>
    <w:rsid w:val="00E73BCC"/>
    <w:rsid w:val="00EB2081"/>
    <w:rsid w:val="00EE3F61"/>
    <w:rsid w:val="00EF6036"/>
    <w:rsid w:val="00F22EFB"/>
    <w:rsid w:val="00F32E3A"/>
    <w:rsid w:val="00F838A8"/>
    <w:rsid w:val="00F9365F"/>
    <w:rsid w:val="00FB30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ostalCode"/>
  <w:shapeDefaults>
    <o:shapedefaults v:ext="edit" spidmax="1026"/>
    <o:shapelayout v:ext="edit">
      <o:idmap v:ext="edit" data="1"/>
    </o:shapelayout>
  </w:shapeDefaults>
  <w:decimalSymbol w:val="."/>
  <w:listSeparator w:val=","/>
  <w14:docId w14:val="6031BD2A"/>
  <w15:chartTrackingRefBased/>
  <w15:docId w15:val="{BEE541A3-0DDB-4810-8537-8C5982E6D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3B5"/>
    <w:pPr>
      <w:spacing w:before="240" w:after="0" w:line="240" w:lineRule="auto"/>
    </w:pPr>
    <w:rPr>
      <w:rFonts w:ascii="Arial" w:eastAsia="Times New Roman" w:hAnsi="Arial" w:cs="Times New Roman"/>
      <w:kern w:val="0"/>
      <w:sz w:val="20"/>
      <w:szCs w:val="20"/>
      <w14:ligatures w14:val="none"/>
    </w:rPr>
  </w:style>
  <w:style w:type="paragraph" w:styleId="Heading1">
    <w:name w:val="heading 1"/>
    <w:basedOn w:val="Normal"/>
    <w:next w:val="Normal"/>
    <w:link w:val="Heading1Char"/>
    <w:qFormat/>
    <w:rsid w:val="006543B5"/>
    <w:pPr>
      <w:keepNext/>
      <w:spacing w:after="60"/>
      <w:outlineLvl w:val="0"/>
    </w:pPr>
    <w:rPr>
      <w:b/>
      <w:bCs/>
      <w:kern w:val="32"/>
      <w:sz w:val="32"/>
      <w:szCs w:val="32"/>
    </w:rPr>
  </w:style>
  <w:style w:type="paragraph" w:styleId="Heading2">
    <w:name w:val="heading 2"/>
    <w:basedOn w:val="Normal"/>
    <w:next w:val="Normal"/>
    <w:link w:val="Heading2Char"/>
    <w:qFormat/>
    <w:rsid w:val="006543B5"/>
    <w:pPr>
      <w:keepNext/>
      <w:spacing w:after="60"/>
      <w:outlineLvl w:val="1"/>
    </w:pPr>
    <w:rPr>
      <w:b/>
      <w:bCs/>
      <w:i/>
      <w:iCs/>
      <w:sz w:val="28"/>
      <w:szCs w:val="28"/>
    </w:rPr>
  </w:style>
  <w:style w:type="paragraph" w:styleId="Heading3">
    <w:name w:val="heading 3"/>
    <w:basedOn w:val="Normal"/>
    <w:next w:val="Normal"/>
    <w:link w:val="Heading3Char"/>
    <w:qFormat/>
    <w:rsid w:val="006543B5"/>
    <w:pPr>
      <w:keepNext/>
      <w:spacing w:after="60"/>
      <w:outlineLvl w:val="2"/>
    </w:pPr>
    <w:rPr>
      <w:b/>
      <w:bCs/>
      <w:sz w:val="26"/>
      <w:szCs w:val="26"/>
    </w:rPr>
  </w:style>
  <w:style w:type="paragraph" w:styleId="Heading4">
    <w:name w:val="heading 4"/>
    <w:basedOn w:val="Normal"/>
    <w:next w:val="Normal"/>
    <w:link w:val="Heading4Char"/>
    <w:uiPriority w:val="9"/>
    <w:semiHidden/>
    <w:unhideWhenUsed/>
    <w:qFormat/>
    <w:rsid w:val="00262D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2D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2D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D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D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D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62D08"/>
    <w:rPr>
      <w:rFonts w:ascii="Arial" w:eastAsia="Times New Roman" w:hAnsi="Arial" w:cs="Times New Roman"/>
      <w:b/>
      <w:bCs/>
      <w:kern w:val="32"/>
      <w:sz w:val="32"/>
      <w:szCs w:val="32"/>
      <w14:ligatures w14:val="none"/>
    </w:rPr>
  </w:style>
  <w:style w:type="character" w:customStyle="1" w:styleId="Heading2Char">
    <w:name w:val="Heading 2 Char"/>
    <w:basedOn w:val="DefaultParagraphFont"/>
    <w:link w:val="Heading2"/>
    <w:rsid w:val="00262D08"/>
    <w:rPr>
      <w:rFonts w:ascii="Arial" w:eastAsia="Times New Roman" w:hAnsi="Arial" w:cs="Times New Roman"/>
      <w:b/>
      <w:bCs/>
      <w:i/>
      <w:iCs/>
      <w:kern w:val="0"/>
      <w:sz w:val="28"/>
      <w:szCs w:val="28"/>
      <w14:ligatures w14:val="none"/>
    </w:rPr>
  </w:style>
  <w:style w:type="character" w:customStyle="1" w:styleId="Heading3Char">
    <w:name w:val="Heading 3 Char"/>
    <w:basedOn w:val="DefaultParagraphFont"/>
    <w:link w:val="Heading3"/>
    <w:rsid w:val="00262D08"/>
    <w:rPr>
      <w:rFonts w:ascii="Arial" w:eastAsia="Times New Roman" w:hAnsi="Arial" w:cs="Times New Roman"/>
      <w:b/>
      <w:bCs/>
      <w:kern w:val="0"/>
      <w:sz w:val="26"/>
      <w:szCs w:val="26"/>
      <w14:ligatures w14:val="none"/>
    </w:rPr>
  </w:style>
  <w:style w:type="character" w:customStyle="1" w:styleId="Heading4Char">
    <w:name w:val="Heading 4 Char"/>
    <w:basedOn w:val="DefaultParagraphFont"/>
    <w:link w:val="Heading4"/>
    <w:uiPriority w:val="9"/>
    <w:semiHidden/>
    <w:rsid w:val="00262D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2D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2D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D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D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D08"/>
    <w:rPr>
      <w:rFonts w:eastAsiaTheme="majorEastAsia" w:cstheme="majorBidi"/>
      <w:color w:val="272727" w:themeColor="text1" w:themeTint="D8"/>
    </w:rPr>
  </w:style>
  <w:style w:type="paragraph" w:styleId="Title">
    <w:name w:val="Title"/>
    <w:basedOn w:val="Normal"/>
    <w:link w:val="TitleChar"/>
    <w:uiPriority w:val="99"/>
    <w:qFormat/>
    <w:rsid w:val="006543B5"/>
    <w:pPr>
      <w:spacing w:before="0"/>
      <w:jc w:val="center"/>
    </w:pPr>
    <w:rPr>
      <w:b/>
      <w:bCs/>
      <w:sz w:val="32"/>
      <w:szCs w:val="32"/>
    </w:rPr>
  </w:style>
  <w:style w:type="character" w:customStyle="1" w:styleId="TitleChar">
    <w:name w:val="Title Char"/>
    <w:link w:val="Title"/>
    <w:uiPriority w:val="99"/>
    <w:rsid w:val="006543B5"/>
    <w:rPr>
      <w:rFonts w:ascii="Arial" w:eastAsia="Times New Roman" w:hAnsi="Arial" w:cs="Times New Roman"/>
      <w:b/>
      <w:bCs/>
      <w:kern w:val="0"/>
      <w:sz w:val="32"/>
      <w:szCs w:val="32"/>
      <w14:ligatures w14:val="none"/>
    </w:rPr>
  </w:style>
  <w:style w:type="paragraph" w:styleId="Subtitle">
    <w:name w:val="Subtitle"/>
    <w:basedOn w:val="Normal"/>
    <w:next w:val="Normal"/>
    <w:link w:val="SubtitleChar"/>
    <w:uiPriority w:val="11"/>
    <w:qFormat/>
    <w:rsid w:val="00262D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D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D08"/>
    <w:pPr>
      <w:spacing w:before="160"/>
      <w:jc w:val="center"/>
    </w:pPr>
    <w:rPr>
      <w:i/>
      <w:iCs/>
      <w:color w:val="404040" w:themeColor="text1" w:themeTint="BF"/>
    </w:rPr>
  </w:style>
  <w:style w:type="character" w:customStyle="1" w:styleId="QuoteChar">
    <w:name w:val="Quote Char"/>
    <w:basedOn w:val="DefaultParagraphFont"/>
    <w:link w:val="Quote"/>
    <w:uiPriority w:val="29"/>
    <w:rsid w:val="00262D08"/>
    <w:rPr>
      <w:i/>
      <w:iCs/>
      <w:color w:val="404040" w:themeColor="text1" w:themeTint="BF"/>
    </w:rPr>
  </w:style>
  <w:style w:type="paragraph" w:styleId="ListParagraph">
    <w:name w:val="List Paragraph"/>
    <w:basedOn w:val="Normal"/>
    <w:uiPriority w:val="34"/>
    <w:qFormat/>
    <w:rsid w:val="00262D08"/>
    <w:pPr>
      <w:ind w:left="720"/>
      <w:contextualSpacing/>
    </w:pPr>
  </w:style>
  <w:style w:type="character" w:styleId="IntenseEmphasis">
    <w:name w:val="Intense Emphasis"/>
    <w:basedOn w:val="DefaultParagraphFont"/>
    <w:uiPriority w:val="21"/>
    <w:qFormat/>
    <w:rsid w:val="00262D08"/>
    <w:rPr>
      <w:i/>
      <w:iCs/>
      <w:color w:val="2F5496" w:themeColor="accent1" w:themeShade="BF"/>
    </w:rPr>
  </w:style>
  <w:style w:type="paragraph" w:styleId="IntenseQuote">
    <w:name w:val="Intense Quote"/>
    <w:basedOn w:val="Normal"/>
    <w:next w:val="Normal"/>
    <w:link w:val="IntenseQuoteChar"/>
    <w:uiPriority w:val="30"/>
    <w:qFormat/>
    <w:rsid w:val="00262D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2D08"/>
    <w:rPr>
      <w:i/>
      <w:iCs/>
      <w:color w:val="2F5496" w:themeColor="accent1" w:themeShade="BF"/>
    </w:rPr>
  </w:style>
  <w:style w:type="character" w:styleId="IntenseReference">
    <w:name w:val="Intense Reference"/>
    <w:basedOn w:val="DefaultParagraphFont"/>
    <w:uiPriority w:val="32"/>
    <w:qFormat/>
    <w:rsid w:val="00262D08"/>
    <w:rPr>
      <w:b/>
      <w:bCs/>
      <w:smallCaps/>
      <w:color w:val="2F5496" w:themeColor="accent1" w:themeShade="BF"/>
      <w:spacing w:val="5"/>
    </w:rPr>
  </w:style>
  <w:style w:type="paragraph" w:customStyle="1" w:styleId="Department">
    <w:name w:val="Department"/>
    <w:rsid w:val="006543B5"/>
    <w:pPr>
      <w:spacing w:after="0" w:line="240" w:lineRule="auto"/>
      <w:jc w:val="center"/>
    </w:pPr>
    <w:rPr>
      <w:rFonts w:ascii="Arial" w:eastAsia="Times New Roman" w:hAnsi="Arial" w:cs="Arial"/>
      <w:b/>
      <w:bCs/>
      <w:caps/>
      <w:kern w:val="0"/>
      <w:sz w:val="28"/>
      <w:szCs w:val="28"/>
      <w14:ligatures w14:val="none"/>
    </w:rPr>
  </w:style>
  <w:style w:type="paragraph" w:customStyle="1" w:styleId="Agency">
    <w:name w:val="Agency"/>
    <w:basedOn w:val="Normal"/>
    <w:rsid w:val="006543B5"/>
    <w:pPr>
      <w:jc w:val="center"/>
    </w:pPr>
    <w:rPr>
      <w:b/>
      <w:bCs/>
      <w:sz w:val="28"/>
      <w:szCs w:val="28"/>
    </w:rPr>
  </w:style>
  <w:style w:type="paragraph" w:customStyle="1" w:styleId="CCRNumber">
    <w:name w:val="CCR Number"/>
    <w:rsid w:val="006543B5"/>
    <w:pPr>
      <w:spacing w:before="240" w:after="0" w:line="240" w:lineRule="auto"/>
      <w:jc w:val="center"/>
    </w:pPr>
    <w:rPr>
      <w:rFonts w:ascii="Arial" w:eastAsia="Times New Roman" w:hAnsi="Arial" w:cs="Arial"/>
      <w:b/>
      <w:bCs/>
      <w:caps/>
      <w:kern w:val="0"/>
      <w14:ligatures w14:val="none"/>
    </w:rPr>
  </w:style>
  <w:style w:type="paragraph" w:customStyle="1" w:styleId="CCRTitle">
    <w:name w:val="CCR Title"/>
    <w:rsid w:val="006543B5"/>
    <w:pPr>
      <w:spacing w:before="240" w:after="0" w:line="240" w:lineRule="auto"/>
      <w:jc w:val="center"/>
    </w:pPr>
    <w:rPr>
      <w:rFonts w:ascii="Arial" w:eastAsia="Times New Roman" w:hAnsi="Arial" w:cs="Arial"/>
      <w:b/>
      <w:bCs/>
      <w:caps/>
      <w:kern w:val="0"/>
      <w14:ligatures w14:val="none"/>
    </w:rPr>
  </w:style>
  <w:style w:type="paragraph" w:customStyle="1" w:styleId="Title1">
    <w:name w:val="Title1"/>
    <w:basedOn w:val="Normal"/>
    <w:rsid w:val="006543B5"/>
    <w:pPr>
      <w:keepNext/>
      <w:tabs>
        <w:tab w:val="left" w:pos="720"/>
        <w:tab w:val="left" w:pos="1440"/>
        <w:tab w:val="left" w:pos="2160"/>
      </w:tabs>
      <w:ind w:left="720" w:hanging="720"/>
    </w:pPr>
    <w:rPr>
      <w:rFonts w:cs="Arial"/>
      <w:b/>
      <w:bCs/>
    </w:rPr>
  </w:style>
  <w:style w:type="paragraph" w:customStyle="1" w:styleId="upar1">
    <w:name w:val="upar1"/>
    <w:basedOn w:val="Normal"/>
    <w:link w:val="upar1Char"/>
    <w:rsid w:val="006543B5"/>
    <w:pPr>
      <w:tabs>
        <w:tab w:val="left" w:pos="720"/>
        <w:tab w:val="left" w:pos="1440"/>
      </w:tabs>
    </w:pPr>
    <w:rPr>
      <w:rFonts w:cs="Arial"/>
    </w:rPr>
  </w:style>
  <w:style w:type="character" w:customStyle="1" w:styleId="upar1Char">
    <w:name w:val="upar1 Char"/>
    <w:link w:val="upar1"/>
    <w:locked/>
    <w:rsid w:val="00262D08"/>
    <w:rPr>
      <w:rFonts w:ascii="Arial" w:eastAsia="Times New Roman" w:hAnsi="Arial" w:cs="Arial"/>
      <w:kern w:val="0"/>
      <w:sz w:val="20"/>
      <w:szCs w:val="20"/>
      <w14:ligatures w14:val="none"/>
    </w:rPr>
  </w:style>
  <w:style w:type="paragraph" w:styleId="Revision">
    <w:name w:val="Revision"/>
    <w:hidden/>
    <w:uiPriority w:val="99"/>
    <w:semiHidden/>
    <w:rsid w:val="00262D08"/>
    <w:pPr>
      <w:spacing w:after="0" w:line="240" w:lineRule="auto"/>
    </w:pPr>
  </w:style>
  <w:style w:type="paragraph" w:customStyle="1" w:styleId="Title2">
    <w:name w:val="Title2"/>
    <w:basedOn w:val="Title1"/>
    <w:rsid w:val="006543B5"/>
  </w:style>
  <w:style w:type="paragraph" w:customStyle="1" w:styleId="par1">
    <w:name w:val="par1"/>
    <w:basedOn w:val="Normal"/>
    <w:link w:val="par1Char"/>
    <w:rsid w:val="006543B5"/>
    <w:pPr>
      <w:tabs>
        <w:tab w:val="left" w:pos="720"/>
        <w:tab w:val="left" w:pos="1440"/>
        <w:tab w:val="left" w:pos="2160"/>
      </w:tabs>
      <w:ind w:left="720" w:hanging="720"/>
    </w:pPr>
    <w:rPr>
      <w:szCs w:val="24"/>
    </w:rPr>
  </w:style>
  <w:style w:type="paragraph" w:customStyle="1" w:styleId="par2">
    <w:name w:val="par2"/>
    <w:basedOn w:val="par1"/>
    <w:link w:val="par2Char"/>
    <w:rsid w:val="006543B5"/>
    <w:pPr>
      <w:ind w:left="1440"/>
    </w:pPr>
  </w:style>
  <w:style w:type="paragraph" w:customStyle="1" w:styleId="Title3">
    <w:name w:val="Title3"/>
    <w:basedOn w:val="Title2"/>
    <w:rsid w:val="006543B5"/>
  </w:style>
  <w:style w:type="paragraph" w:customStyle="1" w:styleId="Title3NotWithNext">
    <w:name w:val="Title3NotWithNext"/>
    <w:basedOn w:val="Title3"/>
    <w:rsid w:val="00262D08"/>
    <w:pPr>
      <w:keepNext w:val="0"/>
    </w:pPr>
  </w:style>
  <w:style w:type="character" w:customStyle="1" w:styleId="par1Char">
    <w:name w:val="par1 Char"/>
    <w:link w:val="par1"/>
    <w:locked/>
    <w:rsid w:val="00262D08"/>
    <w:rPr>
      <w:rFonts w:ascii="Arial" w:eastAsia="Times New Roman" w:hAnsi="Arial" w:cs="Times New Roman"/>
      <w:kern w:val="0"/>
      <w:sz w:val="20"/>
      <w14:ligatures w14:val="none"/>
    </w:rPr>
  </w:style>
  <w:style w:type="character" w:customStyle="1" w:styleId="par2Char">
    <w:name w:val="par2 Char"/>
    <w:link w:val="par2"/>
    <w:locked/>
    <w:rsid w:val="00262D08"/>
    <w:rPr>
      <w:rFonts w:ascii="Arial" w:eastAsia="Times New Roman" w:hAnsi="Arial" w:cs="Times New Roman"/>
      <w:kern w:val="0"/>
      <w:sz w:val="20"/>
      <w14:ligatures w14:val="none"/>
    </w:rPr>
  </w:style>
  <w:style w:type="character" w:styleId="CommentReference">
    <w:name w:val="annotation reference"/>
    <w:basedOn w:val="DefaultParagraphFont"/>
    <w:uiPriority w:val="99"/>
    <w:semiHidden/>
    <w:unhideWhenUsed/>
    <w:rsid w:val="00C16B62"/>
    <w:rPr>
      <w:sz w:val="16"/>
      <w:szCs w:val="16"/>
    </w:rPr>
  </w:style>
  <w:style w:type="paragraph" w:styleId="CommentText">
    <w:name w:val="annotation text"/>
    <w:basedOn w:val="Normal"/>
    <w:link w:val="CommentTextChar"/>
    <w:uiPriority w:val="99"/>
    <w:unhideWhenUsed/>
    <w:rsid w:val="00C16B62"/>
  </w:style>
  <w:style w:type="character" w:customStyle="1" w:styleId="CommentTextChar">
    <w:name w:val="Comment Text Char"/>
    <w:basedOn w:val="DefaultParagraphFont"/>
    <w:link w:val="CommentText"/>
    <w:uiPriority w:val="99"/>
    <w:rsid w:val="00C16B62"/>
    <w:rPr>
      <w:sz w:val="20"/>
      <w:szCs w:val="20"/>
    </w:rPr>
  </w:style>
  <w:style w:type="paragraph" w:styleId="CommentSubject">
    <w:name w:val="annotation subject"/>
    <w:basedOn w:val="CommentText"/>
    <w:next w:val="CommentText"/>
    <w:link w:val="CommentSubjectChar"/>
    <w:uiPriority w:val="99"/>
    <w:semiHidden/>
    <w:unhideWhenUsed/>
    <w:rsid w:val="00C16B62"/>
    <w:rPr>
      <w:b/>
      <w:bCs/>
    </w:rPr>
  </w:style>
  <w:style w:type="character" w:customStyle="1" w:styleId="CommentSubjectChar">
    <w:name w:val="Comment Subject Char"/>
    <w:basedOn w:val="CommentTextChar"/>
    <w:link w:val="CommentSubject"/>
    <w:uiPriority w:val="99"/>
    <w:semiHidden/>
    <w:rsid w:val="00C16B62"/>
    <w:rPr>
      <w:b/>
      <w:bCs/>
      <w:sz w:val="20"/>
      <w:szCs w:val="20"/>
    </w:rPr>
  </w:style>
  <w:style w:type="paragraph" w:customStyle="1" w:styleId="Title5">
    <w:name w:val="Title5"/>
    <w:basedOn w:val="Title2"/>
    <w:rsid w:val="006543B5"/>
  </w:style>
  <w:style w:type="character" w:customStyle="1" w:styleId="cite">
    <w:name w:val="cite"/>
    <w:rsid w:val="006543B5"/>
    <w:rPr>
      <w:color w:val="008080"/>
    </w:rPr>
  </w:style>
  <w:style w:type="paragraph" w:customStyle="1" w:styleId="cp">
    <w:name w:val="cp"/>
    <w:basedOn w:val="Normal"/>
    <w:rsid w:val="006543B5"/>
    <w:pPr>
      <w:jc w:val="center"/>
    </w:pPr>
  </w:style>
  <w:style w:type="paragraph" w:customStyle="1" w:styleId="upar2">
    <w:name w:val="upar2"/>
    <w:basedOn w:val="upar1"/>
    <w:rsid w:val="006543B5"/>
    <w:pPr>
      <w:ind w:left="720"/>
    </w:pPr>
    <w:rPr>
      <w:szCs w:val="24"/>
    </w:rPr>
  </w:style>
  <w:style w:type="paragraph" w:customStyle="1" w:styleId="upar3">
    <w:name w:val="upar3"/>
    <w:basedOn w:val="upar1"/>
    <w:rsid w:val="006543B5"/>
    <w:pPr>
      <w:ind w:left="1440"/>
    </w:pPr>
  </w:style>
  <w:style w:type="paragraph" w:customStyle="1" w:styleId="Title4">
    <w:name w:val="Title4"/>
    <w:basedOn w:val="Title2"/>
    <w:rsid w:val="006543B5"/>
  </w:style>
  <w:style w:type="paragraph" w:customStyle="1" w:styleId="upar4">
    <w:name w:val="upar4"/>
    <w:basedOn w:val="upar1"/>
    <w:rsid w:val="006543B5"/>
    <w:pPr>
      <w:ind w:left="2160"/>
    </w:pPr>
  </w:style>
  <w:style w:type="paragraph" w:customStyle="1" w:styleId="par3">
    <w:name w:val="par3"/>
    <w:basedOn w:val="par1"/>
    <w:rsid w:val="006543B5"/>
    <w:pPr>
      <w:ind w:left="2160"/>
    </w:pPr>
  </w:style>
  <w:style w:type="paragraph" w:customStyle="1" w:styleId="par4">
    <w:name w:val="par4"/>
    <w:basedOn w:val="par1"/>
    <w:rsid w:val="006543B5"/>
    <w:pPr>
      <w:ind w:left="2880"/>
    </w:pPr>
  </w:style>
  <w:style w:type="paragraph" w:customStyle="1" w:styleId="figure-caption">
    <w:name w:val="figure-caption"/>
    <w:basedOn w:val="Normal"/>
    <w:rsid w:val="006543B5"/>
    <w:rPr>
      <w:color w:val="800080"/>
    </w:rPr>
  </w:style>
  <w:style w:type="paragraph" w:customStyle="1" w:styleId="figure-orientation">
    <w:name w:val="figure-orientation"/>
    <w:basedOn w:val="Normal"/>
    <w:rsid w:val="006543B5"/>
    <w:rPr>
      <w:color w:val="800080"/>
    </w:rPr>
  </w:style>
  <w:style w:type="paragraph" w:customStyle="1" w:styleId="figure-filename">
    <w:name w:val="figure-filename"/>
    <w:basedOn w:val="Normal"/>
    <w:rsid w:val="006543B5"/>
    <w:pPr>
      <w:spacing w:before="0"/>
    </w:pPr>
    <w:rPr>
      <w:color w:val="800080"/>
    </w:rPr>
  </w:style>
  <w:style w:type="paragraph" w:customStyle="1" w:styleId="par5">
    <w:name w:val="par5"/>
    <w:basedOn w:val="par1"/>
    <w:rsid w:val="006543B5"/>
    <w:pPr>
      <w:ind w:left="3600"/>
    </w:pPr>
  </w:style>
  <w:style w:type="paragraph" w:customStyle="1" w:styleId="upar5">
    <w:name w:val="upar5"/>
    <w:basedOn w:val="upar1"/>
    <w:rsid w:val="006543B5"/>
    <w:pPr>
      <w:ind w:left="2880"/>
    </w:pPr>
  </w:style>
  <w:style w:type="character" w:customStyle="1" w:styleId="provision">
    <w:name w:val="provision"/>
    <w:rsid w:val="006543B5"/>
    <w:rPr>
      <w:rFonts w:ascii="Arial" w:hAnsi="Arial" w:cs="Arial"/>
      <w:color w:val="333399"/>
      <w:sz w:val="20"/>
      <w:szCs w:val="20"/>
    </w:rPr>
  </w:style>
  <w:style w:type="paragraph" w:customStyle="1" w:styleId="Title6">
    <w:name w:val="Title6"/>
    <w:basedOn w:val="Title2"/>
    <w:rsid w:val="006543B5"/>
  </w:style>
  <w:style w:type="paragraph" w:customStyle="1" w:styleId="par6">
    <w:name w:val="par6"/>
    <w:basedOn w:val="par1"/>
    <w:rsid w:val="006543B5"/>
    <w:pPr>
      <w:ind w:left="4320"/>
    </w:pPr>
  </w:style>
  <w:style w:type="paragraph" w:customStyle="1" w:styleId="upar6">
    <w:name w:val="upar6"/>
    <w:basedOn w:val="upar1"/>
    <w:rsid w:val="006543B5"/>
    <w:pPr>
      <w:ind w:left="3600"/>
    </w:pPr>
  </w:style>
  <w:style w:type="paragraph" w:customStyle="1" w:styleId="par7">
    <w:name w:val="par7"/>
    <w:basedOn w:val="par6"/>
    <w:rsid w:val="006543B5"/>
  </w:style>
  <w:style w:type="paragraph" w:customStyle="1" w:styleId="upar7">
    <w:name w:val="upar7"/>
    <w:basedOn w:val="upar6"/>
    <w:rsid w:val="006543B5"/>
  </w:style>
  <w:style w:type="paragraph" w:customStyle="1" w:styleId="upar8">
    <w:name w:val="upar8"/>
    <w:basedOn w:val="upar6"/>
    <w:rsid w:val="006543B5"/>
  </w:style>
  <w:style w:type="paragraph" w:customStyle="1" w:styleId="upar9">
    <w:name w:val="upar9"/>
    <w:basedOn w:val="par6"/>
    <w:rsid w:val="006543B5"/>
  </w:style>
  <w:style w:type="paragraph" w:customStyle="1" w:styleId="par8">
    <w:name w:val="par8"/>
    <w:basedOn w:val="par7"/>
    <w:rsid w:val="006543B5"/>
  </w:style>
  <w:style w:type="character" w:customStyle="1" w:styleId="InlineGraphic">
    <w:name w:val="Inline Graphic"/>
    <w:rsid w:val="006543B5"/>
    <w:rPr>
      <w:rFonts w:ascii="Arial" w:hAnsi="Arial" w:cs="Arial"/>
      <w:color w:val="FF6600"/>
      <w:sz w:val="20"/>
      <w:szCs w:val="20"/>
    </w:rPr>
  </w:style>
  <w:style w:type="paragraph" w:customStyle="1" w:styleId="Footnote">
    <w:name w:val="Footnote"/>
    <w:basedOn w:val="Normal"/>
    <w:rsid w:val="006543B5"/>
    <w:pPr>
      <w:spacing w:before="120"/>
    </w:pPr>
    <w:rPr>
      <w:sz w:val="16"/>
      <w:szCs w:val="16"/>
    </w:rPr>
  </w:style>
  <w:style w:type="paragraph" w:styleId="Header">
    <w:name w:val="header"/>
    <w:basedOn w:val="Normal"/>
    <w:link w:val="HeaderChar"/>
    <w:rsid w:val="006543B5"/>
    <w:pPr>
      <w:tabs>
        <w:tab w:val="center" w:pos="4320"/>
        <w:tab w:val="right" w:pos="8640"/>
      </w:tabs>
      <w:spacing w:before="0"/>
      <w:jc w:val="right"/>
    </w:pPr>
    <w:rPr>
      <w:rFonts w:cs="Arial"/>
    </w:rPr>
  </w:style>
  <w:style w:type="character" w:customStyle="1" w:styleId="HeaderChar">
    <w:name w:val="Header Char"/>
    <w:link w:val="Header"/>
    <w:rsid w:val="006543B5"/>
    <w:rPr>
      <w:rFonts w:ascii="Arial" w:eastAsia="Times New Roman" w:hAnsi="Arial" w:cs="Arial"/>
      <w:kern w:val="0"/>
      <w:sz w:val="20"/>
      <w:szCs w:val="20"/>
      <w14:ligatures w14:val="none"/>
    </w:rPr>
  </w:style>
  <w:style w:type="paragraph" w:customStyle="1" w:styleId="TOC">
    <w:name w:val="TOC"/>
    <w:basedOn w:val="Normal"/>
    <w:next w:val="Normal"/>
    <w:rsid w:val="006543B5"/>
    <w:pPr>
      <w:spacing w:before="480"/>
      <w:jc w:val="center"/>
    </w:pPr>
    <w:rPr>
      <w:b/>
      <w:caps/>
    </w:rPr>
  </w:style>
  <w:style w:type="paragraph" w:styleId="TOC1">
    <w:name w:val="toc 1"/>
    <w:basedOn w:val="Normal"/>
    <w:next w:val="Normal"/>
    <w:uiPriority w:val="39"/>
    <w:rsid w:val="006543B5"/>
    <w:pPr>
      <w:tabs>
        <w:tab w:val="right" w:leader="dot" w:pos="9360"/>
      </w:tabs>
      <w:spacing w:before="120"/>
    </w:pPr>
    <w:rPr>
      <w:caps/>
    </w:rPr>
  </w:style>
  <w:style w:type="paragraph" w:styleId="TOC2">
    <w:name w:val="toc 2"/>
    <w:basedOn w:val="Normal"/>
    <w:next w:val="Normal"/>
    <w:uiPriority w:val="39"/>
    <w:rsid w:val="006543B5"/>
    <w:pPr>
      <w:tabs>
        <w:tab w:val="right" w:leader="dot" w:pos="9360"/>
      </w:tabs>
      <w:spacing w:before="120"/>
      <w:ind w:left="432" w:hanging="432"/>
    </w:pPr>
  </w:style>
  <w:style w:type="paragraph" w:styleId="TOC3">
    <w:name w:val="toc 3"/>
    <w:basedOn w:val="Normal"/>
    <w:next w:val="Normal"/>
    <w:uiPriority w:val="39"/>
    <w:rsid w:val="006543B5"/>
    <w:pPr>
      <w:tabs>
        <w:tab w:val="right" w:leader="dot" w:pos="9360"/>
      </w:tabs>
      <w:spacing w:before="120"/>
      <w:ind w:left="864" w:hanging="432"/>
    </w:pPr>
  </w:style>
  <w:style w:type="paragraph" w:styleId="TOC4">
    <w:name w:val="toc 4"/>
    <w:basedOn w:val="Normal"/>
    <w:next w:val="Normal"/>
    <w:rsid w:val="006543B5"/>
    <w:pPr>
      <w:tabs>
        <w:tab w:val="right" w:leader="dot" w:pos="9360"/>
      </w:tabs>
      <w:spacing w:before="120"/>
      <w:ind w:left="1296" w:hanging="432"/>
    </w:pPr>
  </w:style>
  <w:style w:type="paragraph" w:styleId="TOC5">
    <w:name w:val="toc 5"/>
    <w:basedOn w:val="Normal"/>
    <w:next w:val="Normal"/>
    <w:rsid w:val="006543B5"/>
    <w:pPr>
      <w:tabs>
        <w:tab w:val="right" w:leader="dot" w:pos="9360"/>
      </w:tabs>
      <w:spacing w:before="120"/>
      <w:ind w:left="1728" w:hanging="432"/>
    </w:pPr>
    <w:rPr>
      <w:rFonts w:ascii="Times New Roman" w:hAnsi="Times New Roman"/>
      <w:sz w:val="24"/>
    </w:rPr>
  </w:style>
  <w:style w:type="paragraph" w:styleId="TOC6">
    <w:name w:val="toc 6"/>
    <w:basedOn w:val="Normal"/>
    <w:next w:val="Normal"/>
    <w:rsid w:val="006543B5"/>
    <w:pPr>
      <w:tabs>
        <w:tab w:val="right" w:leader="dot" w:pos="9360"/>
      </w:tabs>
      <w:spacing w:before="120"/>
      <w:ind w:left="2160" w:hanging="432"/>
    </w:pPr>
    <w:rPr>
      <w:rFonts w:ascii="Times New Roman" w:hAnsi="Times New Roman"/>
      <w:sz w:val="24"/>
    </w:rPr>
  </w:style>
  <w:style w:type="paragraph" w:styleId="TOC7">
    <w:name w:val="toc 7"/>
    <w:basedOn w:val="Normal"/>
    <w:next w:val="Normal"/>
    <w:rsid w:val="006543B5"/>
    <w:pPr>
      <w:tabs>
        <w:tab w:val="right" w:leader="dot" w:pos="9360"/>
      </w:tabs>
      <w:spacing w:before="120"/>
      <w:ind w:left="2592" w:hanging="432"/>
    </w:pPr>
    <w:rPr>
      <w:rFonts w:ascii="Times New Roman" w:hAnsi="Times New Roman"/>
      <w:sz w:val="24"/>
    </w:rPr>
  </w:style>
  <w:style w:type="paragraph" w:styleId="TOC8">
    <w:name w:val="toc 8"/>
    <w:basedOn w:val="Normal"/>
    <w:next w:val="Normal"/>
    <w:rsid w:val="006543B5"/>
    <w:pPr>
      <w:tabs>
        <w:tab w:val="right" w:leader="dot" w:pos="9360"/>
      </w:tabs>
      <w:spacing w:before="120"/>
      <w:ind w:left="3024" w:hanging="432"/>
    </w:pPr>
    <w:rPr>
      <w:rFonts w:ascii="Times New Roman" w:hAnsi="Times New Roman"/>
      <w:sz w:val="24"/>
    </w:rPr>
  </w:style>
  <w:style w:type="paragraph" w:styleId="TOC9">
    <w:name w:val="toc 9"/>
    <w:basedOn w:val="Normal"/>
    <w:next w:val="Normal"/>
    <w:rsid w:val="006543B5"/>
    <w:pPr>
      <w:tabs>
        <w:tab w:val="right" w:leader="dot" w:pos="9360"/>
      </w:tabs>
      <w:spacing w:before="120"/>
      <w:ind w:left="3456" w:hanging="432"/>
    </w:pPr>
    <w:rPr>
      <w:rFonts w:ascii="Times New Roman" w:hAnsi="Times New Roman"/>
      <w:sz w:val="24"/>
    </w:rPr>
  </w:style>
  <w:style w:type="paragraph" w:customStyle="1" w:styleId="TOC0">
    <w:name w:val="TOC0"/>
    <w:basedOn w:val="TOC1"/>
    <w:next w:val="Normal"/>
    <w:rsid w:val="006543B5"/>
  </w:style>
  <w:style w:type="paragraph" w:customStyle="1" w:styleId="TOClast">
    <w:name w:val="TOClast"/>
    <w:basedOn w:val="Normal"/>
    <w:next w:val="Normal"/>
    <w:rsid w:val="006543B5"/>
    <w:pPr>
      <w:pBdr>
        <w:bottom w:val="single" w:sz="6" w:space="1" w:color="auto"/>
      </w:pBdr>
      <w:spacing w:before="120" w:after="240"/>
      <w:ind w:left="1440" w:right="1440"/>
    </w:pPr>
    <w:rPr>
      <w:rFonts w:ascii="Times New Roman" w:hAnsi="Times New Roman"/>
      <w:sz w:val="24"/>
    </w:rPr>
  </w:style>
  <w:style w:type="paragraph" w:styleId="TOCHeading">
    <w:name w:val="TOC Heading"/>
    <w:basedOn w:val="Heading1"/>
    <w:next w:val="Normal"/>
    <w:uiPriority w:val="39"/>
    <w:semiHidden/>
    <w:unhideWhenUsed/>
    <w:qFormat/>
    <w:rsid w:val="006543B5"/>
    <w:pPr>
      <w:keepLines/>
      <w:spacing w:before="480" w:after="0" w:line="276" w:lineRule="auto"/>
      <w:outlineLvl w:val="9"/>
    </w:pPr>
    <w:rPr>
      <w:rFonts w:asciiTheme="majorHAnsi" w:eastAsiaTheme="majorEastAsia" w:hAnsiTheme="majorHAnsi" w:cstheme="majorBidi"/>
      <w:color w:val="2F5496" w:themeColor="accent1" w:themeShade="BF"/>
      <w:kern w:val="0"/>
      <w:sz w:val="28"/>
      <w:szCs w:val="28"/>
      <w:lang w:eastAsia="ja-JP"/>
    </w:rPr>
  </w:style>
  <w:style w:type="paragraph" w:styleId="BalloonText">
    <w:name w:val="Balloon Text"/>
    <w:basedOn w:val="Normal"/>
    <w:link w:val="BalloonTextChar"/>
    <w:rsid w:val="006543B5"/>
    <w:pPr>
      <w:spacing w:before="0"/>
    </w:pPr>
    <w:rPr>
      <w:rFonts w:ascii="Tahoma" w:hAnsi="Tahoma" w:cs="Tahoma"/>
      <w:sz w:val="16"/>
      <w:szCs w:val="16"/>
    </w:rPr>
  </w:style>
  <w:style w:type="character" w:customStyle="1" w:styleId="BalloonTextChar">
    <w:name w:val="Balloon Text Char"/>
    <w:basedOn w:val="DefaultParagraphFont"/>
    <w:link w:val="BalloonText"/>
    <w:rsid w:val="006543B5"/>
    <w:rPr>
      <w:rFonts w:ascii="Tahoma" w:eastAsia="Times New Roman" w:hAnsi="Tahoma" w:cs="Tahoma"/>
      <w:kern w:val="0"/>
      <w:sz w:val="16"/>
      <w:szCs w:val="16"/>
      <w14:ligatures w14:val="none"/>
    </w:rPr>
  </w:style>
  <w:style w:type="character" w:styleId="Hyperlink">
    <w:name w:val="Hyperlink"/>
    <w:uiPriority w:val="99"/>
    <w:rsid w:val="006543B5"/>
    <w:rPr>
      <w:color w:val="0000FF"/>
      <w:u w:val="single"/>
    </w:rPr>
  </w:style>
  <w:style w:type="paragraph" w:styleId="Footer">
    <w:name w:val="footer"/>
    <w:basedOn w:val="Normal"/>
    <w:link w:val="FooterChar"/>
    <w:uiPriority w:val="99"/>
    <w:unhideWhenUsed/>
    <w:rsid w:val="000578DE"/>
    <w:pPr>
      <w:tabs>
        <w:tab w:val="center" w:pos="4680"/>
        <w:tab w:val="right" w:pos="9360"/>
      </w:tabs>
      <w:spacing w:before="0"/>
    </w:pPr>
  </w:style>
  <w:style w:type="character" w:customStyle="1" w:styleId="FooterChar">
    <w:name w:val="Footer Char"/>
    <w:basedOn w:val="DefaultParagraphFont"/>
    <w:link w:val="Footer"/>
    <w:uiPriority w:val="99"/>
    <w:rsid w:val="000578DE"/>
    <w:rPr>
      <w:rFonts w:ascii="Arial" w:eastAsia="Times New Roman" w:hAnsi="Arial"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Z:\Shared%20drives\PUCTemplates\CCR%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CCR Template</Template>
  <TotalTime>1</TotalTime>
  <Pages>4</Pages>
  <Words>1207</Words>
  <Characters>6886</Characters>
  <Application>Microsoft Office Word</Application>
  <DocSecurity>0</DocSecurity>
  <Lines>57</Lines>
  <Paragraphs>16</Paragraphs>
  <ScaleCrop>false</ScaleCrop>
  <Company/>
  <LinksUpToDate>false</LinksUpToDate>
  <CharactersWithSpaces>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Quintana, Rebecca</cp:lastModifiedBy>
  <cp:revision>2</cp:revision>
  <dcterms:created xsi:type="dcterms:W3CDTF">2026-05-26T16:32:00Z</dcterms:created>
  <dcterms:modified xsi:type="dcterms:W3CDTF">2026-07-06T15:28:00Z</dcterms:modified>
</cp:coreProperties>
</file>