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DBD89" w14:textId="77777777" w:rsidR="00B54004" w:rsidRDefault="00172AFB" w:rsidP="00CD57CC">
      <w:pPr>
        <w:pStyle w:val="Department"/>
        <w:spacing w:line="240" w:lineRule="auto"/>
        <w:ind w:leftChars="0" w:left="0" w:firstLineChars="0" w:firstLine="0"/>
        <w:outlineLvl w:val="9"/>
        <w:rPr>
          <w:rFonts w:ascii="Times New Roman" w:hAnsi="Times New Roman" w:cs="Times New Roman"/>
          <w:sz w:val="24"/>
          <w:szCs w:val="24"/>
        </w:rPr>
      </w:pPr>
      <w:r>
        <w:rPr>
          <w:rFonts w:eastAsia="Arial"/>
        </w:rPr>
        <w:t>DEPARTMENT OF REGULATORY AGENCIES</w:t>
      </w:r>
    </w:p>
    <w:p w14:paraId="550D122D" w14:textId="77777777" w:rsidR="00B54004" w:rsidRDefault="00172AFB" w:rsidP="00CD57CC">
      <w:pPr>
        <w:pStyle w:val="Agency"/>
        <w:spacing w:line="240" w:lineRule="auto"/>
        <w:ind w:leftChars="0" w:left="0" w:firstLineChars="0" w:firstLine="0"/>
        <w:outlineLvl w:val="9"/>
        <w:rPr>
          <w:rFonts w:ascii="Times New Roman" w:hAnsi="Times New Roman" w:cs="Times New Roman"/>
          <w:sz w:val="24"/>
          <w:szCs w:val="24"/>
        </w:rPr>
      </w:pPr>
      <w:r>
        <w:rPr>
          <w:rFonts w:eastAsia="Arial"/>
        </w:rPr>
        <w:t>Division of Insurance</w:t>
      </w:r>
    </w:p>
    <w:p w14:paraId="717F2747" w14:textId="77777777" w:rsidR="00B54004" w:rsidRDefault="00172AFB" w:rsidP="00CD57CC">
      <w:pPr>
        <w:pStyle w:val="CCRNumber"/>
        <w:spacing w:line="240" w:lineRule="auto"/>
        <w:ind w:leftChars="0" w:left="0" w:firstLineChars="0" w:firstLine="0"/>
        <w:outlineLvl w:val="9"/>
        <w:rPr>
          <w:rFonts w:ascii="Times New Roman" w:hAnsi="Times New Roman" w:cs="Times New Roman"/>
        </w:rPr>
      </w:pPr>
      <w:r>
        <w:rPr>
          <w:rFonts w:eastAsia="Arial"/>
        </w:rPr>
        <w:t>3 CCR 702-4</w:t>
      </w:r>
    </w:p>
    <w:p w14:paraId="3612D451" w14:textId="77777777" w:rsidR="00B54004" w:rsidRDefault="00172AFB" w:rsidP="00C17E2F">
      <w:pPr>
        <w:pStyle w:val="CCRTitle"/>
        <w:spacing w:line="240" w:lineRule="auto"/>
        <w:ind w:leftChars="0" w:left="0" w:firstLineChars="0" w:firstLine="0"/>
        <w:outlineLvl w:val="9"/>
        <w:rPr>
          <w:rFonts w:ascii="Times New Roman" w:hAnsi="Times New Roman" w:cs="Times New Roman"/>
        </w:rPr>
      </w:pPr>
      <w:r>
        <w:rPr>
          <w:rFonts w:eastAsia="Arial"/>
        </w:rPr>
        <w:t>LIFE, ACCIDENT AND HEALTH</w:t>
      </w:r>
    </w:p>
    <w:p w14:paraId="4CB2239B" w14:textId="77777777" w:rsidR="00EC0A66" w:rsidRDefault="00EC0A66" w:rsidP="005455AF">
      <w:pPr>
        <w:pStyle w:val="Title1"/>
        <w:ind w:left="0" w:hanging="2"/>
      </w:pPr>
      <w:r>
        <w:rPr>
          <w:rFonts w:eastAsia="Arial"/>
        </w:rPr>
        <w:t>Emergency Regulation 2</w:t>
      </w:r>
      <w:r>
        <w:t>6</w:t>
      </w:r>
      <w:r>
        <w:rPr>
          <w:rFonts w:eastAsia="Arial"/>
        </w:rPr>
        <w:t>-E-</w:t>
      </w:r>
      <w:r>
        <w:t>02</w:t>
      </w:r>
    </w:p>
    <w:p w14:paraId="690CD2DD" w14:textId="77777777" w:rsidR="00EC0A66" w:rsidRPr="00204743" w:rsidRDefault="00EC0A66" w:rsidP="00204743">
      <w:pPr>
        <w:pStyle w:val="Heading1"/>
        <w:spacing w:after="240"/>
        <w:ind w:left="0" w:hanging="2"/>
        <w:rPr>
          <w:sz w:val="24"/>
          <w:szCs w:val="24"/>
        </w:rPr>
      </w:pPr>
      <w:r w:rsidRPr="00204743">
        <w:rPr>
          <w:rFonts w:eastAsia="Arial"/>
          <w:sz w:val="24"/>
          <w:szCs w:val="24"/>
        </w:rPr>
        <w:t>CONCERNING PRIOR AUTHORIZATIONS FOR DURABLE MEDICAL EQUIPMENT AND PRESCRIPTION REFILLS</w:t>
      </w:r>
    </w:p>
    <w:p w14:paraId="2C025528" w14:textId="77777777" w:rsidR="00EC0A66" w:rsidRDefault="00EC0A66" w:rsidP="005455AF">
      <w:pPr>
        <w:pStyle w:val="upar1"/>
        <w:spacing w:before="0"/>
        <w:ind w:left="0" w:hanging="2"/>
      </w:pPr>
      <w:r>
        <w:rPr>
          <w:rFonts w:eastAsia="Arial"/>
        </w:rPr>
        <w:t>Section 1</w:t>
      </w:r>
      <w:r>
        <w:rPr>
          <w:rFonts w:eastAsia="Arial"/>
        </w:rPr>
        <w:tab/>
        <w:t>Authority</w:t>
      </w:r>
    </w:p>
    <w:p w14:paraId="7089B672" w14:textId="77777777" w:rsidR="00EC0A66" w:rsidRDefault="00EC0A66" w:rsidP="005455AF">
      <w:pPr>
        <w:pStyle w:val="upar1"/>
        <w:spacing w:before="0"/>
        <w:ind w:left="0" w:hanging="2"/>
      </w:pPr>
      <w:r>
        <w:rPr>
          <w:rFonts w:eastAsia="Arial"/>
        </w:rPr>
        <w:t>Section 2</w:t>
      </w:r>
      <w:r>
        <w:rPr>
          <w:rFonts w:eastAsia="Arial"/>
        </w:rPr>
        <w:tab/>
        <w:t>Scope and Purpose</w:t>
      </w:r>
    </w:p>
    <w:p w14:paraId="6E29283A" w14:textId="77777777" w:rsidR="00EC0A66" w:rsidRDefault="00EC0A66" w:rsidP="005455AF">
      <w:pPr>
        <w:pStyle w:val="upar1"/>
        <w:spacing w:before="0"/>
        <w:ind w:left="0" w:hanging="2"/>
      </w:pPr>
      <w:r>
        <w:rPr>
          <w:rFonts w:eastAsia="Arial"/>
        </w:rPr>
        <w:t>Section 3</w:t>
      </w:r>
      <w:r>
        <w:rPr>
          <w:rFonts w:eastAsia="Arial"/>
        </w:rPr>
        <w:tab/>
        <w:t>Applicability</w:t>
      </w:r>
    </w:p>
    <w:p w14:paraId="3BF919CE" w14:textId="77777777" w:rsidR="00EC0A66" w:rsidRDefault="00EC0A66" w:rsidP="005455AF">
      <w:pPr>
        <w:pStyle w:val="upar1"/>
        <w:spacing w:before="0"/>
        <w:ind w:left="0" w:hanging="2"/>
      </w:pPr>
      <w:r>
        <w:rPr>
          <w:rFonts w:eastAsia="Arial"/>
        </w:rPr>
        <w:t>Section 4</w:t>
      </w:r>
      <w:r>
        <w:rPr>
          <w:rFonts w:eastAsia="Arial"/>
        </w:rPr>
        <w:tab/>
        <w:t>Definitions</w:t>
      </w:r>
    </w:p>
    <w:p w14:paraId="5E5FBA7E" w14:textId="099F80E9" w:rsidR="00EC0A66" w:rsidRDefault="00EC0A66" w:rsidP="005455AF">
      <w:pPr>
        <w:pStyle w:val="upar1"/>
        <w:spacing w:before="0"/>
        <w:ind w:left="0" w:hanging="2"/>
      </w:pPr>
      <w:r>
        <w:rPr>
          <w:rFonts w:eastAsia="Arial"/>
        </w:rPr>
        <w:t>Section 5</w:t>
      </w:r>
      <w:r>
        <w:rPr>
          <w:rFonts w:eastAsia="Arial"/>
        </w:rPr>
        <w:tab/>
        <w:t xml:space="preserve">Coverage of Durable Medical Equipment and Prescription Drug Refills during the </w:t>
      </w:r>
      <w:r>
        <w:rPr>
          <w:rFonts w:eastAsia="Arial"/>
        </w:rPr>
        <w:tab/>
      </w:r>
      <w:r w:rsidR="005455AF">
        <w:rPr>
          <w:rFonts w:eastAsia="Arial"/>
        </w:rPr>
        <w:tab/>
      </w:r>
      <w:r w:rsidR="005455AF">
        <w:rPr>
          <w:rFonts w:eastAsia="Arial"/>
        </w:rPr>
        <w:tab/>
      </w:r>
      <w:r w:rsidR="005455AF">
        <w:rPr>
          <w:rFonts w:eastAsia="Arial"/>
        </w:rPr>
        <w:tab/>
      </w:r>
      <w:r>
        <w:rPr>
          <w:rFonts w:eastAsia="Arial"/>
        </w:rPr>
        <w:t>Willow, Gold Mountain</w:t>
      </w:r>
      <w:r>
        <w:t>, and Aspen Acres</w:t>
      </w:r>
      <w:r>
        <w:rPr>
          <w:rFonts w:eastAsia="Arial"/>
        </w:rPr>
        <w:t xml:space="preserve"> Fire Disaster Emergency</w:t>
      </w:r>
    </w:p>
    <w:p w14:paraId="198258A1" w14:textId="77777777" w:rsidR="00EC0A66" w:rsidRDefault="00EC0A66" w:rsidP="005455AF">
      <w:pPr>
        <w:pStyle w:val="upar1"/>
        <w:spacing w:before="0"/>
        <w:ind w:left="0" w:hanging="2"/>
      </w:pPr>
      <w:r>
        <w:rPr>
          <w:rFonts w:eastAsia="Arial"/>
        </w:rPr>
        <w:t>Section 6</w:t>
      </w:r>
      <w:r>
        <w:rPr>
          <w:rFonts w:eastAsia="Arial"/>
        </w:rPr>
        <w:tab/>
        <w:t>Severability</w:t>
      </w:r>
    </w:p>
    <w:p w14:paraId="388EDEB2" w14:textId="77777777" w:rsidR="00EC0A66" w:rsidRDefault="00EC0A66" w:rsidP="005455AF">
      <w:pPr>
        <w:pStyle w:val="upar1"/>
        <w:spacing w:before="0"/>
        <w:ind w:left="0" w:hanging="2"/>
      </w:pPr>
      <w:r>
        <w:rPr>
          <w:rFonts w:eastAsia="Arial"/>
        </w:rPr>
        <w:t>Section 7</w:t>
      </w:r>
      <w:r>
        <w:rPr>
          <w:rFonts w:eastAsia="Arial"/>
        </w:rPr>
        <w:tab/>
        <w:t>Enforcement</w:t>
      </w:r>
    </w:p>
    <w:p w14:paraId="5C023412" w14:textId="77777777" w:rsidR="00EC0A66" w:rsidRDefault="00EC0A66" w:rsidP="005455AF">
      <w:pPr>
        <w:pStyle w:val="upar1"/>
        <w:spacing w:before="0"/>
        <w:ind w:left="0" w:hanging="2"/>
      </w:pPr>
      <w:r>
        <w:rPr>
          <w:rFonts w:eastAsia="Arial"/>
        </w:rPr>
        <w:t>Section 8</w:t>
      </w:r>
      <w:r>
        <w:rPr>
          <w:rFonts w:eastAsia="Arial"/>
        </w:rPr>
        <w:tab/>
        <w:t>Effective Date</w:t>
      </w:r>
    </w:p>
    <w:p w14:paraId="5B947579" w14:textId="77777777" w:rsidR="00EC0A66" w:rsidRDefault="00EC0A66" w:rsidP="005455AF">
      <w:pPr>
        <w:pStyle w:val="upar1"/>
        <w:spacing w:before="0"/>
        <w:ind w:left="0" w:hanging="2"/>
      </w:pPr>
      <w:r>
        <w:rPr>
          <w:rFonts w:eastAsia="Arial"/>
        </w:rPr>
        <w:t>Section 9</w:t>
      </w:r>
      <w:r>
        <w:rPr>
          <w:rFonts w:eastAsia="Arial"/>
        </w:rPr>
        <w:tab/>
        <w:t>History</w:t>
      </w:r>
    </w:p>
    <w:p w14:paraId="696B821D" w14:textId="77777777" w:rsidR="00EC0A66" w:rsidRDefault="00EC0A66" w:rsidP="005455AF">
      <w:pPr>
        <w:pStyle w:val="Title2"/>
        <w:ind w:left="0" w:hanging="2"/>
      </w:pPr>
      <w:r>
        <w:rPr>
          <w:rFonts w:eastAsia="Arial"/>
        </w:rPr>
        <w:t>Section 1</w:t>
      </w:r>
      <w:r>
        <w:rPr>
          <w:rFonts w:eastAsia="Arial"/>
        </w:rPr>
        <w:tab/>
        <w:t>Authority</w:t>
      </w:r>
    </w:p>
    <w:p w14:paraId="5C6B8699" w14:textId="7EB05951" w:rsidR="00EC0A66" w:rsidRDefault="00EC0A66" w:rsidP="005455AF">
      <w:pPr>
        <w:pStyle w:val="upar1"/>
        <w:ind w:left="0" w:hanging="2"/>
      </w:pPr>
      <w:r>
        <w:rPr>
          <w:rFonts w:eastAsia="Arial"/>
        </w:rPr>
        <w:t xml:space="preserve">This regulation is being promulgated and adopted by the Commissioner of Insurance under the authority of §§ 10-1-108(7), 10-1-109(1), and 10-16-109, C.R.S. Further, this emergency regulation is promulgated pursuant to the Governor Polis’ June 28 and June 29, 2026, verbal declaration of a </w:t>
      </w:r>
      <w:r>
        <w:t>disaster emergency</w:t>
      </w:r>
      <w:r>
        <w:rPr>
          <w:rFonts w:eastAsia="Arial"/>
        </w:rPr>
        <w:t xml:space="preserve"> due to the </w:t>
      </w:r>
      <w:r>
        <w:t xml:space="preserve">Willow, Gold Mountain, and Aspen Acres </w:t>
      </w:r>
      <w:r>
        <w:rPr>
          <w:rFonts w:eastAsia="Arial"/>
        </w:rPr>
        <w:t>Fires.</w:t>
      </w:r>
    </w:p>
    <w:p w14:paraId="24178349" w14:textId="77777777" w:rsidR="00EC0A66" w:rsidRDefault="00EC0A66" w:rsidP="005455AF">
      <w:pPr>
        <w:pStyle w:val="Title2"/>
        <w:ind w:left="0" w:hanging="2"/>
      </w:pPr>
      <w:r>
        <w:rPr>
          <w:rFonts w:eastAsia="Arial"/>
        </w:rPr>
        <w:t>Section 2</w:t>
      </w:r>
      <w:r>
        <w:rPr>
          <w:rFonts w:eastAsia="Arial"/>
        </w:rPr>
        <w:tab/>
        <w:t>Scope and Purpose</w:t>
      </w:r>
    </w:p>
    <w:p w14:paraId="351449FB" w14:textId="12AF2E10" w:rsidR="00EC0A66" w:rsidRDefault="00EC0A66" w:rsidP="005455AF">
      <w:pPr>
        <w:pStyle w:val="upar1"/>
        <w:ind w:left="0" w:hanging="2"/>
      </w:pPr>
      <w:r>
        <w:rPr>
          <w:rFonts w:eastAsia="Arial"/>
        </w:rPr>
        <w:t xml:space="preserve">The purpose of this emergency regulation is to require carriers to provide covered persons impacted by the </w:t>
      </w:r>
      <w:r>
        <w:t>Willow, Gold Mountain, and Aspen Acres</w:t>
      </w:r>
      <w:r w:rsidR="003D3D4B">
        <w:t xml:space="preserve"> </w:t>
      </w:r>
      <w:r w:rsidR="003C4F73">
        <w:t>and any 2026 declared wild</w:t>
      </w:r>
      <w:r>
        <w:t>fire</w:t>
      </w:r>
      <w:r w:rsidR="003C4F73">
        <w:t xml:space="preserve"> emergency</w:t>
      </w:r>
      <w:r>
        <w:rPr>
          <w:rFonts w:eastAsia="Arial"/>
        </w:rPr>
        <w:t xml:space="preserve"> with access to durable medical equipment and prescription drugs without a requirement for prior authorization. </w:t>
      </w:r>
    </w:p>
    <w:p w14:paraId="66670071" w14:textId="0C51DE2B" w:rsidR="00EC0A66" w:rsidRDefault="00EC0A66" w:rsidP="005455AF">
      <w:pPr>
        <w:pStyle w:val="upar1"/>
        <w:ind w:left="0" w:hanging="2"/>
      </w:pPr>
      <w:r>
        <w:t>As of</w:t>
      </w:r>
      <w:r>
        <w:rPr>
          <w:rFonts w:eastAsia="Arial"/>
        </w:rPr>
        <w:t xml:space="preserve"> </w:t>
      </w:r>
      <w:r>
        <w:t>July 8</w:t>
      </w:r>
      <w:r>
        <w:rPr>
          <w:rFonts w:eastAsia="Arial"/>
        </w:rPr>
        <w:t>, 202</w:t>
      </w:r>
      <w:r>
        <w:t>6</w:t>
      </w:r>
      <w:r>
        <w:rPr>
          <w:rFonts w:eastAsia="Arial"/>
        </w:rPr>
        <w:t xml:space="preserve">, the </w:t>
      </w:r>
      <w:r>
        <w:t xml:space="preserve">Aspen Acres </w:t>
      </w:r>
      <w:r>
        <w:rPr>
          <w:rFonts w:eastAsia="Arial"/>
        </w:rPr>
        <w:t>Fire</w:t>
      </w:r>
      <w:r>
        <w:t xml:space="preserve"> has grown to more than 96,000 acres, with approximately 15% containment</w:t>
      </w:r>
      <w:r w:rsidR="004248FE">
        <w:t>.</w:t>
      </w:r>
      <w:r>
        <w:rPr>
          <w:rFonts w:eastAsia="Arial"/>
        </w:rPr>
        <w:t xml:space="preserve"> </w:t>
      </w:r>
      <w:r w:rsidR="00832FF4" w:rsidRPr="00832FF4">
        <w:rPr>
          <w:rFonts w:eastAsia="Arial"/>
        </w:rPr>
        <w:t>It is estimated that over 260 homes have been damaged or destroyed.</w:t>
      </w:r>
      <w:r w:rsidR="00832FF4">
        <w:rPr>
          <w:rFonts w:eastAsia="Arial"/>
        </w:rPr>
        <w:t xml:space="preserve"> </w:t>
      </w:r>
      <w:r>
        <w:rPr>
          <w:rFonts w:eastAsia="Arial"/>
        </w:rPr>
        <w:t xml:space="preserve">This emergency regulation is necessary to provide protections to covered persons impacted by the </w:t>
      </w:r>
      <w:r>
        <w:t>Willow, Gold Mountain, and Aspen Acres</w:t>
      </w:r>
      <w:r>
        <w:rPr>
          <w:rFonts w:eastAsia="Arial"/>
        </w:rPr>
        <w:t xml:space="preserve"> fires and to provide immediate access to durable medical equipment and prescription drugs without a requirement for prior authorization.</w:t>
      </w:r>
    </w:p>
    <w:p w14:paraId="1888DC39" w14:textId="2B9E66F0" w:rsidR="00EC0A66" w:rsidRDefault="00EC0A66" w:rsidP="005455AF">
      <w:pPr>
        <w:pStyle w:val="upar1"/>
        <w:ind w:left="0" w:hanging="2"/>
      </w:pPr>
      <w:r>
        <w:rPr>
          <w:rFonts w:eastAsia="Arial"/>
        </w:rPr>
        <w:t>The Division of Insurance finds, pursuant to § 24-4-103(6)(a), C.R.S., that immediate adoption of this regulation is imperatively necessary for the preservation of public health, safety, or welfare of those individuals impacted by the wildfires to ensure access to necessary healthcare services. Therefore, compliance with the requirements of § 24-4-103, C.R.S., would be contrary to the public interest.</w:t>
      </w:r>
    </w:p>
    <w:p w14:paraId="55754322" w14:textId="77777777" w:rsidR="00EC0A66" w:rsidRDefault="00EC0A66" w:rsidP="005455AF">
      <w:pPr>
        <w:pStyle w:val="Title2"/>
        <w:ind w:left="0" w:hanging="2"/>
      </w:pPr>
      <w:r>
        <w:rPr>
          <w:rFonts w:eastAsia="Arial"/>
        </w:rPr>
        <w:t>Section 3</w:t>
      </w:r>
      <w:r>
        <w:rPr>
          <w:rFonts w:eastAsia="Arial"/>
        </w:rPr>
        <w:tab/>
        <w:t>Applicability</w:t>
      </w:r>
    </w:p>
    <w:p w14:paraId="0E9D53AF" w14:textId="77777777" w:rsidR="00EC0A66" w:rsidRDefault="00EC0A66" w:rsidP="005455AF">
      <w:pPr>
        <w:pStyle w:val="upar1"/>
        <w:ind w:left="0" w:hanging="2"/>
      </w:pPr>
      <w:r>
        <w:rPr>
          <w:rFonts w:eastAsia="Arial"/>
        </w:rPr>
        <w:t xml:space="preserve">This regulation shall apply to all carriers offering individual, small group, large group plans, student health plans, and managed care plans subject to the insurance laws of Colorado. Carriers who are third-party </w:t>
      </w:r>
      <w:r>
        <w:rPr>
          <w:rFonts w:eastAsia="Arial"/>
        </w:rPr>
        <w:lastRenderedPageBreak/>
        <w:t xml:space="preserve">administrators for self-funded plans are strongly encouraged to follow the requirements of this regulation </w:t>
      </w:r>
      <w:proofErr w:type="gramStart"/>
      <w:r>
        <w:rPr>
          <w:rFonts w:eastAsia="Arial"/>
        </w:rPr>
        <w:t>in order to</w:t>
      </w:r>
      <w:proofErr w:type="gramEnd"/>
      <w:r>
        <w:rPr>
          <w:rFonts w:eastAsia="Arial"/>
        </w:rPr>
        <w:t xml:space="preserve"> create uniform billing structures during the duration of the disaster emergency.</w:t>
      </w:r>
    </w:p>
    <w:p w14:paraId="44A01C5E" w14:textId="77777777" w:rsidR="00EC0A66" w:rsidRDefault="00EC0A66" w:rsidP="005455AF">
      <w:pPr>
        <w:pStyle w:val="Title2"/>
        <w:ind w:left="0" w:hanging="2"/>
      </w:pPr>
      <w:r>
        <w:rPr>
          <w:rFonts w:eastAsia="Arial"/>
        </w:rPr>
        <w:t>Section 4</w:t>
      </w:r>
      <w:r>
        <w:rPr>
          <w:rFonts w:eastAsia="Arial"/>
        </w:rPr>
        <w:tab/>
        <w:t>Definitions</w:t>
      </w:r>
    </w:p>
    <w:p w14:paraId="4D6D1A0A" w14:textId="77777777" w:rsidR="00EC0A66" w:rsidRDefault="00EC0A66" w:rsidP="005455AF">
      <w:pPr>
        <w:pStyle w:val="par1"/>
        <w:ind w:left="0" w:hanging="2"/>
      </w:pPr>
      <w:r>
        <w:rPr>
          <w:rFonts w:eastAsia="Arial"/>
        </w:rPr>
        <w:t>A.</w:t>
      </w:r>
      <w:r>
        <w:rPr>
          <w:rFonts w:eastAsia="Arial"/>
        </w:rPr>
        <w:tab/>
        <w:t>“Carrier” shall have the same meaning as found at § 10-16-102(8), C.R.S.</w:t>
      </w:r>
    </w:p>
    <w:p w14:paraId="6D8CCDF1" w14:textId="77777777" w:rsidR="00EC0A66" w:rsidRDefault="00EC0A66" w:rsidP="005455AF">
      <w:pPr>
        <w:pStyle w:val="par1"/>
        <w:ind w:left="0" w:hanging="2"/>
        <w:rPr>
          <w:rFonts w:eastAsia="Arial"/>
        </w:rPr>
      </w:pPr>
      <w:r>
        <w:rPr>
          <w:rFonts w:eastAsia="Arial"/>
        </w:rPr>
        <w:t>B.</w:t>
      </w:r>
      <w:r>
        <w:rPr>
          <w:rFonts w:eastAsia="Arial"/>
        </w:rPr>
        <w:tab/>
        <w:t>“Covered person” shall have the same meaning as found at § 10-16-102(15), C.R.S.</w:t>
      </w:r>
    </w:p>
    <w:p w14:paraId="25520A51" w14:textId="3202BB5B" w:rsidR="00AA62DF" w:rsidRDefault="00AA62DF" w:rsidP="005455AF">
      <w:pPr>
        <w:pStyle w:val="par1"/>
        <w:ind w:left="0" w:hanging="2"/>
      </w:pPr>
      <w:r>
        <w:rPr>
          <w:rFonts w:eastAsia="Arial"/>
        </w:rPr>
        <w:t xml:space="preserve">C. </w:t>
      </w:r>
      <w:r>
        <w:rPr>
          <w:rFonts w:eastAsia="Arial"/>
        </w:rPr>
        <w:tab/>
        <w:t xml:space="preserve">“Fire-affected area” shall mean </w:t>
      </w:r>
      <w:r w:rsidR="00AB7A80">
        <w:rPr>
          <w:rFonts w:eastAsia="Arial"/>
        </w:rPr>
        <w:t>any area affected by a 2026 declared wildfire emergency.</w:t>
      </w:r>
    </w:p>
    <w:p w14:paraId="4DC58E5C" w14:textId="10801587" w:rsidR="00EC0A66" w:rsidRDefault="00EC0A66" w:rsidP="005455AF">
      <w:pPr>
        <w:pStyle w:val="Title2"/>
        <w:ind w:left="0" w:hanging="2"/>
      </w:pPr>
      <w:r>
        <w:rPr>
          <w:rFonts w:eastAsia="Arial"/>
        </w:rPr>
        <w:t>Section 5</w:t>
      </w:r>
      <w:r>
        <w:rPr>
          <w:rFonts w:eastAsia="Arial"/>
        </w:rPr>
        <w:tab/>
        <w:t xml:space="preserve">Coverage of Durable Medical Equipment and Prescription Drug Refills during the </w:t>
      </w:r>
      <w:r>
        <w:rPr>
          <w:rFonts w:eastAsia="Arial"/>
        </w:rPr>
        <w:tab/>
      </w:r>
      <w:r w:rsidR="005455AF">
        <w:rPr>
          <w:rFonts w:eastAsia="Arial"/>
        </w:rPr>
        <w:tab/>
      </w:r>
      <w:r w:rsidR="005455AF">
        <w:rPr>
          <w:rFonts w:eastAsia="Arial"/>
        </w:rPr>
        <w:tab/>
      </w:r>
      <w:r>
        <w:t>Willow, Gold Mountain, and Aspen Acres</w:t>
      </w:r>
      <w:r>
        <w:rPr>
          <w:rFonts w:eastAsia="Arial"/>
        </w:rPr>
        <w:t xml:space="preserve"> Fire Disaster Emergency </w:t>
      </w:r>
    </w:p>
    <w:p w14:paraId="2EF34A59" w14:textId="2B170635" w:rsidR="00EC0A66" w:rsidRDefault="00EC0A66" w:rsidP="005455AF">
      <w:pPr>
        <w:pStyle w:val="par1"/>
        <w:ind w:left="0" w:hanging="2"/>
      </w:pPr>
      <w:r>
        <w:rPr>
          <w:rFonts w:eastAsia="Arial"/>
        </w:rPr>
        <w:t>A.</w:t>
      </w:r>
      <w:r>
        <w:rPr>
          <w:rFonts w:eastAsia="Arial"/>
        </w:rPr>
        <w:tab/>
        <w:t xml:space="preserve">To the extent otherwise covered by the plan, carriers shall waive any prior authorization </w:t>
      </w:r>
      <w:r w:rsidR="005455AF">
        <w:rPr>
          <w:rFonts w:eastAsia="Arial"/>
        </w:rPr>
        <w:tab/>
      </w:r>
      <w:r>
        <w:rPr>
          <w:rFonts w:eastAsia="Arial"/>
        </w:rPr>
        <w:t xml:space="preserve">requirements for covered </w:t>
      </w:r>
      <w:proofErr w:type="gramStart"/>
      <w:r>
        <w:rPr>
          <w:rFonts w:eastAsia="Arial"/>
        </w:rPr>
        <w:t>persons</w:t>
      </w:r>
      <w:proofErr w:type="gramEnd"/>
      <w:r>
        <w:rPr>
          <w:rFonts w:eastAsia="Arial"/>
        </w:rPr>
        <w:t xml:space="preserve"> residing in or displaced from the fire-affected areas for the </w:t>
      </w:r>
      <w:r w:rsidR="005455AF">
        <w:rPr>
          <w:rFonts w:eastAsia="Arial"/>
        </w:rPr>
        <w:tab/>
      </w:r>
      <w:r>
        <w:rPr>
          <w:rFonts w:eastAsia="Arial"/>
        </w:rPr>
        <w:t>following:</w:t>
      </w:r>
    </w:p>
    <w:p w14:paraId="4677F386" w14:textId="3C9CA697" w:rsidR="00EC0A66" w:rsidRDefault="00EC0A66" w:rsidP="005455AF">
      <w:pPr>
        <w:pStyle w:val="par2"/>
        <w:ind w:left="0" w:hanging="2"/>
      </w:pPr>
      <w:r>
        <w:rPr>
          <w:rFonts w:eastAsia="Arial"/>
        </w:rPr>
        <w:tab/>
      </w:r>
      <w:r w:rsidR="005455AF">
        <w:rPr>
          <w:rFonts w:eastAsia="Arial"/>
        </w:rPr>
        <w:tab/>
      </w:r>
      <w:r>
        <w:rPr>
          <w:rFonts w:eastAsia="Arial"/>
        </w:rPr>
        <w:t>1.</w:t>
      </w:r>
      <w:r>
        <w:rPr>
          <w:rFonts w:eastAsia="Arial"/>
        </w:rPr>
        <w:tab/>
        <w:t>Replacement o</w:t>
      </w:r>
      <w:r>
        <w:t>f</w:t>
      </w:r>
      <w:r>
        <w:rPr>
          <w:rFonts w:eastAsia="Arial"/>
        </w:rPr>
        <w:t xml:space="preserve"> previously authorized durable medical equipment; and</w:t>
      </w:r>
    </w:p>
    <w:p w14:paraId="02C6488E" w14:textId="60AFC253" w:rsidR="00EC0A66" w:rsidRDefault="005455AF" w:rsidP="005455AF">
      <w:pPr>
        <w:pStyle w:val="par2"/>
        <w:ind w:left="0" w:hanging="2"/>
      </w:pPr>
      <w:r>
        <w:rPr>
          <w:rFonts w:eastAsia="Arial"/>
        </w:rPr>
        <w:tab/>
      </w:r>
      <w:r>
        <w:rPr>
          <w:rFonts w:eastAsia="Arial"/>
        </w:rPr>
        <w:tab/>
      </w:r>
      <w:r w:rsidR="00EC0A66">
        <w:rPr>
          <w:rFonts w:eastAsia="Arial"/>
        </w:rPr>
        <w:t>2.</w:t>
      </w:r>
      <w:r w:rsidR="00EC0A66">
        <w:rPr>
          <w:rFonts w:eastAsia="Arial"/>
        </w:rPr>
        <w:tab/>
        <w:t>Prescription drug refills.</w:t>
      </w:r>
    </w:p>
    <w:p w14:paraId="0BDA2025" w14:textId="448619F5" w:rsidR="00EC0A66" w:rsidRDefault="00EC0A66" w:rsidP="005455AF">
      <w:pPr>
        <w:pStyle w:val="par1"/>
        <w:ind w:left="0" w:hanging="2"/>
      </w:pPr>
      <w:r>
        <w:rPr>
          <w:rFonts w:eastAsia="Arial"/>
        </w:rPr>
        <w:t>B.</w:t>
      </w:r>
      <w:r>
        <w:rPr>
          <w:rFonts w:eastAsia="Arial"/>
        </w:rPr>
        <w:tab/>
        <w:t xml:space="preserve">Carriers shall cover at least one (1) additional early refill of all necessary covered prescriptions to </w:t>
      </w:r>
      <w:r w:rsidR="005455AF">
        <w:rPr>
          <w:rFonts w:eastAsia="Arial"/>
        </w:rPr>
        <w:tab/>
      </w:r>
      <w:r>
        <w:rPr>
          <w:rFonts w:eastAsia="Arial"/>
        </w:rPr>
        <w:t xml:space="preserve">ensure that covered </w:t>
      </w:r>
      <w:proofErr w:type="gramStart"/>
      <w:r>
        <w:rPr>
          <w:rFonts w:eastAsia="Arial"/>
        </w:rPr>
        <w:t>persons</w:t>
      </w:r>
      <w:proofErr w:type="gramEnd"/>
      <w:r>
        <w:rPr>
          <w:rFonts w:eastAsia="Arial"/>
        </w:rPr>
        <w:t xml:space="preserve"> residing in or displaced from fire-affected areas have access to </w:t>
      </w:r>
      <w:r w:rsidR="005455AF">
        <w:rPr>
          <w:rFonts w:eastAsia="Arial"/>
        </w:rPr>
        <w:tab/>
      </w:r>
      <w:r>
        <w:rPr>
          <w:rFonts w:eastAsia="Arial"/>
        </w:rPr>
        <w:t xml:space="preserve">necessary medications. </w:t>
      </w:r>
    </w:p>
    <w:p w14:paraId="4A0FD388" w14:textId="51BED154" w:rsidR="00EC0A66" w:rsidRDefault="00EC0A66" w:rsidP="005455AF">
      <w:pPr>
        <w:pStyle w:val="par2"/>
        <w:ind w:left="0" w:hanging="2"/>
      </w:pPr>
      <w:r>
        <w:rPr>
          <w:rFonts w:eastAsia="Arial"/>
        </w:rPr>
        <w:tab/>
      </w:r>
      <w:r w:rsidR="005455AF">
        <w:rPr>
          <w:rFonts w:eastAsia="Arial"/>
        </w:rPr>
        <w:tab/>
      </w:r>
      <w:r>
        <w:rPr>
          <w:rFonts w:eastAsia="Arial"/>
        </w:rPr>
        <w:t>1.</w:t>
      </w:r>
      <w:r>
        <w:rPr>
          <w:rFonts w:eastAsia="Arial"/>
        </w:rPr>
        <w:tab/>
        <w:t xml:space="preserve">Carriers shall not apply a different cost-sharing amount for an early refill of a </w:t>
      </w:r>
      <w:r w:rsidR="005455AF">
        <w:rPr>
          <w:rFonts w:eastAsia="Arial"/>
        </w:rPr>
        <w:tab/>
      </w:r>
      <w:r w:rsidR="005455AF">
        <w:rPr>
          <w:rFonts w:eastAsia="Arial"/>
        </w:rPr>
        <w:tab/>
      </w:r>
      <w:r w:rsidR="005455AF">
        <w:rPr>
          <w:rFonts w:eastAsia="Arial"/>
        </w:rPr>
        <w:tab/>
      </w:r>
      <w:r w:rsidR="005455AF">
        <w:rPr>
          <w:rFonts w:eastAsia="Arial"/>
        </w:rPr>
        <w:tab/>
      </w:r>
      <w:r>
        <w:rPr>
          <w:rFonts w:eastAsia="Arial"/>
        </w:rPr>
        <w:t>prescription.</w:t>
      </w:r>
    </w:p>
    <w:p w14:paraId="5C32D9B1" w14:textId="207161ED" w:rsidR="00EC0A66" w:rsidRDefault="00EC0A66" w:rsidP="005455AF">
      <w:pPr>
        <w:pStyle w:val="par2"/>
        <w:ind w:left="0" w:hanging="2"/>
      </w:pPr>
      <w:r>
        <w:rPr>
          <w:rFonts w:eastAsia="Arial"/>
        </w:rPr>
        <w:tab/>
      </w:r>
      <w:r w:rsidR="005455AF">
        <w:rPr>
          <w:rFonts w:eastAsia="Arial"/>
        </w:rPr>
        <w:tab/>
      </w:r>
      <w:r>
        <w:rPr>
          <w:rFonts w:eastAsia="Arial"/>
        </w:rPr>
        <w:t>2.</w:t>
      </w:r>
      <w:r>
        <w:rPr>
          <w:rFonts w:eastAsia="Arial"/>
        </w:rPr>
        <w:tab/>
        <w:t xml:space="preserve">The requirements of this Section 5.B do not apply to prescription drugs with a high </w:t>
      </w:r>
      <w:r>
        <w:rPr>
          <w:rFonts w:eastAsia="Arial"/>
        </w:rPr>
        <w:tab/>
      </w:r>
      <w:r w:rsidR="005455AF">
        <w:rPr>
          <w:rFonts w:eastAsia="Arial"/>
        </w:rPr>
        <w:tab/>
      </w:r>
      <w:r w:rsidR="005455AF">
        <w:rPr>
          <w:rFonts w:eastAsia="Arial"/>
        </w:rPr>
        <w:tab/>
      </w:r>
      <w:r>
        <w:rPr>
          <w:rFonts w:eastAsia="Arial"/>
        </w:rPr>
        <w:t xml:space="preserve">likelihood of abuse, such as opioids. </w:t>
      </w:r>
    </w:p>
    <w:p w14:paraId="25D64F4B" w14:textId="77777777" w:rsidR="00EC0A66" w:rsidRDefault="00EC0A66" w:rsidP="005455AF">
      <w:pPr>
        <w:pStyle w:val="Title2"/>
        <w:ind w:left="0" w:hanging="2"/>
      </w:pPr>
      <w:r>
        <w:rPr>
          <w:rFonts w:eastAsia="Arial"/>
        </w:rPr>
        <w:t>Section 6</w:t>
      </w:r>
      <w:r>
        <w:rPr>
          <w:rFonts w:eastAsia="Arial"/>
        </w:rPr>
        <w:tab/>
        <w:t>Severability</w:t>
      </w:r>
    </w:p>
    <w:p w14:paraId="29ACAA9E" w14:textId="77777777" w:rsidR="00EC0A66" w:rsidRDefault="00EC0A66" w:rsidP="005455AF">
      <w:pPr>
        <w:pStyle w:val="upar1"/>
        <w:ind w:left="0" w:hanging="2"/>
      </w:pPr>
      <w:r>
        <w:rPr>
          <w:rFonts w:eastAsia="Arial"/>
        </w:rPr>
        <w:t>If any provision of this regulation or the application of it to any person or circumstances is for any reason held to be invalid, the remainder of this regulation shall not be affected.</w:t>
      </w:r>
    </w:p>
    <w:p w14:paraId="601A35FB" w14:textId="77777777" w:rsidR="00EC0A66" w:rsidRDefault="00EC0A66" w:rsidP="005455AF">
      <w:pPr>
        <w:pStyle w:val="Title2"/>
        <w:ind w:left="0" w:hanging="2"/>
      </w:pPr>
      <w:r>
        <w:rPr>
          <w:rFonts w:eastAsia="Arial"/>
        </w:rPr>
        <w:t>Section 7</w:t>
      </w:r>
      <w:r>
        <w:rPr>
          <w:rFonts w:eastAsia="Arial"/>
        </w:rPr>
        <w:tab/>
        <w:t>Enforcement</w:t>
      </w:r>
    </w:p>
    <w:p w14:paraId="6895BC11" w14:textId="77777777" w:rsidR="00EC0A66" w:rsidRDefault="00EC0A66" w:rsidP="005455AF">
      <w:pPr>
        <w:pStyle w:val="upar1"/>
        <w:ind w:left="0" w:hanging="2"/>
      </w:pPr>
      <w:r>
        <w:rPr>
          <w:rFonts w:eastAsia="Arial"/>
        </w:rP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rPr>
          <w:rFonts w:eastAsia="Arial"/>
        </w:rPr>
        <w:t>cease and desist</w:t>
      </w:r>
      <w:proofErr w:type="gramEnd"/>
      <w:r>
        <w:rPr>
          <w:rFonts w:eastAsia="Arial"/>
        </w:rPr>
        <w:t xml:space="preserve"> orders, and/or suspensions or revocation of license, subject to the requirements of due process.</w:t>
      </w:r>
    </w:p>
    <w:p w14:paraId="535CC8DE" w14:textId="77777777" w:rsidR="00EC0A66" w:rsidRDefault="00EC0A66" w:rsidP="005455AF">
      <w:pPr>
        <w:pStyle w:val="Title2"/>
        <w:ind w:left="0" w:hanging="2"/>
      </w:pPr>
      <w:r>
        <w:rPr>
          <w:rFonts w:eastAsia="Arial"/>
        </w:rPr>
        <w:t>Section 8</w:t>
      </w:r>
      <w:r>
        <w:rPr>
          <w:rFonts w:eastAsia="Arial"/>
        </w:rPr>
        <w:tab/>
        <w:t>Effective Date</w:t>
      </w:r>
    </w:p>
    <w:p w14:paraId="2992CDAF" w14:textId="42737A0F" w:rsidR="00EC0A66" w:rsidRDefault="00EC0A66" w:rsidP="005455AF">
      <w:pPr>
        <w:pStyle w:val="upar1"/>
        <w:ind w:left="0" w:hanging="2"/>
      </w:pPr>
      <w:r>
        <w:rPr>
          <w:rFonts w:eastAsia="Arial"/>
        </w:rPr>
        <w:t xml:space="preserve">This emergency regulation shall be effective </w:t>
      </w:r>
      <w:r w:rsidR="00607DCA">
        <w:t>July 14</w:t>
      </w:r>
      <w:r>
        <w:rPr>
          <w:rFonts w:eastAsia="Arial"/>
        </w:rPr>
        <w:t>, 202</w:t>
      </w:r>
      <w:r>
        <w:t>6</w:t>
      </w:r>
      <w:r>
        <w:rPr>
          <w:rFonts w:eastAsia="Arial"/>
        </w:rPr>
        <w:t>.</w:t>
      </w:r>
    </w:p>
    <w:p w14:paraId="7FE96EAA" w14:textId="77777777" w:rsidR="00EC0A66" w:rsidRDefault="00EC0A66" w:rsidP="005455AF">
      <w:pPr>
        <w:pStyle w:val="Title2"/>
        <w:ind w:left="0" w:hanging="2"/>
      </w:pPr>
      <w:r>
        <w:rPr>
          <w:rFonts w:eastAsia="Arial"/>
        </w:rPr>
        <w:t>Section 9</w:t>
      </w:r>
      <w:r>
        <w:rPr>
          <w:rFonts w:eastAsia="Arial"/>
        </w:rPr>
        <w:tab/>
        <w:t>History</w:t>
      </w:r>
    </w:p>
    <w:p w14:paraId="7528F397" w14:textId="43615FDE" w:rsidR="00B54004" w:rsidRDefault="00EC0A66" w:rsidP="005455AF">
      <w:pPr>
        <w:pStyle w:val="upar1"/>
        <w:ind w:left="0" w:hanging="2"/>
        <w:rPr>
          <w:rFonts w:ascii="Times New Roman" w:hAnsi="Times New Roman" w:cs="Times New Roman"/>
          <w:sz w:val="24"/>
          <w:szCs w:val="24"/>
        </w:rPr>
      </w:pPr>
      <w:r>
        <w:rPr>
          <w:rFonts w:eastAsia="Arial"/>
        </w:rPr>
        <w:t xml:space="preserve">This emergency regulation shall be effective </w:t>
      </w:r>
      <w:r w:rsidR="00607DCA">
        <w:t>July 14</w:t>
      </w:r>
      <w:r>
        <w:t>, 2026</w:t>
      </w:r>
      <w:r w:rsidR="005455AF">
        <w:rPr>
          <w:rFonts w:eastAsia="Arial"/>
        </w:rPr>
        <w:t>.</w:t>
      </w:r>
    </w:p>
    <w:sectPr w:rsidR="00B5400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74D38" w14:textId="77777777" w:rsidR="00C563E3" w:rsidRDefault="00C563E3">
      <w:pPr>
        <w:spacing w:before="0" w:line="240" w:lineRule="auto"/>
        <w:ind w:left="0" w:hanging="2"/>
      </w:pPr>
      <w:r>
        <w:separator/>
      </w:r>
    </w:p>
  </w:endnote>
  <w:endnote w:type="continuationSeparator" w:id="0">
    <w:p w14:paraId="723BEA6C" w14:textId="77777777" w:rsidR="00C563E3" w:rsidRDefault="00C563E3">
      <w:pPr>
        <w:spacing w:before="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9998B" w14:textId="77777777" w:rsidR="00982A7E" w:rsidRDefault="00982A7E">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78F89" w14:textId="77777777" w:rsidR="00982A7E" w:rsidRDefault="00982A7E">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6223E" w14:textId="77777777" w:rsidR="00982A7E" w:rsidRDefault="00982A7E">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BAA20" w14:textId="77777777" w:rsidR="00C563E3" w:rsidRDefault="00C563E3">
      <w:pPr>
        <w:spacing w:before="0" w:line="240" w:lineRule="auto"/>
        <w:ind w:left="0" w:hanging="2"/>
      </w:pPr>
      <w:r>
        <w:separator/>
      </w:r>
    </w:p>
  </w:footnote>
  <w:footnote w:type="continuationSeparator" w:id="0">
    <w:p w14:paraId="64129AC0" w14:textId="77777777" w:rsidR="00C563E3" w:rsidRDefault="00C563E3">
      <w:pPr>
        <w:spacing w:before="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B3B1" w14:textId="7C5307F4" w:rsidR="00982A7E" w:rsidRDefault="00982A7E">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1CE7B" w14:textId="18651447" w:rsidR="00B54004" w:rsidRDefault="00B54004">
    <w:pP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F69B" w14:textId="09A7902F" w:rsidR="00982A7E" w:rsidRDefault="00982A7E">
    <w:pPr>
      <w:pStyle w:val="Header"/>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04"/>
    <w:rsid w:val="00014CC4"/>
    <w:rsid w:val="00065FEF"/>
    <w:rsid w:val="000A5C56"/>
    <w:rsid w:val="00155485"/>
    <w:rsid w:val="00167BEC"/>
    <w:rsid w:val="00172AFB"/>
    <w:rsid w:val="001763A4"/>
    <w:rsid w:val="001823B4"/>
    <w:rsid w:val="00196E61"/>
    <w:rsid w:val="001D4CE4"/>
    <w:rsid w:val="00204743"/>
    <w:rsid w:val="002E4B65"/>
    <w:rsid w:val="002F6B94"/>
    <w:rsid w:val="00335FCC"/>
    <w:rsid w:val="003C15F2"/>
    <w:rsid w:val="003C4F73"/>
    <w:rsid w:val="003D3D4B"/>
    <w:rsid w:val="004248FE"/>
    <w:rsid w:val="00432A45"/>
    <w:rsid w:val="00502CA0"/>
    <w:rsid w:val="005455AF"/>
    <w:rsid w:val="00572290"/>
    <w:rsid w:val="005A2977"/>
    <w:rsid w:val="005C24A8"/>
    <w:rsid w:val="005D36D2"/>
    <w:rsid w:val="00607DCA"/>
    <w:rsid w:val="006603E5"/>
    <w:rsid w:val="006B51D5"/>
    <w:rsid w:val="006D3B9F"/>
    <w:rsid w:val="00714CFA"/>
    <w:rsid w:val="0074642D"/>
    <w:rsid w:val="00784F18"/>
    <w:rsid w:val="00786B81"/>
    <w:rsid w:val="00797889"/>
    <w:rsid w:val="007C1B00"/>
    <w:rsid w:val="007F0C40"/>
    <w:rsid w:val="00832FF4"/>
    <w:rsid w:val="00835804"/>
    <w:rsid w:val="00854408"/>
    <w:rsid w:val="00866610"/>
    <w:rsid w:val="00975227"/>
    <w:rsid w:val="00982A7E"/>
    <w:rsid w:val="00AA62DF"/>
    <w:rsid w:val="00AB7A80"/>
    <w:rsid w:val="00B54004"/>
    <w:rsid w:val="00B87E56"/>
    <w:rsid w:val="00B93F2A"/>
    <w:rsid w:val="00C01AE2"/>
    <w:rsid w:val="00C17E2F"/>
    <w:rsid w:val="00C40B9F"/>
    <w:rsid w:val="00C563E3"/>
    <w:rsid w:val="00C83E2C"/>
    <w:rsid w:val="00CA3BD5"/>
    <w:rsid w:val="00CC059D"/>
    <w:rsid w:val="00CC7C64"/>
    <w:rsid w:val="00CD57CC"/>
    <w:rsid w:val="00D61C70"/>
    <w:rsid w:val="00D87547"/>
    <w:rsid w:val="00E342C9"/>
    <w:rsid w:val="00E427EE"/>
    <w:rsid w:val="00E55837"/>
    <w:rsid w:val="00EA5C52"/>
    <w:rsid w:val="00EC0A66"/>
    <w:rsid w:val="00F9136F"/>
    <w:rsid w:val="00FA44FA"/>
    <w:rsid w:val="00FD4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E88D6"/>
  <w15:docId w15:val="{3CA9F4AB-1C56-432D-A4A4-C1A5FF561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before="240" w:line="1" w:lineRule="atLeast"/>
      <w:ind w:leftChars="-1" w:left="-1" w:hangingChars="1" w:hanging="1"/>
      <w:textDirection w:val="btLr"/>
      <w:textAlignment w:val="top"/>
      <w:outlineLvl w:val="0"/>
    </w:pPr>
    <w:rPr>
      <w:rFonts w:eastAsia="Times New Roman"/>
      <w:position w:val="-1"/>
    </w:rPr>
  </w:style>
  <w:style w:type="paragraph" w:styleId="Heading1">
    <w:name w:val="heading 1"/>
    <w:basedOn w:val="Normal"/>
    <w:next w:val="Normal"/>
    <w:uiPriority w:val="9"/>
    <w:qFormat/>
    <w:pPr>
      <w:keepNext/>
      <w:spacing w:after="60"/>
    </w:pPr>
    <w:rPr>
      <w:b/>
      <w:bCs/>
      <w:kern w:val="32"/>
      <w:sz w:val="32"/>
      <w:szCs w:val="32"/>
    </w:rPr>
  </w:style>
  <w:style w:type="paragraph" w:styleId="Heading2">
    <w:name w:val="heading 2"/>
    <w:basedOn w:val="Normal"/>
    <w:next w:val="Normal"/>
    <w:uiPriority w:val="9"/>
    <w:semiHidden/>
    <w:unhideWhenUsed/>
    <w:qFormat/>
    <w:pPr>
      <w:keepNext/>
      <w:spacing w:after="60"/>
      <w:outlineLvl w:val="1"/>
    </w:pPr>
    <w:rPr>
      <w:b/>
      <w:bCs/>
      <w:i/>
      <w:iCs/>
      <w:sz w:val="28"/>
      <w:szCs w:val="28"/>
    </w:rPr>
  </w:style>
  <w:style w:type="paragraph" w:styleId="Heading3">
    <w:name w:val="heading 3"/>
    <w:basedOn w:val="Normal"/>
    <w:next w:val="Normal"/>
    <w:uiPriority w:val="9"/>
    <w:semiHidden/>
    <w:unhideWhenUsed/>
    <w:qFormat/>
    <w:pPr>
      <w:keepNext/>
      <w:spacing w:after="60"/>
      <w:outlineLvl w:val="2"/>
    </w:pPr>
    <w:rPr>
      <w:b/>
      <w:bCs/>
      <w:sz w:val="26"/>
      <w:szCs w:val="26"/>
    </w:rPr>
  </w:style>
  <w:style w:type="paragraph" w:styleId="Heading4">
    <w:name w:val="heading 4"/>
    <w:basedOn w:val="Normal"/>
    <w:next w:val="Normal"/>
    <w:uiPriority w:val="9"/>
    <w:semiHidden/>
    <w:unhideWhenUsed/>
    <w:qFormat/>
    <w:pPr>
      <w:keepNext/>
      <w:outlineLvl w:val="3"/>
    </w:pPr>
    <w:rPr>
      <w:b/>
      <w:bCs/>
      <w:sz w:val="22"/>
    </w:rPr>
  </w:style>
  <w:style w:type="paragraph" w:styleId="Heading5">
    <w:name w:val="heading 5"/>
    <w:basedOn w:val="Normal"/>
    <w:next w:val="Normal"/>
    <w:uiPriority w:val="9"/>
    <w:semiHidden/>
    <w:unhideWhenUsed/>
    <w:qFormat/>
    <w:pPr>
      <w:keepNext/>
      <w:outlineLvl w:val="4"/>
    </w:pPr>
    <w:rPr>
      <w:bCs/>
      <w:sz w:val="22"/>
    </w:rPr>
  </w:style>
  <w:style w:type="paragraph" w:styleId="Heading6">
    <w:name w:val="heading 6"/>
    <w:basedOn w:val="Normal"/>
    <w:next w:val="Normal"/>
    <w:uiPriority w:val="9"/>
    <w:semiHidden/>
    <w:unhideWhenUsed/>
    <w:qFormat/>
    <w:pPr>
      <w:keepNext/>
      <w:keepLines/>
      <w:spacing w:before="200"/>
      <w:outlineLvl w:val="5"/>
    </w:pPr>
    <w:rPr>
      <w:rFonts w:ascii="Cambria" w:hAnsi="Cambria" w:cs="Times New Roman"/>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rPr>
      <w:rFonts w:ascii="Arial" w:eastAsia="Times New Roman" w:hAnsi="Arial" w:cs="Arial"/>
      <w:b/>
      <w:bCs/>
      <w:w w:val="100"/>
      <w:kern w:val="32"/>
      <w:position w:val="-1"/>
      <w:sz w:val="32"/>
      <w:szCs w:val="32"/>
      <w:effect w:val="none"/>
      <w:vertAlign w:val="baseline"/>
      <w:cs w:val="0"/>
      <w:em w:val="none"/>
    </w:rPr>
  </w:style>
  <w:style w:type="character" w:customStyle="1" w:styleId="Heading2Char">
    <w:name w:val="Heading 2 Char"/>
    <w:rPr>
      <w:rFonts w:ascii="Arial" w:eastAsia="Times New Roman" w:hAnsi="Arial" w:cs="Arial"/>
      <w:b/>
      <w:bCs/>
      <w:i/>
      <w:iCs/>
      <w:w w:val="100"/>
      <w:position w:val="-1"/>
      <w:sz w:val="28"/>
      <w:szCs w:val="28"/>
      <w:effect w:val="none"/>
      <w:vertAlign w:val="baseline"/>
      <w:cs w:val="0"/>
      <w:em w:val="none"/>
    </w:rPr>
  </w:style>
  <w:style w:type="character" w:customStyle="1" w:styleId="Heading3Char">
    <w:name w:val="Heading 3 Char"/>
    <w:rPr>
      <w:rFonts w:ascii="Arial" w:eastAsia="Times New Roman" w:hAnsi="Arial" w:cs="Arial"/>
      <w:b/>
      <w:bCs/>
      <w:w w:val="100"/>
      <w:position w:val="-1"/>
      <w:sz w:val="26"/>
      <w:szCs w:val="26"/>
      <w:effect w:val="none"/>
      <w:vertAlign w:val="baseline"/>
      <w:cs w:val="0"/>
      <w:em w:val="none"/>
    </w:rPr>
  </w:style>
  <w:style w:type="character" w:customStyle="1" w:styleId="Heading4Char">
    <w:name w:val="Heading 4 Char"/>
    <w:rPr>
      <w:rFonts w:ascii="Arial" w:eastAsia="Times New Roman" w:hAnsi="Arial" w:cs="Arial"/>
      <w:b/>
      <w:bCs/>
      <w:w w:val="100"/>
      <w:position w:val="-1"/>
      <w:sz w:val="22"/>
      <w:effect w:val="none"/>
      <w:vertAlign w:val="baseline"/>
      <w:cs w:val="0"/>
      <w:em w:val="none"/>
    </w:rPr>
  </w:style>
  <w:style w:type="character" w:customStyle="1" w:styleId="Heading5Char">
    <w:name w:val="Heading 5 Char"/>
    <w:rPr>
      <w:rFonts w:ascii="Arial" w:eastAsia="Times New Roman" w:hAnsi="Arial" w:cs="Arial"/>
      <w:bCs/>
      <w:w w:val="100"/>
      <w:position w:val="-1"/>
      <w:sz w:val="22"/>
      <w:effect w:val="none"/>
      <w:vertAlign w:val="baseline"/>
      <w:cs w:val="0"/>
      <w:em w:val="none"/>
    </w:rPr>
  </w:style>
  <w:style w:type="paragraph" w:customStyle="1" w:styleId="Department">
    <w:name w:val="Department"/>
    <w:pPr>
      <w:suppressAutoHyphens/>
      <w:spacing w:before="240" w:line="1" w:lineRule="atLeast"/>
      <w:ind w:leftChars="-1" w:left="-1" w:hangingChars="1" w:hanging="1"/>
      <w:jc w:val="center"/>
      <w:textDirection w:val="btLr"/>
      <w:textAlignment w:val="top"/>
      <w:outlineLvl w:val="0"/>
    </w:pPr>
    <w:rPr>
      <w:rFonts w:eastAsia="Times New Roman"/>
      <w:b/>
      <w:bCs/>
      <w:caps/>
      <w:position w:val="-1"/>
      <w:sz w:val="28"/>
      <w:szCs w:val="28"/>
    </w:rPr>
  </w:style>
  <w:style w:type="paragraph" w:customStyle="1" w:styleId="Agency">
    <w:name w:val="Agency"/>
    <w:basedOn w:val="Normal"/>
    <w:pPr>
      <w:jc w:val="center"/>
    </w:pPr>
    <w:rPr>
      <w:b/>
      <w:bCs/>
      <w:sz w:val="28"/>
      <w:szCs w:val="28"/>
    </w:rPr>
  </w:style>
  <w:style w:type="paragraph" w:customStyle="1" w:styleId="CCRNumber">
    <w:name w:val="CCR Number"/>
    <w:pPr>
      <w:suppressAutoHyphens/>
      <w:spacing w:before="240" w:line="1" w:lineRule="atLeast"/>
      <w:ind w:leftChars="-1" w:left="-1" w:hangingChars="1" w:hanging="1"/>
      <w:jc w:val="center"/>
      <w:textDirection w:val="btLr"/>
      <w:textAlignment w:val="top"/>
      <w:outlineLvl w:val="0"/>
    </w:pPr>
    <w:rPr>
      <w:rFonts w:eastAsia="Times New Roman"/>
      <w:b/>
      <w:bCs/>
      <w:caps/>
      <w:position w:val="-1"/>
      <w:sz w:val="24"/>
      <w:szCs w:val="24"/>
    </w:rPr>
  </w:style>
  <w:style w:type="paragraph" w:customStyle="1" w:styleId="CCRTitle">
    <w:name w:val="CCR Title"/>
    <w:pPr>
      <w:suppressAutoHyphens/>
      <w:spacing w:before="240" w:line="1" w:lineRule="atLeast"/>
      <w:ind w:leftChars="-1" w:left="-1" w:hangingChars="1" w:hanging="1"/>
      <w:jc w:val="center"/>
      <w:textDirection w:val="btLr"/>
      <w:textAlignment w:val="top"/>
      <w:outlineLvl w:val="0"/>
    </w:pPr>
    <w:rPr>
      <w:rFonts w:eastAsia="Times New Roman"/>
      <w:b/>
      <w:bCs/>
      <w:caps/>
      <w:position w:val="-1"/>
      <w:sz w:val="24"/>
      <w:szCs w:val="24"/>
    </w:rPr>
  </w:style>
  <w:style w:type="paragraph" w:customStyle="1" w:styleId="Title1">
    <w:name w:val="Title1"/>
    <w:basedOn w:val="Normal"/>
    <w:pPr>
      <w:tabs>
        <w:tab w:val="left" w:pos="720"/>
        <w:tab w:val="left" w:pos="1440"/>
        <w:tab w:val="left" w:pos="2160"/>
      </w:tabs>
      <w:ind w:left="720" w:hanging="720"/>
    </w:pPr>
    <w:rPr>
      <w:b/>
      <w:bCs/>
      <w:sz w:val="24"/>
      <w:szCs w:val="24"/>
    </w:rPr>
  </w:style>
  <w:style w:type="paragraph" w:customStyle="1" w:styleId="Title5">
    <w:name w:val="Title5"/>
    <w:basedOn w:val="Title2"/>
  </w:style>
  <w:style w:type="character" w:customStyle="1" w:styleId="cite">
    <w:name w:val="cite"/>
    <w:rPr>
      <w:color w:val="008080"/>
      <w:w w:val="100"/>
      <w:position w:val="-1"/>
      <w:effect w:val="none"/>
      <w:vertAlign w:val="baseline"/>
      <w:cs w:val="0"/>
      <w:em w:val="none"/>
    </w:rPr>
  </w:style>
  <w:style w:type="paragraph" w:customStyle="1" w:styleId="par1">
    <w:name w:val="par1"/>
    <w:basedOn w:val="Normal"/>
    <w:pPr>
      <w:tabs>
        <w:tab w:val="left" w:pos="720"/>
        <w:tab w:val="left" w:pos="1440"/>
        <w:tab w:val="left" w:pos="2160"/>
      </w:tabs>
      <w:ind w:left="720" w:hanging="720"/>
    </w:pPr>
  </w:style>
  <w:style w:type="paragraph" w:customStyle="1" w:styleId="cp">
    <w:name w:val="cp"/>
    <w:basedOn w:val="Normal"/>
    <w:pPr>
      <w:jc w:val="center"/>
    </w:pPr>
  </w:style>
  <w:style w:type="paragraph" w:customStyle="1" w:styleId="par2">
    <w:name w:val="par2"/>
    <w:basedOn w:val="par1"/>
    <w:pPr>
      <w:ind w:left="1440"/>
    </w:pPr>
  </w:style>
  <w:style w:type="paragraph" w:customStyle="1" w:styleId="upar2">
    <w:name w:val="upar2"/>
    <w:basedOn w:val="upar1"/>
    <w:pPr>
      <w:ind w:left="720"/>
    </w:pPr>
  </w:style>
  <w:style w:type="paragraph" w:customStyle="1" w:styleId="upar1">
    <w:name w:val="upar1"/>
    <w:basedOn w:val="Normal"/>
    <w:pPr>
      <w:tabs>
        <w:tab w:val="left" w:pos="720"/>
        <w:tab w:val="left" w:pos="1440"/>
      </w:tabs>
    </w:pPr>
  </w:style>
  <w:style w:type="paragraph" w:customStyle="1" w:styleId="upar3">
    <w:name w:val="upar3"/>
    <w:basedOn w:val="upar1"/>
    <w:pPr>
      <w:ind w:left="1440"/>
    </w:pPr>
  </w:style>
  <w:style w:type="paragraph" w:customStyle="1" w:styleId="Title2">
    <w:name w:val="Title2"/>
    <w:basedOn w:val="Title1"/>
    <w:rPr>
      <w:sz w:val="20"/>
      <w:szCs w:val="20"/>
    </w:rPr>
  </w:style>
  <w:style w:type="paragraph" w:customStyle="1" w:styleId="Title3">
    <w:name w:val="Title3"/>
    <w:basedOn w:val="Title2"/>
  </w:style>
  <w:style w:type="paragraph" w:customStyle="1" w:styleId="Title4">
    <w:name w:val="Title4"/>
    <w:basedOn w:val="Title2"/>
  </w:style>
  <w:style w:type="paragraph" w:customStyle="1" w:styleId="upar4">
    <w:name w:val="upar4"/>
    <w:basedOn w:val="upar1"/>
    <w:pPr>
      <w:ind w:left="2160"/>
    </w:pPr>
  </w:style>
  <w:style w:type="paragraph" w:customStyle="1" w:styleId="par3">
    <w:name w:val="par3"/>
    <w:basedOn w:val="par1"/>
    <w:pPr>
      <w:ind w:left="2160"/>
    </w:pPr>
  </w:style>
  <w:style w:type="paragraph" w:customStyle="1" w:styleId="par4">
    <w:name w:val="par4"/>
    <w:basedOn w:val="par1"/>
    <w:pPr>
      <w:ind w:left="2880"/>
    </w:pPr>
  </w:style>
  <w:style w:type="paragraph" w:customStyle="1" w:styleId="figure-caption">
    <w:name w:val="figure-caption"/>
    <w:basedOn w:val="Normal"/>
    <w:rPr>
      <w:color w:val="800080"/>
    </w:rPr>
  </w:style>
  <w:style w:type="paragraph" w:customStyle="1" w:styleId="figure-orientation">
    <w:name w:val="figure-orientation"/>
    <w:basedOn w:val="Normal"/>
    <w:rPr>
      <w:color w:val="800080"/>
    </w:rPr>
  </w:style>
  <w:style w:type="paragraph" w:customStyle="1" w:styleId="figure-filename">
    <w:name w:val="figure-filename"/>
    <w:basedOn w:val="Normal"/>
    <w:rPr>
      <w:color w:val="800080"/>
    </w:rPr>
  </w:style>
  <w:style w:type="paragraph" w:customStyle="1" w:styleId="par5">
    <w:name w:val="par5"/>
    <w:basedOn w:val="par1"/>
    <w:pPr>
      <w:ind w:left="3600"/>
    </w:pPr>
  </w:style>
  <w:style w:type="paragraph" w:customStyle="1" w:styleId="upar5">
    <w:name w:val="upar5"/>
    <w:basedOn w:val="upar1"/>
    <w:pPr>
      <w:ind w:left="2880"/>
    </w:pPr>
  </w:style>
  <w:style w:type="character" w:customStyle="1" w:styleId="provision">
    <w:name w:val="provision"/>
    <w:rPr>
      <w:rFonts w:ascii="Arial" w:hAnsi="Arial" w:cs="Arial"/>
      <w:color w:val="333399"/>
      <w:w w:val="100"/>
      <w:position w:val="-1"/>
      <w:sz w:val="20"/>
      <w:szCs w:val="20"/>
      <w:effect w:val="none"/>
      <w:vertAlign w:val="baseline"/>
      <w:cs w:val="0"/>
      <w:em w:val="none"/>
    </w:rPr>
  </w:style>
  <w:style w:type="character" w:customStyle="1" w:styleId="eff">
    <w:name w:val="eff"/>
    <w:rPr>
      <w:rFonts w:ascii="Arial" w:hAnsi="Arial" w:cs="Arial"/>
      <w:i/>
      <w:iCs/>
      <w:color w:val="0000FF"/>
      <w:w w:val="100"/>
      <w:position w:val="-1"/>
      <w:sz w:val="20"/>
      <w:szCs w:val="20"/>
      <w:effect w:val="none"/>
      <w:vertAlign w:val="baseline"/>
      <w:cs w:val="0"/>
      <w:em w:val="none"/>
    </w:rPr>
  </w:style>
  <w:style w:type="paragraph" w:customStyle="1" w:styleId="Title6">
    <w:name w:val="Title6"/>
    <w:basedOn w:val="Title2"/>
  </w:style>
  <w:style w:type="paragraph" w:customStyle="1" w:styleId="par6">
    <w:name w:val="par6"/>
    <w:basedOn w:val="par1"/>
    <w:pPr>
      <w:ind w:left="4320"/>
    </w:pPr>
  </w:style>
  <w:style w:type="paragraph" w:customStyle="1" w:styleId="upar6">
    <w:name w:val="upar6"/>
    <w:basedOn w:val="upar1"/>
    <w:pPr>
      <w:ind w:left="3600"/>
    </w:pPr>
  </w:style>
  <w:style w:type="paragraph" w:customStyle="1" w:styleId="par7">
    <w:name w:val="par7"/>
    <w:basedOn w:val="par6"/>
  </w:style>
  <w:style w:type="paragraph" w:customStyle="1" w:styleId="upar7">
    <w:name w:val="upar7"/>
    <w:basedOn w:val="upar6"/>
  </w:style>
  <w:style w:type="paragraph" w:customStyle="1" w:styleId="upar8">
    <w:name w:val="upar8"/>
    <w:basedOn w:val="upar6"/>
  </w:style>
  <w:style w:type="paragraph" w:customStyle="1" w:styleId="upar9">
    <w:name w:val="upar9"/>
    <w:basedOn w:val="par6"/>
  </w:style>
  <w:style w:type="paragraph" w:customStyle="1" w:styleId="par8">
    <w:name w:val="par8"/>
    <w:basedOn w:val="par7"/>
  </w:style>
  <w:style w:type="character" w:customStyle="1" w:styleId="InlineGraphic">
    <w:name w:val="Inline Graphic"/>
    <w:rPr>
      <w:rFonts w:ascii="Arial" w:hAnsi="Arial" w:cs="Arial"/>
      <w:color w:val="FF6600"/>
      <w:w w:val="100"/>
      <w:position w:val="-1"/>
      <w:sz w:val="20"/>
      <w:szCs w:val="20"/>
      <w:effect w:val="none"/>
      <w:vertAlign w:val="baseline"/>
      <w:cs w:val="0"/>
      <w:em w:val="none"/>
    </w:rPr>
  </w:style>
  <w:style w:type="paragraph" w:customStyle="1" w:styleId="Footnote">
    <w:name w:val="Footnote"/>
    <w:basedOn w:val="Normal"/>
    <w:pPr>
      <w:spacing w:before="120"/>
    </w:pPr>
    <w:rPr>
      <w:sz w:val="16"/>
      <w:szCs w:val="16"/>
    </w:rPr>
  </w:style>
  <w:style w:type="paragraph" w:styleId="Header">
    <w:name w:val="header"/>
    <w:basedOn w:val="Normal"/>
    <w:qFormat/>
    <w:pPr>
      <w:tabs>
        <w:tab w:val="center" w:pos="4680"/>
        <w:tab w:val="right" w:pos="9360"/>
      </w:tabs>
      <w:spacing w:before="0"/>
    </w:pPr>
  </w:style>
  <w:style w:type="character" w:customStyle="1" w:styleId="HeaderChar">
    <w:name w:val="Header Char"/>
    <w:rPr>
      <w:rFonts w:ascii="Arial" w:eastAsia="Times New Roman" w:hAnsi="Arial" w:cs="Arial"/>
      <w:w w:val="100"/>
      <w:position w:val="-1"/>
      <w:effect w:val="none"/>
      <w:vertAlign w:val="baseline"/>
      <w:cs w:val="0"/>
      <w:em w:val="none"/>
    </w:rPr>
  </w:style>
  <w:style w:type="paragraph" w:styleId="Footer">
    <w:name w:val="footer"/>
    <w:basedOn w:val="Normal"/>
    <w:qFormat/>
    <w:pPr>
      <w:tabs>
        <w:tab w:val="center" w:pos="4680"/>
        <w:tab w:val="right" w:pos="9360"/>
      </w:tabs>
      <w:spacing w:before="0"/>
    </w:pPr>
  </w:style>
  <w:style w:type="character" w:customStyle="1" w:styleId="FooterChar">
    <w:name w:val="Footer Char"/>
    <w:rPr>
      <w:rFonts w:ascii="Arial" w:eastAsia="Times New Roman" w:hAnsi="Arial" w:cs="Arial"/>
      <w:w w:val="100"/>
      <w:position w:val="-1"/>
      <w:effect w:val="none"/>
      <w:vertAlign w:val="baseline"/>
      <w:cs w:val="0"/>
      <w:em w:val="none"/>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style>
  <w:style w:type="character" w:customStyle="1" w:styleId="CommentTextChar">
    <w:name w:val="Comment Text Char"/>
    <w:rPr>
      <w:rFonts w:ascii="Arial" w:eastAsia="Times New Roman" w:hAnsi="Arial" w:cs="Arial"/>
      <w:w w:val="100"/>
      <w:position w:val="-1"/>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rFonts w:ascii="Arial" w:eastAsia="Times New Roman" w:hAnsi="Arial" w:cs="Arial"/>
      <w:b/>
      <w:bCs/>
      <w:w w:val="100"/>
      <w:position w:val="-1"/>
      <w:effect w:val="none"/>
      <w:vertAlign w:val="baseline"/>
      <w:cs w:val="0"/>
      <w:em w:val="none"/>
    </w:rPr>
  </w:style>
  <w:style w:type="paragraph" w:styleId="BalloonText">
    <w:name w:val="Balloon Text"/>
    <w:basedOn w:val="Normal"/>
    <w:qFormat/>
    <w:pPr>
      <w:spacing w:before="0"/>
    </w:pPr>
    <w:rPr>
      <w:rFonts w:ascii="Tahoma" w:hAnsi="Tahoma" w:cs="Tahoma"/>
      <w:sz w:val="16"/>
      <w:szCs w:val="16"/>
    </w:rPr>
  </w:style>
  <w:style w:type="character" w:customStyle="1" w:styleId="BalloonTextChar">
    <w:name w:val="Balloon Text Char"/>
    <w:rPr>
      <w:rFonts w:ascii="Tahoma" w:eastAsia="Times New Roman" w:hAnsi="Tahoma" w:cs="Tahoma"/>
      <w:w w:val="100"/>
      <w:position w:val="-1"/>
      <w:sz w:val="16"/>
      <w:szCs w:val="16"/>
      <w:effect w:val="none"/>
      <w:vertAlign w:val="baseline"/>
      <w:cs w:val="0"/>
      <w:em w:val="none"/>
    </w:rPr>
  </w:style>
  <w:style w:type="paragraph" w:customStyle="1" w:styleId="ColorfulShading-Accent11">
    <w:name w:val="Colorful Shading - Accent 11"/>
    <w:pPr>
      <w:suppressAutoHyphens/>
      <w:spacing w:before="240" w:line="1" w:lineRule="atLeast"/>
      <w:ind w:leftChars="-1" w:left="-1" w:hangingChars="1" w:hanging="1"/>
      <w:textDirection w:val="btLr"/>
      <w:textAlignment w:val="top"/>
      <w:outlineLvl w:val="0"/>
    </w:pPr>
    <w:rPr>
      <w:rFonts w:eastAsia="Times New Roman"/>
      <w:position w:val="-1"/>
    </w:rPr>
  </w:style>
  <w:style w:type="numbering" w:customStyle="1" w:styleId="NoList1">
    <w:name w:val="No List1"/>
    <w:next w:val="NoList"/>
    <w:qFormat/>
  </w:style>
  <w:style w:type="paragraph" w:customStyle="1" w:styleId="MediumGrid21">
    <w:name w:val="Medium Grid 21"/>
    <w:pPr>
      <w:suppressAutoHyphens/>
      <w:spacing w:before="240" w:line="1" w:lineRule="atLeast"/>
      <w:ind w:leftChars="-1" w:left="-1" w:hangingChars="1" w:hanging="1"/>
      <w:textDirection w:val="btLr"/>
      <w:textAlignment w:val="top"/>
      <w:outlineLvl w:val="0"/>
    </w:pPr>
    <w:rPr>
      <w:rFonts w:eastAsia="Times New Roman"/>
      <w:position w:val="-1"/>
    </w:rPr>
  </w:style>
  <w:style w:type="character" w:customStyle="1" w:styleId="Heading6Char">
    <w:name w:val="Heading 6 Char"/>
    <w:rPr>
      <w:rFonts w:ascii="Cambria" w:eastAsia="Times New Roman" w:hAnsi="Cambria"/>
      <w:i/>
      <w:iCs/>
      <w:color w:val="243F60"/>
      <w:w w:val="100"/>
      <w:position w:val="-1"/>
      <w:effect w:val="none"/>
      <w:vertAlign w:val="baseline"/>
      <w:cs w:val="0"/>
      <w:em w:val="none"/>
    </w:rPr>
  </w:style>
  <w:style w:type="character" w:styleId="Strong">
    <w:name w:val="Strong"/>
    <w:rPr>
      <w:b/>
      <w:bCs/>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pPr>
      <w:suppressAutoHyphens/>
      <w:spacing w:before="240" w:line="1" w:lineRule="atLeast"/>
      <w:ind w:leftChars="-1" w:left="-1" w:hangingChars="1" w:hanging="1"/>
      <w:textDirection w:val="btLr"/>
      <w:textAlignment w:val="top"/>
      <w:outlineLvl w:val="0"/>
    </w:pPr>
    <w:rPr>
      <w:rFonts w:eastAsia="Times New Roman"/>
      <w:position w:val="-1"/>
    </w:rPr>
  </w:style>
  <w:style w:type="paragraph" w:styleId="NormalWeb">
    <w:name w:val="Normal (Web)"/>
    <w:basedOn w:val="Normal"/>
    <w:qFormat/>
    <w:pPr>
      <w:spacing w:before="100" w:beforeAutospacing="1" w:after="100" w:afterAutospacing="1"/>
    </w:pPr>
    <w:rPr>
      <w:rFonts w:ascii="Times New Roman" w:hAnsi="Times New Roman" w:cs="Times New Roman"/>
      <w:sz w:val="24"/>
      <w:szCs w:val="24"/>
    </w:rPr>
  </w:style>
  <w:style w:type="character" w:customStyle="1" w:styleId="apple-tab-span">
    <w:name w:val="apple-tab-span"/>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9ed9f20-c2f3-4f36-a849-560353cb66eb">
      <Terms xmlns="http://schemas.microsoft.com/office/infopath/2007/PartnerControls"/>
    </lcf76f155ced4ddcb4097134ff3c332f>
    <TaxCatchAll xmlns="9c7778a1-08a9-4478-8453-78b5360666e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2A7642636AC7142B8A3BE4460645156" ma:contentTypeVersion="14" ma:contentTypeDescription="Create a new document." ma:contentTypeScope="" ma:versionID="35d76770b76b1a933c1d54bbc2eb98e6">
  <xsd:schema xmlns:xsd="http://www.w3.org/2001/XMLSchema" xmlns:xs="http://www.w3.org/2001/XMLSchema" xmlns:p="http://schemas.microsoft.com/office/2006/metadata/properties" xmlns:ns2="d9ed9f20-c2f3-4f36-a849-560353cb66eb" xmlns:ns3="9c7778a1-08a9-4478-8453-78b5360666ec" targetNamespace="http://schemas.microsoft.com/office/2006/metadata/properties" ma:root="true" ma:fieldsID="8b112eb72e732d1ef715fd10b392762d" ns2:_="" ns3:_="">
    <xsd:import namespace="d9ed9f20-c2f3-4f36-a849-560353cb66eb"/>
    <xsd:import namespace="9c7778a1-08a9-4478-8453-78b5360666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ed9f20-c2f3-4f36-a849-560353cb66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d27462b-49c0-41e2-b2bf-731a42f80e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7778a1-08a9-4478-8453-78b5360666e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a411c2ef-22b9-4086-8986-c3ffa6967fd2}" ma:internalName="TaxCatchAll" ma:showField="CatchAllData" ma:web="9c7778a1-08a9-4478-8453-78b5360666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JzOzh8s1vGH5fRLBNmHDUkEUF0g==">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</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328379-3C08-4381-B4FD-B6264600EE65}">
  <ds:schemaRefs>
    <ds:schemaRef ds:uri="http://schemas.microsoft.com/office/2006/metadata/properties"/>
    <ds:schemaRef ds:uri="http://schemas.microsoft.com/office/infopath/2007/PartnerControls"/>
    <ds:schemaRef ds:uri="d9ed9f20-c2f3-4f36-a849-560353cb66eb"/>
    <ds:schemaRef ds:uri="9c7778a1-08a9-4478-8453-78b5360666ec"/>
  </ds:schemaRefs>
</ds:datastoreItem>
</file>

<file path=customXml/itemProps2.xml><?xml version="1.0" encoding="utf-8"?>
<ds:datastoreItem xmlns:ds="http://schemas.openxmlformats.org/officeDocument/2006/customXml" ds:itemID="{0FCB521F-EDA2-41AB-9139-9D725AC4F9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ed9f20-c2f3-4f36-a849-560353cb66eb"/>
    <ds:schemaRef ds:uri="9c7778a1-08a9-4478-8453-78b5360666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B5E2488-8AFF-43FD-B84F-C309DA8D21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Gonzales-Ferrer, Christine</dc:creator>
  <cp:keywords/>
  <cp:lastModifiedBy>Mullen, Jill</cp:lastModifiedBy>
  <cp:revision>3</cp:revision>
  <dcterms:created xsi:type="dcterms:W3CDTF">2026-07-14T19:46:00Z</dcterms:created>
  <dcterms:modified xsi:type="dcterms:W3CDTF">2026-07-14T19:47:00Z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2012-06-11T00:00:00Z</vt:filetime>
  </property>
  <property fmtid="{D5CDD505-2E9C-101B-9397-08002B2CF9AE}" pid="3" name="LastSaved">
    <vt:filetime>2013-12-19T00:00:00Z</vt:filetime>
  </property>
  <property fmtid="{D5CDD505-2E9C-101B-9397-08002B2CF9AE}" pid="4" name="ContentTypeId">
    <vt:lpwstr>0x01010052A7642636AC7142B8A3BE4460645156</vt:lpwstr>
  </property>
  <property fmtid="{D5CDD505-2E9C-101B-9397-08002B2CF9AE}" pid="5" name="MediaServiceImageTags">
    <vt:lpwstr/>
  </property>
</Properties>
</file>