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F841" w14:textId="6586A136" w:rsidR="001375B4" w:rsidRPr="00BF6E0D" w:rsidRDefault="001375B4" w:rsidP="006467BD">
      <w:pPr>
        <w:pStyle w:val="Upar1Bold"/>
      </w:pPr>
      <w:r w:rsidRPr="00BF6E0D">
        <w:t xml:space="preserve">Department </w:t>
      </w:r>
      <w:r w:rsidR="00406308">
        <w:t>of Natural Resources</w:t>
      </w:r>
    </w:p>
    <w:p w14:paraId="0034C8B5" w14:textId="5A2214F6" w:rsidR="001375B4" w:rsidRPr="00BF6E0D" w:rsidRDefault="00406308" w:rsidP="006467BD">
      <w:pPr>
        <w:pStyle w:val="Upar1Bold"/>
      </w:pPr>
      <w:r>
        <w:t>Energy and Carbon Management Commission</w:t>
      </w:r>
    </w:p>
    <w:p w14:paraId="04047B3C" w14:textId="77D744E1" w:rsidR="001375B4" w:rsidRPr="00BF6E0D" w:rsidRDefault="00406308" w:rsidP="006467BD">
      <w:pPr>
        <w:pStyle w:val="Heading1"/>
        <w:spacing w:after="120"/>
      </w:pPr>
      <w:r>
        <w:t>PRACTICE AND PROCEDURE</w:t>
      </w:r>
    </w:p>
    <w:p w14:paraId="3AF8581C" w14:textId="5C5C241F" w:rsidR="001375B4" w:rsidRPr="00BF6E0D" w:rsidRDefault="00406308" w:rsidP="006467BD">
      <w:pPr>
        <w:pStyle w:val="Upar1Bold"/>
      </w:pPr>
      <w:r>
        <w:t>2 CCR 404-1</w:t>
      </w:r>
    </w:p>
    <w:p w14:paraId="6458EB91" w14:textId="77777777" w:rsidR="001375B4" w:rsidRDefault="001375B4" w:rsidP="006467BD">
      <w:pPr>
        <w:pStyle w:val="FootnoteItalic"/>
      </w:pPr>
      <w:r w:rsidRPr="00BF6E0D">
        <w:t>[Editor’s Notes follow the text of the rules at the end of this CCR Document.]</w:t>
      </w:r>
    </w:p>
    <w:p w14:paraId="267CCE58" w14:textId="77777777" w:rsidR="00406308" w:rsidRPr="00B63ED0" w:rsidRDefault="00406308" w:rsidP="00227F77">
      <w:pPr>
        <w:spacing w:before="360" w:after="360"/>
        <w:jc w:val="center"/>
        <w:rPr>
          <w:b/>
          <w:bCs/>
          <w:szCs w:val="24"/>
        </w:rPr>
      </w:pPr>
      <w:r w:rsidRPr="00B63ED0">
        <w:rPr>
          <w:b/>
          <w:bCs/>
          <w:szCs w:val="24"/>
        </w:rPr>
        <w:t>Protection of Wildlife Resources</w:t>
      </w:r>
      <w:r w:rsidRPr="00B63ED0">
        <w:rPr>
          <w:b/>
          <w:bCs/>
          <w:szCs w:val="24"/>
        </w:rPr>
        <w:br/>
        <w:t>1200 Series</w:t>
      </w:r>
    </w:p>
    <w:p w14:paraId="1D04D0C0" w14:textId="77777777" w:rsidR="00406308" w:rsidRPr="00B63ED0" w:rsidRDefault="00406308" w:rsidP="002D28DA">
      <w:pPr>
        <w:spacing w:after="360"/>
        <w:rPr>
          <w:szCs w:val="24"/>
        </w:rPr>
      </w:pPr>
      <w:r w:rsidRPr="00B63ED0">
        <w:rPr>
          <w:szCs w:val="24"/>
        </w:rPr>
        <w:t xml:space="preserve">c. Except as specified pursuant to Rule 1202.c.(2), Operators will not conduct any new ground disturbance and Well work, including access road and pad construction, drilling and completion activities, and Flowline/utility corridor clearing and installation activities in the High Priority Habitats listed in Rule 1202.c.(1). </w:t>
      </w:r>
    </w:p>
    <w:p w14:paraId="5CC913DD" w14:textId="77777777" w:rsidR="00406308" w:rsidRPr="00B63ED0" w:rsidRDefault="00406308" w:rsidP="002D28DA">
      <w:pPr>
        <w:spacing w:after="360"/>
        <w:ind w:firstLine="720"/>
        <w:rPr>
          <w:szCs w:val="24"/>
        </w:rPr>
      </w:pPr>
      <w:r w:rsidRPr="00B63ED0">
        <w:rPr>
          <w:szCs w:val="24"/>
        </w:rPr>
        <w:t xml:space="preserve">(1) High Priority Habitats subject to this Rule 1202.c include: </w:t>
      </w:r>
    </w:p>
    <w:p w14:paraId="290BF561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A. Columbian sharp-tailed grouse (within 0.6 miles of the lek site);</w:t>
      </w:r>
    </w:p>
    <w:p w14:paraId="4AD159E3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B. Greater prairie chicken (within 0.6 miles of the lek site);</w:t>
      </w:r>
    </w:p>
    <w:p w14:paraId="5C723686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C. Greater sage-grouse (within 1.0 miles of the lek site);</w:t>
      </w:r>
    </w:p>
    <w:p w14:paraId="24A2A373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D. Gunnison sage-grouse (within 1.0 miles of the lek site);</w:t>
      </w:r>
    </w:p>
    <w:p w14:paraId="0E65346B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E. Lesser prairie chicken (within 1.25 miles of the lek site);</w:t>
      </w:r>
    </w:p>
    <w:p w14:paraId="5B98A4D7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F. Plains sharp-tailed grouse (within 0.4 miles of the lek site);</w:t>
      </w:r>
    </w:p>
    <w:p w14:paraId="09F8C03F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G. Bald eagle (within 0.25 miles of an active nest);</w:t>
      </w:r>
    </w:p>
    <w:p w14:paraId="26F3F932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H. Ferruginous hawk (within 0.5 miles of an active nest);</w:t>
      </w:r>
    </w:p>
    <w:p w14:paraId="78ABB180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lastRenderedPageBreak/>
        <w:t>I. Golden eagle (within 0.25 miles of an active nest);</w:t>
      </w:r>
    </w:p>
    <w:p w14:paraId="6DC5807F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J. Northern goshawk (within 0.5 miles of an active nest);</w:t>
      </w:r>
    </w:p>
    <w:p w14:paraId="4CDF71DC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K. Peregrine falcon (within 0.5 miles of an active nest);</w:t>
      </w:r>
    </w:p>
    <w:p w14:paraId="331FEA27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L. Prairie falcon (within 0.5 miles of an active nest);</w:t>
      </w:r>
    </w:p>
    <w:p w14:paraId="6A669CDA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M. Least tern production area;</w:t>
      </w:r>
    </w:p>
    <w:p w14:paraId="7D9C4A5B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N. Piping plover production area;</w:t>
      </w:r>
    </w:p>
    <w:p w14:paraId="6FDD8C3A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O. Townsend’s big-eared bat, Mexican free-tailed bat, and myotis (within 350 feet of winter hibernacula);</w:t>
      </w:r>
    </w:p>
    <w:p w14:paraId="215980FD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P. Bighorn sheep production area;</w:t>
      </w:r>
    </w:p>
    <w:p w14:paraId="01B61D64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Q. Waters identified by CPW as “Gold Medal” (within 500 feet of OHWM);</w:t>
      </w:r>
    </w:p>
    <w:p w14:paraId="7D60B69A" w14:textId="2CBFE48C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R. Cutthroat trout designated crucial habitat and native fish and other native aquatic</w:t>
      </w:r>
      <w:r w:rsidR="002D28DA">
        <w:rPr>
          <w:szCs w:val="24"/>
        </w:rPr>
        <w:t xml:space="preserve"> </w:t>
      </w:r>
      <w:r w:rsidRPr="00B63ED0">
        <w:rPr>
          <w:szCs w:val="24"/>
        </w:rPr>
        <w:t>species conservation waters (within 500 feet of OHWM);</w:t>
      </w:r>
    </w:p>
    <w:p w14:paraId="024A3D8A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S. Sportfish management waters not identified by CPW as “Gold Medal” (within 500 feet of OHWM); and</w:t>
      </w:r>
    </w:p>
    <w:p w14:paraId="752799E4" w14:textId="77777777" w:rsidR="00406308" w:rsidRPr="00B63ED0" w:rsidRDefault="00406308" w:rsidP="002D28DA">
      <w:pPr>
        <w:spacing w:after="360"/>
        <w:ind w:left="1440"/>
        <w:rPr>
          <w:szCs w:val="24"/>
        </w:rPr>
      </w:pPr>
      <w:r w:rsidRPr="00B63ED0">
        <w:rPr>
          <w:szCs w:val="24"/>
        </w:rPr>
        <w:t>T. CPW-owned State Wildlife Areas and State Parks</w:t>
      </w:r>
    </w:p>
    <w:p w14:paraId="5FBF5E4E" w14:textId="26F5B9F6" w:rsidR="001375B4" w:rsidRPr="00B40E60" w:rsidRDefault="00406308" w:rsidP="00B40E60">
      <w:pPr>
        <w:spacing w:after="360"/>
        <w:ind w:left="1440"/>
        <w:rPr>
          <w:szCs w:val="24"/>
        </w:rPr>
      </w:pPr>
      <w:r w:rsidRPr="00947CF5">
        <w:rPr>
          <w:szCs w:val="24"/>
        </w:rPr>
        <w:t>U. Migration pinch points</w:t>
      </w:r>
    </w:p>
    <w:sectPr w:rsidR="001375B4" w:rsidRPr="00B40E60" w:rsidSect="00E76518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60989" w14:textId="77777777" w:rsidR="00AC331C" w:rsidRDefault="00AC331C">
      <w:r>
        <w:separator/>
      </w:r>
    </w:p>
  </w:endnote>
  <w:endnote w:type="continuationSeparator" w:id="0">
    <w:p w14:paraId="140F4FAA" w14:textId="77777777" w:rsidR="00AC331C" w:rsidRDefault="00AC3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2863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F5AD0A" w14:textId="22B8581E" w:rsidR="007B6A5C" w:rsidRPr="00585F90" w:rsidRDefault="007B6A5C" w:rsidP="00585F90">
        <w:pPr>
          <w:pStyle w:val="Footer"/>
          <w:pBdr>
            <w:top w:val="single" w:sz="8" w:space="1" w:color="auto"/>
          </w:pBdr>
          <w:tabs>
            <w:tab w:val="clear" w:pos="4680"/>
          </w:tabs>
          <w:rPr>
            <w:b/>
          </w:rPr>
        </w:pPr>
        <w:r w:rsidRPr="001E3BA2">
          <w:rPr>
            <w:noProof/>
            <w:sz w:val="18"/>
          </w:rPr>
          <w:tab/>
        </w:r>
        <w:r w:rsidRPr="00693680">
          <w:rPr>
            <w:b/>
            <w:noProof/>
          </w:rPr>
          <w:fldChar w:fldCharType="begin"/>
        </w:r>
        <w:r w:rsidRPr="00693680">
          <w:rPr>
            <w:b/>
            <w:noProof/>
          </w:rPr>
          <w:instrText xml:space="preserve"> PAGE   \* MERGEFORMAT </w:instrText>
        </w:r>
        <w:r w:rsidRPr="00693680">
          <w:rPr>
            <w:b/>
            <w:noProof/>
          </w:rPr>
          <w:fldChar w:fldCharType="separate"/>
        </w:r>
        <w:r>
          <w:rPr>
            <w:b/>
            <w:noProof/>
          </w:rPr>
          <w:t>1</w:t>
        </w:r>
        <w:r w:rsidRPr="00693680">
          <w:rPr>
            <w:b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73EB" w14:textId="77777777" w:rsidR="007B6A5C" w:rsidRPr="00A36541" w:rsidRDefault="007B6A5C" w:rsidP="007B6A5C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90D1" w14:textId="77777777" w:rsidR="00AC331C" w:rsidRDefault="00AC331C">
      <w:r>
        <w:separator/>
      </w:r>
    </w:p>
  </w:footnote>
  <w:footnote w:type="continuationSeparator" w:id="0">
    <w:p w14:paraId="197AA70D" w14:textId="77777777" w:rsidR="00AC331C" w:rsidRDefault="00AC3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042B" w14:textId="77777777" w:rsidR="002D28DA" w:rsidRDefault="00BE0C58" w:rsidP="001F2E79">
    <w:pPr>
      <w:pBdr>
        <w:bottom w:val="single" w:sz="12" w:space="1" w:color="auto"/>
      </w:pBdr>
      <w:tabs>
        <w:tab w:val="left" w:pos="8002"/>
      </w:tabs>
      <w:spacing w:after="0"/>
      <w:rPr>
        <w:rFonts w:cs="Arial"/>
        <w:b/>
        <w:i/>
      </w:rPr>
    </w:pPr>
    <w:bookmarkStart w:id="0" w:name="_Hlk220342015"/>
    <w:bookmarkStart w:id="1" w:name="_Hlk220342016"/>
    <w:bookmarkStart w:id="2" w:name="_Hlk220342063"/>
    <w:bookmarkStart w:id="3" w:name="_Hlk220342064"/>
    <w:bookmarkStart w:id="4" w:name="_Hlk226463999"/>
    <w:bookmarkStart w:id="5" w:name="_Hlk226464000"/>
    <w:r w:rsidRPr="00D560A2">
      <w:rPr>
        <w:rFonts w:cs="Arial"/>
        <w:b/>
        <w:i/>
      </w:rPr>
      <w:t>Code of Colorado Regulations</w:t>
    </w:r>
  </w:p>
  <w:p w14:paraId="1D6759DD" w14:textId="7CCF10B4" w:rsidR="00BE0C58" w:rsidRPr="00D560A2" w:rsidRDefault="00406308" w:rsidP="001F2E79">
    <w:pPr>
      <w:pBdr>
        <w:bottom w:val="single" w:sz="12" w:space="1" w:color="auto"/>
      </w:pBdr>
      <w:tabs>
        <w:tab w:val="left" w:pos="8002"/>
      </w:tabs>
      <w:spacing w:after="0"/>
      <w:rPr>
        <w:rFonts w:cs="Arial"/>
        <w:b/>
        <w:i/>
        <w:color w:val="000000"/>
      </w:rPr>
    </w:pPr>
    <w:r>
      <w:rPr>
        <w:rFonts w:cs="Arial"/>
        <w:b/>
        <w:i/>
        <w:caps/>
      </w:rPr>
      <w:t>2</w:t>
    </w:r>
    <w:r w:rsidR="00BE0C58" w:rsidRPr="00D560A2">
      <w:rPr>
        <w:rFonts w:cs="Arial"/>
        <w:b/>
        <w:i/>
        <w:color w:val="000000"/>
      </w:rPr>
      <w:t xml:space="preserve"> CCR </w:t>
    </w:r>
    <w:r>
      <w:rPr>
        <w:rFonts w:cs="Arial"/>
        <w:b/>
        <w:i/>
        <w:color w:val="000000"/>
      </w:rPr>
      <w:t>404-1</w:t>
    </w:r>
  </w:p>
  <w:bookmarkEnd w:id="0"/>
  <w:bookmarkEnd w:id="1"/>
  <w:bookmarkEnd w:id="2"/>
  <w:bookmarkEnd w:id="3"/>
  <w:bookmarkEnd w:id="4"/>
  <w:bookmarkEnd w:id="5"/>
  <w:p w14:paraId="20EF39CB" w14:textId="1BA04E37" w:rsidR="00BE0C58" w:rsidRPr="00D560A2" w:rsidRDefault="00406308" w:rsidP="002D28DA">
    <w:pPr>
      <w:pBdr>
        <w:bottom w:val="single" w:sz="12" w:space="1" w:color="auto"/>
      </w:pBdr>
      <w:spacing w:after="360"/>
      <w:rPr>
        <w:rFonts w:cs="Arial"/>
        <w:b/>
        <w:i/>
      </w:rPr>
    </w:pPr>
    <w:r>
      <w:rPr>
        <w:rFonts w:cs="Arial"/>
        <w:b/>
        <w:i/>
      </w:rPr>
      <w:t>Energy and Carbon Management Commission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1" w15:restartNumberingAfterBreak="0">
    <w:nsid w:val="563F6707"/>
    <w:multiLevelType w:val="multilevel"/>
    <w:tmpl w:val="C42209AC"/>
    <w:numStyleLink w:val="CDOSCCR"/>
  </w:abstractNum>
  <w:num w:numId="1" w16cid:durableId="236018032">
    <w:abstractNumId w:val="0"/>
  </w:num>
  <w:num w:numId="2" w16cid:durableId="2116245184">
    <w:abstractNumId w:val="1"/>
    <w:lvlOverride w:ilvl="0">
      <w:lvl w:ilvl="0">
        <w:start w:val="1"/>
        <w:numFmt w:val="upperLetter"/>
        <w:lvlText w:val="%1."/>
        <w:lvlJc w:val="left"/>
        <w:pPr>
          <w:ind w:left="720" w:hanging="720"/>
        </w:pPr>
        <w:rPr>
          <w:rFonts w:hint="default"/>
          <w:color w:val="auto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B4"/>
    <w:rsid w:val="000D0BE6"/>
    <w:rsid w:val="000D2BE2"/>
    <w:rsid w:val="001375B4"/>
    <w:rsid w:val="0018774D"/>
    <w:rsid w:val="001F2E79"/>
    <w:rsid w:val="00227F77"/>
    <w:rsid w:val="002A18CB"/>
    <w:rsid w:val="002D28DA"/>
    <w:rsid w:val="002F3C1F"/>
    <w:rsid w:val="00352BDF"/>
    <w:rsid w:val="003623B6"/>
    <w:rsid w:val="00365D1A"/>
    <w:rsid w:val="00406308"/>
    <w:rsid w:val="0041267F"/>
    <w:rsid w:val="00415DF6"/>
    <w:rsid w:val="00450CE1"/>
    <w:rsid w:val="005355E2"/>
    <w:rsid w:val="005477B1"/>
    <w:rsid w:val="00585F90"/>
    <w:rsid w:val="005A027C"/>
    <w:rsid w:val="005D6B13"/>
    <w:rsid w:val="00633A1F"/>
    <w:rsid w:val="006374E5"/>
    <w:rsid w:val="006467BD"/>
    <w:rsid w:val="006D421B"/>
    <w:rsid w:val="007B6A5C"/>
    <w:rsid w:val="0095772C"/>
    <w:rsid w:val="0098239E"/>
    <w:rsid w:val="009A05E6"/>
    <w:rsid w:val="00AA399D"/>
    <w:rsid w:val="00AB71C2"/>
    <w:rsid w:val="00AC331C"/>
    <w:rsid w:val="00AC6457"/>
    <w:rsid w:val="00B31B43"/>
    <w:rsid w:val="00B361FD"/>
    <w:rsid w:val="00B40E60"/>
    <w:rsid w:val="00B57F10"/>
    <w:rsid w:val="00BD7867"/>
    <w:rsid w:val="00BE0C58"/>
    <w:rsid w:val="00C147AA"/>
    <w:rsid w:val="00C40192"/>
    <w:rsid w:val="00C8417D"/>
    <w:rsid w:val="00CA5B82"/>
    <w:rsid w:val="00D25BB7"/>
    <w:rsid w:val="00D542FD"/>
    <w:rsid w:val="00D81C02"/>
    <w:rsid w:val="00DA6214"/>
    <w:rsid w:val="00DB3FA9"/>
    <w:rsid w:val="00DC5579"/>
    <w:rsid w:val="00DC68B1"/>
    <w:rsid w:val="00E7143E"/>
    <w:rsid w:val="00E733C5"/>
    <w:rsid w:val="00E75DC2"/>
    <w:rsid w:val="00E76518"/>
    <w:rsid w:val="00FD0D0F"/>
    <w:rsid w:val="00FE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22F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17D"/>
    <w:pPr>
      <w:spacing w:after="120" w:line="360" w:lineRule="auto"/>
    </w:pPr>
    <w:rPr>
      <w:rFonts w:ascii="Arial" w:hAnsi="Arial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DB3FA9"/>
    <w:pPr>
      <w:keepNext/>
      <w:spacing w:after="60"/>
      <w:outlineLvl w:val="0"/>
    </w:pPr>
    <w:rPr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DB3FA9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DB3FA9"/>
    <w:pPr>
      <w:keepNext/>
      <w:spacing w:after="6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B3FA9"/>
    <w:rPr>
      <w:rFonts w:ascii="Arial" w:hAnsi="Arial" w:cs="Times New Roman"/>
      <w:b/>
      <w:bCs/>
      <w:caps/>
      <w:kern w:val="32"/>
      <w:szCs w:val="32"/>
      <w14:ligatures w14:val="none"/>
    </w:rPr>
  </w:style>
  <w:style w:type="paragraph" w:customStyle="1" w:styleId="Upar1Bold">
    <w:name w:val="Upar1 + Bold"/>
    <w:basedOn w:val="Normal"/>
    <w:autoRedefine/>
    <w:rsid w:val="00B361FD"/>
    <w:pPr>
      <w:tabs>
        <w:tab w:val="left" w:pos="720"/>
        <w:tab w:val="left" w:pos="1440"/>
      </w:tabs>
    </w:pPr>
    <w:rPr>
      <w:rFonts w:cs="Arial"/>
      <w:b/>
      <w:bCs/>
    </w:rPr>
  </w:style>
  <w:style w:type="paragraph" w:customStyle="1" w:styleId="FootnoteItalic">
    <w:name w:val="Footnote + Italic"/>
    <w:basedOn w:val="Normal"/>
    <w:autoRedefine/>
    <w:rsid w:val="006467BD"/>
    <w:pPr>
      <w:pBdr>
        <w:bottom w:val="single" w:sz="12" w:space="1" w:color="auto"/>
      </w:pBdr>
    </w:pPr>
    <w:rPr>
      <w:i/>
      <w:iCs/>
      <w:szCs w:val="16"/>
    </w:rPr>
  </w:style>
  <w:style w:type="paragraph" w:customStyle="1" w:styleId="par1">
    <w:name w:val="par1"/>
    <w:basedOn w:val="Normal"/>
    <w:autoRedefine/>
    <w:qFormat/>
    <w:rsid w:val="006467BD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Par1Before3pt">
    <w:name w:val="Par1 + Before:  3 pt"/>
    <w:basedOn w:val="par1"/>
    <w:autoRedefine/>
    <w:rsid w:val="00B361FD"/>
    <w:pPr>
      <w:spacing w:before="60"/>
    </w:pPr>
  </w:style>
  <w:style w:type="character" w:customStyle="1" w:styleId="Heading2Char">
    <w:name w:val="Heading 2 Char"/>
    <w:link w:val="Heading2"/>
    <w:rsid w:val="00DB3FA9"/>
    <w:rPr>
      <w:rFonts w:ascii="Arial" w:hAnsi="Arial" w:cs="Times New Roman"/>
      <w:b/>
      <w:bCs/>
      <w:iCs/>
      <w:kern w:val="0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DB3FA9"/>
    <w:rPr>
      <w:rFonts w:ascii="Arial" w:hAnsi="Arial" w:cs="Times New Roman"/>
      <w:b/>
      <w:bCs/>
      <w:kern w:val="0"/>
      <w:szCs w:val="26"/>
      <w14:ligatures w14:val="none"/>
    </w:rPr>
  </w:style>
  <w:style w:type="paragraph" w:customStyle="1" w:styleId="Par1Underline">
    <w:name w:val="Par1 + Underline"/>
    <w:basedOn w:val="par1"/>
    <w:autoRedefine/>
    <w:rsid w:val="00B361FD"/>
    <w:rPr>
      <w:u w:val="single"/>
    </w:rPr>
  </w:style>
  <w:style w:type="paragraph" w:customStyle="1" w:styleId="Styleupar1Bold">
    <w:name w:val="Style upar1 + Bold"/>
    <w:basedOn w:val="upar1"/>
    <w:autoRedefine/>
    <w:qFormat/>
    <w:rsid w:val="00DB3FA9"/>
    <w:rPr>
      <w:b/>
      <w:bCs/>
    </w:rPr>
  </w:style>
  <w:style w:type="paragraph" w:customStyle="1" w:styleId="upar1">
    <w:name w:val="upar1"/>
    <w:basedOn w:val="Normal"/>
    <w:autoRedefine/>
    <w:rsid w:val="009A05E6"/>
    <w:pPr>
      <w:tabs>
        <w:tab w:val="left" w:pos="720"/>
        <w:tab w:val="left" w:pos="1440"/>
      </w:tabs>
    </w:pPr>
    <w:rPr>
      <w:rFonts w:cs="Arial"/>
    </w:rPr>
  </w:style>
  <w:style w:type="paragraph" w:customStyle="1" w:styleId="StyleHeading2Italic">
    <w:name w:val="Style Heading 2 + Italic"/>
    <w:basedOn w:val="Heading2"/>
    <w:autoRedefine/>
    <w:rsid w:val="009A05E6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95772C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95772C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CA5B82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415DF6"/>
    <w:rPr>
      <w:caps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B4"/>
    <w:rPr>
      <w:rFonts w:eastAsiaTheme="majorEastAsia" w:cstheme="majorBidi"/>
      <w:i/>
      <w:iCs/>
      <w:color w:val="0F4761" w:themeColor="accent1" w:themeShade="BF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B4"/>
    <w:rPr>
      <w:rFonts w:eastAsiaTheme="majorEastAsia" w:cstheme="majorBidi"/>
      <w:color w:val="0F4761" w:themeColor="accent1" w:themeShade="BF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B4"/>
    <w:rPr>
      <w:rFonts w:eastAsiaTheme="majorEastAsia" w:cstheme="majorBidi"/>
      <w:i/>
      <w:iCs/>
      <w:color w:val="595959" w:themeColor="text1" w:themeTint="A6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B4"/>
    <w:rPr>
      <w:rFonts w:eastAsiaTheme="majorEastAsia" w:cstheme="majorBidi"/>
      <w:color w:val="595959" w:themeColor="text1" w:themeTint="A6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B4"/>
    <w:rPr>
      <w:rFonts w:eastAsiaTheme="majorEastAsia" w:cstheme="majorBidi"/>
      <w:i/>
      <w:iCs/>
      <w:color w:val="272727" w:themeColor="text1" w:themeTint="D8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B4"/>
    <w:rPr>
      <w:rFonts w:eastAsiaTheme="majorEastAsia" w:cstheme="majorBidi"/>
      <w:color w:val="272727" w:themeColor="text1" w:themeTint="D8"/>
      <w:kern w:val="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37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B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B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37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B4"/>
    <w:rPr>
      <w:rFonts w:ascii="Arial" w:hAnsi="Arial" w:cs="Times New Roman"/>
      <w:i/>
      <w:iCs/>
      <w:color w:val="404040" w:themeColor="text1" w:themeTint="BF"/>
      <w:kern w:val="0"/>
      <w:szCs w:val="2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13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B4"/>
    <w:rPr>
      <w:rFonts w:ascii="Arial" w:hAnsi="Arial" w:cs="Times New Roman"/>
      <w:i/>
      <w:iCs/>
      <w:color w:val="0F4761" w:themeColor="accent1" w:themeShade="BF"/>
      <w:kern w:val="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375B4"/>
    <w:rPr>
      <w:b/>
      <w:bCs/>
      <w:smallCaps/>
      <w:color w:val="0F4761" w:themeColor="accent1" w:themeShade="BF"/>
      <w:spacing w:val="5"/>
    </w:rPr>
  </w:style>
  <w:style w:type="paragraph" w:customStyle="1" w:styleId="par2">
    <w:name w:val="par2"/>
    <w:basedOn w:val="par1"/>
    <w:autoRedefine/>
    <w:rsid w:val="001375B4"/>
    <w:pPr>
      <w:ind w:left="1440"/>
    </w:pPr>
  </w:style>
  <w:style w:type="paragraph" w:styleId="Footer">
    <w:name w:val="footer"/>
    <w:basedOn w:val="Normal"/>
    <w:link w:val="FooterChar"/>
    <w:uiPriority w:val="99"/>
    <w:rsid w:val="001375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5B4"/>
    <w:rPr>
      <w:rFonts w:ascii="Arial" w:hAnsi="Arial" w:cs="Times New Roman"/>
      <w:kern w:val="0"/>
      <w:szCs w:val="20"/>
      <w14:ligatures w14:val="none"/>
    </w:rPr>
  </w:style>
  <w:style w:type="numbering" w:customStyle="1" w:styleId="CDOSCCR">
    <w:name w:val="CDOS CCR"/>
    <w:rsid w:val="001375B4"/>
    <w:pPr>
      <w:numPr>
        <w:numId w:val="1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375B4"/>
    <w:rPr>
      <w:rFonts w:ascii="Arial" w:hAnsi="Arial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2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BE2"/>
    <w:rPr>
      <w:rFonts w:ascii="Arial" w:hAnsi="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D3B2-DEF2-448B-801A-1B4E009FB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2026-09-30T17:14:00Z</dcterms:created>
  <dcterms:modified xsi:type="dcterms:W3CDTF">2026-09-30T18:48:00Z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2026-08-14T14:16:54Z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916329f9-609b-45f0-bf11-0778c83dbb01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