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2E74B5"/>
          <w:sz w:val="20"/>
        </w:rPr>
        <w:t>TECHNICAL ROADMAP</w:t>
      </w:r>
    </w:p>
    <w:p>
      <w:pPr>
        <w:spacing w:after="60"/>
      </w:pPr>
      <w:r>
        <w:rPr>
          <w:rFonts w:ascii="Calibri" w:hAnsi="Calibri"/>
          <w:b/>
          <w:i w:val="0"/>
          <w:color w:val="000000"/>
          <w:sz w:val="48"/>
        </w:rPr>
        <w:t>TetWorldMetal Native Metal Roadmap</w:t>
      </w:r>
    </w:p>
    <w:p>
      <w:pPr>
        <w:spacing w:after="320"/>
      </w:pPr>
      <w:r>
        <w:rPr>
          <w:rFonts w:ascii="Calibri" w:hAnsi="Calibri"/>
          <w:b w:val="0"/>
          <w:i w:val="0"/>
          <w:color w:val="5E6873"/>
          <w:sz w:val="26"/>
        </w:rPr>
        <w:t>Apple GPU features that can take the macOS renderer beyond Vulkan parity</w:t>
      </w:r>
    </w:p>
    <w:p>
      <w:pPr>
        <w:spacing w:after="40"/>
      </w:pPr>
      <w:r>
        <w:rPr>
          <w:rFonts w:ascii="Calibri" w:hAnsi="Calibri"/>
          <w:b/>
          <w:i w:val="0"/>
          <w:color w:val="20252B"/>
          <w:sz w:val="22"/>
        </w:rPr>
        <w:t xml:space="preserve">Date: </w:t>
      </w:r>
      <w:r>
        <w:rPr>
          <w:rFonts w:ascii="Calibri" w:hAnsi="Calibri"/>
          <w:b w:val="0"/>
          <w:i w:val="0"/>
          <w:color w:val="20252B"/>
          <w:sz w:val="22"/>
        </w:rPr>
        <w:t>1 September 2026</w:t>
      </w:r>
    </w:p>
    <w:p>
      <w:pPr>
        <w:spacing w:after="40"/>
      </w:pPr>
      <w:r>
        <w:rPr>
          <w:rFonts w:ascii="Calibri" w:hAnsi="Calibri"/>
          <w:b/>
          <w:i w:val="0"/>
          <w:color w:val="20252B"/>
          <w:sz w:val="22"/>
        </w:rPr>
        <w:t xml:space="preserve">Status: </w:t>
      </w:r>
      <w:r>
        <w:rPr>
          <w:rFonts w:ascii="Calibri" w:hAnsi="Calibri"/>
          <w:b w:val="0"/>
          <w:i w:val="0"/>
          <w:color w:val="20252B"/>
          <w:sz w:val="22"/>
        </w:rPr>
        <w:t>Proposed implementation sequence</w:t>
      </w:r>
    </w:p>
    <w:p>
      <w:pPr>
        <w:spacing w:after="40"/>
      </w:pPr>
      <w:r>
        <w:rPr>
          <w:rFonts w:ascii="Calibri" w:hAnsi="Calibri"/>
          <w:b/>
          <w:i w:val="0"/>
          <w:color w:val="20252B"/>
          <w:sz w:val="22"/>
        </w:rPr>
        <w:t xml:space="preserve">Scope: </w:t>
      </w:r>
      <w:r>
        <w:rPr>
          <w:rFonts w:ascii="Calibri" w:hAnsi="Calibri"/>
          <w:b w:val="0"/>
          <w:i w:val="0"/>
          <w:color w:val="20252B"/>
          <w:sz w:val="22"/>
        </w:rPr>
        <w:t>TetWorldMetal on Apple silicon; Vulkan remains the behavioral reference</w:t>
      </w:r>
    </w:p>
    <w:p>
      <w:pPr>
        <w:spacing w:before="120" w:after="200" w:line="264" w:lineRule="auto"/>
        <w:ind w:left="259" w:right="259"/>
        <w:shd w:fill="EAF2F8"/>
        <w:pBdr>
          <w:left w:val="single" w:sz="18" w:color="2E74B5" w:space="8"/>
        </w:pBdr>
      </w:pPr>
      <w:r>
        <w:rPr>
          <w:rFonts w:ascii="Calibri" w:hAnsi="Calibri"/>
          <w:b/>
          <w:i w:val="0"/>
          <w:color w:val="1F4D78"/>
          <w:sz w:val="22"/>
        </w:rPr>
        <w:t xml:space="preserve">Recommendation  </w:t>
      </w:r>
      <w:r>
        <w:rPr>
          <w:rFonts w:ascii="Calibri" w:hAnsi="Calibri"/>
          <w:b w:val="0"/>
          <w:i w:val="0"/>
          <w:color w:val="20252B"/>
          <w:sz w:val="22"/>
        </w:rPr>
        <w:t>Start with MetalFX temporal upscaling, then build a GPU-driven terrain path with argument buffers, indirect commands, and mesh shaders. Optimize atmosphere composition for Apple tile GPUs next; add sparse streaming, Metal I/O, ray tracing, and frame interpolation only behind measured capability gates.</w:t>
      </w:r>
    </w:p>
    <w:p>
      <w:pPr>
        <w:pStyle w:val="Heading1"/>
      </w:pPr>
      <w:r>
        <w:t>1. Objective</w:t>
      </w:r>
    </w:p>
    <w:p>
      <w:r>
        <w:rPr>
          <w:rFonts w:ascii="Calibri" w:hAnsi="Calibri"/>
          <w:b w:val="0"/>
          <w:i w:val="0"/>
          <w:color w:val="20252B"/>
          <w:sz w:val="22"/>
        </w:rPr>
        <w:t>TetWorldMetal should first remain visually and behaviorally equivalent to TetWorld Vulkan, then use native Metal capabilities to improve image quality, frame time, world scale, and responsiveness on Apple silicon. The Vulkan renderer remains a reference implementation and fallback—not a constraint on the Metal architecture.</w:t>
      </w:r>
    </w:p>
    <w:p>
      <w:r>
        <w:rPr>
          <w:rFonts w:ascii="Calibri" w:hAnsi="Calibri"/>
          <w:b w:val="0"/>
          <w:i w:val="0"/>
          <w:color w:val="20252B"/>
          <w:sz w:val="22"/>
        </w:rPr>
        <w:t>The plan distinguishes genuinely Apple-specific capabilities from cross-platform GPU techniques that are simply more practical through native Metal. Every feature must ship behind a runtime capability check, retain a safe fallback, and expose enough diagnostics to compare quality and cost.</w:t>
      </w:r>
    </w:p>
    <w:p>
      <w:pPr>
        <w:pStyle w:val="Heading1"/>
      </w:pPr>
      <w:r>
        <w:t>2. Opportunity portfolio</w:t>
      </w:r>
    </w:p>
    <w:p>
      <w:pPr>
        <w:numPr>
          <w:ilvl w:val="0"/>
          <w:numId w:val="10"/>
        </w:numPr>
      </w:pPr>
      <w:r>
        <w:rPr>
          <w:rFonts w:ascii="Calibri" w:hAnsi="Calibri"/>
          <w:b/>
          <w:i w:val="0"/>
          <w:color w:val="20252B"/>
          <w:sz w:val="22"/>
        </w:rPr>
        <w:t xml:space="preserve">MetalFX temporal upscaling. </w:t>
      </w:r>
      <w:r>
        <w:rPr>
          <w:rFonts w:ascii="Calibri" w:hAnsi="Calibri"/>
          <w:b w:val="0"/>
          <w:i w:val="0"/>
          <w:color w:val="20252B"/>
          <w:sz w:val="22"/>
        </w:rPr>
        <w:t>Replace the current custom render-scale and sharpening path with motion-aware reconstruction. Render terrain and atmosphere below display resolution while providing depth, motion vectors, jitter, and exposure inputs. This is the clearest near-term improvement in both image stability and GPU cost.</w:t>
      </w:r>
    </w:p>
    <w:p>
      <w:pPr>
        <w:numPr>
          <w:ilvl w:val="0"/>
          <w:numId w:val="10"/>
        </w:numPr>
      </w:pPr>
      <w:r>
        <w:rPr>
          <w:rFonts w:ascii="Calibri" w:hAnsi="Calibri"/>
          <w:b/>
          <w:i w:val="0"/>
          <w:color w:val="20252B"/>
          <w:sz w:val="22"/>
        </w:rPr>
        <w:t xml:space="preserve">GPU-driven terrain submission. </w:t>
      </w:r>
      <w:r>
        <w:rPr>
          <w:rFonts w:ascii="Calibri" w:hAnsi="Calibri"/>
          <w:b w:val="0"/>
          <w:i w:val="0"/>
          <w:color w:val="20252B"/>
          <w:sz w:val="22"/>
        </w:rPr>
        <w:t>Use argument buffers and indirect command buffers so the GPU can select visible terrain blocks and issue work without rebuilding a large CPU submission list every frame. This is the enabling layer for more ambitious mesh-shader terrain generation.</w:t>
      </w:r>
    </w:p>
    <w:p>
      <w:pPr>
        <w:numPr>
          <w:ilvl w:val="0"/>
          <w:numId w:val="10"/>
        </w:numPr>
      </w:pPr>
      <w:r>
        <w:rPr>
          <w:rFonts w:ascii="Calibri" w:hAnsi="Calibri"/>
          <w:b/>
          <w:i w:val="0"/>
          <w:color w:val="20252B"/>
          <w:sz w:val="22"/>
        </w:rPr>
        <w:t xml:space="preserve">Mesh shaders. </w:t>
      </w:r>
      <w:r>
        <w:rPr>
          <w:rFonts w:ascii="Calibri" w:hAnsi="Calibri"/>
          <w:b w:val="0"/>
          <w:i w:val="0"/>
          <w:color w:val="20252B"/>
          <w:sz w:val="22"/>
        </w:rPr>
        <w:t>Move block-level culling and LOD choice into an object stage, then emit compact surface geometry in a mesh stage. The goal is less CPU work, fewer intermediate vertex uploads, and a render path that naturally matches TetWorld's hierarchical terrain structure.</w:t>
      </w:r>
    </w:p>
    <w:p>
      <w:pPr>
        <w:numPr>
          <w:ilvl w:val="0"/>
          <w:numId w:val="10"/>
        </w:numPr>
      </w:pPr>
      <w:r>
        <w:rPr>
          <w:rFonts w:ascii="Calibri" w:hAnsi="Calibri"/>
          <w:b/>
          <w:i w:val="0"/>
          <w:color w:val="20252B"/>
          <w:sz w:val="22"/>
        </w:rPr>
        <w:t xml:space="preserve">Tile shaders and imageblocks. </w:t>
      </w:r>
      <w:r>
        <w:rPr>
          <w:rFonts w:ascii="Calibri" w:hAnsi="Calibri"/>
          <w:b w:val="0"/>
          <w:i w:val="0"/>
          <w:color w:val="20252B"/>
          <w:sz w:val="22"/>
        </w:rPr>
        <w:t>Exploit Apple GPU tile memory to reduce round-trips through full-size HDR and depth textures. The atmosphere, depth classification, and final composition are the best candidates, provided the implementation preserves the current visual oracle and supports a conventional fallback.</w:t>
      </w:r>
    </w:p>
    <w:p>
      <w:pPr>
        <w:numPr>
          <w:ilvl w:val="0"/>
          <w:numId w:val="10"/>
        </w:numPr>
      </w:pPr>
      <w:r>
        <w:rPr>
          <w:rFonts w:ascii="Calibri" w:hAnsi="Calibri"/>
          <w:b/>
          <w:i w:val="0"/>
          <w:color w:val="20252B"/>
          <w:sz w:val="22"/>
        </w:rPr>
        <w:t xml:space="preserve">Sparse resources and residency sets. </w:t>
      </w:r>
      <w:r>
        <w:rPr>
          <w:rFonts w:ascii="Calibri" w:hAnsi="Calibri"/>
          <w:b w:val="0"/>
          <w:i w:val="0"/>
          <w:color w:val="20252B"/>
          <w:sz w:val="22"/>
        </w:rPr>
        <w:t>Represent large terrain, shadow, and atmosphere datasets as pageable GPU resources. Residency should follow the existing terrain demand model so distant or cold regions do not consume physical memory merely because they occupy virtual address space.</w:t>
      </w:r>
    </w:p>
    <w:p>
      <w:pPr>
        <w:numPr>
          <w:ilvl w:val="0"/>
          <w:numId w:val="10"/>
        </w:numPr>
      </w:pPr>
      <w:r>
        <w:rPr>
          <w:rFonts w:ascii="Calibri" w:hAnsi="Calibri"/>
          <w:b/>
          <w:i w:val="0"/>
          <w:color w:val="20252B"/>
          <w:sz w:val="22"/>
        </w:rPr>
        <w:t xml:space="preserve">Metal I/O. </w:t>
      </w:r>
      <w:r>
        <w:rPr>
          <w:rFonts w:ascii="Calibri" w:hAnsi="Calibri"/>
          <w:b w:val="0"/>
          <w:i w:val="0"/>
          <w:color w:val="20252B"/>
          <w:sz w:val="22"/>
        </w:rPr>
        <w:t>Stream terrain pages and prepared GPU data with fewer CPU copies and less synchronization. This belongs after the page format and residency policy are stable; otherwise faster I/O only accelerates a changing data contract.</w:t>
      </w:r>
    </w:p>
    <w:p>
      <w:pPr>
        <w:numPr>
          <w:ilvl w:val="0"/>
          <w:numId w:val="10"/>
        </w:numPr>
      </w:pPr>
      <w:r>
        <w:rPr>
          <w:rFonts w:ascii="Calibri" w:hAnsi="Calibri"/>
          <w:b/>
          <w:i w:val="0"/>
          <w:color w:val="20252B"/>
          <w:sz w:val="22"/>
        </w:rPr>
        <w:t xml:space="preserve">Hardware ray tracing on supported Macs. </w:t>
      </w:r>
      <w:r>
        <w:rPr>
          <w:rFonts w:ascii="Calibri" w:hAnsi="Calibri"/>
          <w:b w:val="0"/>
          <w:i w:val="0"/>
          <w:color w:val="20252B"/>
          <w:sz w:val="22"/>
        </w:rPr>
        <w:t>Evaluate a hybrid path for long-range sun visibility, terrain shadows, and selective ambient occlusion. Rasterized cascades remain the default. Ray tracing should be optional because acceleration-structure rebuild cost may outweigh its benefit on rapidly changing terrain.</w:t>
      </w:r>
    </w:p>
    <w:p>
      <w:pPr>
        <w:numPr>
          <w:ilvl w:val="0"/>
          <w:numId w:val="10"/>
        </w:numPr>
      </w:pPr>
      <w:r>
        <w:rPr>
          <w:rFonts w:ascii="Calibri" w:hAnsi="Calibri"/>
          <w:b/>
          <w:i w:val="0"/>
          <w:color w:val="20252B"/>
          <w:sz w:val="22"/>
        </w:rPr>
        <w:t xml:space="preserve">MetalFX frame interpolation. </w:t>
      </w:r>
      <w:r>
        <w:rPr>
          <w:rFonts w:ascii="Calibri" w:hAnsi="Calibri"/>
          <w:b w:val="0"/>
          <w:i w:val="0"/>
          <w:color w:val="20252B"/>
          <w:sz w:val="22"/>
        </w:rPr>
        <w:t>Offer a high-refresh presentation mode after temporal upscaling, motion vectors, and latency behavior are proven. It is a presentation enhancement, not a substitute for a responsive base frame rate, and should be disabled automatically when latency or visual confidence is poor.</w:t>
      </w:r>
    </w:p>
    <w:p>
      <w:pPr>
        <w:pStyle w:val="Heading1"/>
      </w:pPr>
      <w:r>
        <w:t>3. What is uniquely valuable on macOS</w:t>
      </w:r>
    </w:p>
    <w:p>
      <w:pPr>
        <w:pStyle w:val="ListBullet"/>
      </w:pPr>
      <w:r>
        <w:rPr>
          <w:rFonts w:ascii="Calibri" w:hAnsi="Calibri"/>
          <w:b/>
          <w:i w:val="0"/>
          <w:color w:val="20252B"/>
          <w:sz w:val="22"/>
        </w:rPr>
        <w:t xml:space="preserve">Metal-only product leverage. </w:t>
      </w:r>
      <w:r>
        <w:rPr>
          <w:rFonts w:ascii="Calibri" w:hAnsi="Calibri"/>
          <w:b w:val="0"/>
          <w:i w:val="0"/>
          <w:color w:val="20252B"/>
          <w:sz w:val="22"/>
        </w:rPr>
        <w:t>MetalFX, Metal I/O, Apple-specific tile processing, and the native residency model are the clearest capabilities that Vulkan portability could not expose directly.</w:t>
      </w:r>
    </w:p>
    <w:p>
      <w:pPr>
        <w:pStyle w:val="ListBullet"/>
      </w:pPr>
      <w:r>
        <w:rPr>
          <w:rFonts w:ascii="Calibri" w:hAnsi="Calibri"/>
          <w:b/>
          <w:i w:val="0"/>
          <w:color w:val="20252B"/>
          <w:sz w:val="22"/>
        </w:rPr>
        <w:t xml:space="preserve">Native access rather than theoretical availability. </w:t>
      </w:r>
      <w:r>
        <w:rPr>
          <w:rFonts w:ascii="Calibri" w:hAnsi="Calibri"/>
          <w:b w:val="0"/>
          <w:i w:val="0"/>
          <w:color w:val="20252B"/>
          <w:sz w:val="22"/>
        </w:rPr>
        <w:t>Mesh shaders, ray tracing, descriptor-style resource indirection, and indirect drawing have analogues in modern Vulkan, but the macOS Vulkan translation layer limited availability, predictability, or debugging value.</w:t>
      </w:r>
    </w:p>
    <w:p>
      <w:pPr>
        <w:pStyle w:val="ListBullet"/>
      </w:pPr>
      <w:r>
        <w:rPr>
          <w:rFonts w:ascii="Calibri" w:hAnsi="Calibri"/>
          <w:b/>
          <w:i w:val="0"/>
          <w:color w:val="20252B"/>
          <w:sz w:val="22"/>
        </w:rPr>
        <w:t xml:space="preserve">Unified-memory awareness. </w:t>
      </w:r>
      <w:r>
        <w:rPr>
          <w:rFonts w:ascii="Calibri" w:hAnsi="Calibri"/>
          <w:b w:val="0"/>
          <w:i w:val="0"/>
          <w:color w:val="20252B"/>
          <w:sz w:val="22"/>
        </w:rPr>
        <w:t>Apple silicon allows CPU and GPU systems to share storage efficiently, but shared memory is still finite. The roadmap should reduce copies without treating unified memory as unlimited memory.</w:t>
      </w:r>
    </w:p>
    <w:p>
      <w:pPr>
        <w:pStyle w:val="ListBullet"/>
      </w:pPr>
      <w:r>
        <w:rPr>
          <w:rFonts w:ascii="Calibri" w:hAnsi="Calibri"/>
          <w:b/>
          <w:i w:val="0"/>
          <w:color w:val="20252B"/>
          <w:sz w:val="22"/>
        </w:rPr>
        <w:t xml:space="preserve">Apple GPU bandwidth economics. </w:t>
      </w:r>
      <w:r>
        <w:rPr>
          <w:rFonts w:ascii="Calibri" w:hAnsi="Calibri"/>
          <w:b w:val="0"/>
          <w:i w:val="0"/>
          <w:color w:val="20252B"/>
          <w:sz w:val="22"/>
        </w:rPr>
        <w:t>Tile-local work can be worth more than raw arithmetic optimization because atmosphere and HDR passes currently move large images between stages.</w:t>
      </w:r>
    </w:p>
    <w:p>
      <w:r>
        <w:br w:type="page"/>
      </w:r>
    </w:p>
    <w:p>
      <w:pPr>
        <w:pStyle w:val="Heading1"/>
      </w:pPr>
      <w:r>
        <w:t>4. Staged implementation plan</w:t>
      </w:r>
    </w:p>
    <w:tbl>
      <w:tblPr>
        <w:tblStyle w:val="TableGrid"/>
        <w:tblW w:type="dxa" w:w="9360"/>
        <w:tblLayout w:type="fixed"/>
        <w:tblLook w:firstColumn="1" w:firstRow="1" w:lastColumn="0" w:lastRow="0" w:noHBand="0" w:noVBand="1" w:val="04A0"/>
        <w:tblInd w:w="120" w:type="dxa"/>
      </w:tblPr>
      <w:tblGrid>
        <w:gridCol w:w="1260"/>
        <w:gridCol w:w="2700"/>
        <w:gridCol w:w="3060"/>
        <w:gridCol w:w="2340"/>
      </w:tblGrid>
      <w:tr>
        <w:trPr>
          <w:tblHeader w:val="true"/>
        </w:trPr>
        <w:tc>
          <w:tcPr>
            <w:tcW w:type="dxa" w:w="1260"/>
            <w:shd w:fill="2E74B5"/>
            <w:tcMar>
              <w:top w:w="80" w:type="dxa"/>
              <w:start w:w="120" w:type="dxa"/>
              <w:bottom w:w="80" w:type="dxa"/>
              <w:end w:w="120" w:type="dxa"/>
            </w:tcMar>
            <w:vAlign w:val="center"/>
          </w:tcPr>
          <w:p>
            <w:pPr>
              <w:jc w:val="center"/>
            </w:pPr>
            <w:r>
              <w:rPr>
                <w:rFonts w:ascii="Calibri" w:hAnsi="Calibri"/>
                <w:b/>
                <w:i w:val="0"/>
                <w:color w:val="FFFFFF"/>
                <w:sz w:val="20"/>
              </w:rPr>
              <w:t>Phase</w:t>
            </w:r>
          </w:p>
        </w:tc>
        <w:tc>
          <w:tcPr>
            <w:tcW w:type="dxa" w:w="2700"/>
            <w:shd w:fill="2E74B5"/>
            <w:tcMar>
              <w:top w:w="80" w:type="dxa"/>
              <w:start w:w="120" w:type="dxa"/>
              <w:bottom w:w="80" w:type="dxa"/>
              <w:end w:w="120" w:type="dxa"/>
            </w:tcMar>
            <w:vAlign w:val="center"/>
          </w:tcPr>
          <w:p>
            <w:pPr>
              <w:jc w:val="center"/>
            </w:pPr>
            <w:r>
              <w:rPr>
                <w:rFonts w:ascii="Calibri" w:hAnsi="Calibri"/>
                <w:b/>
                <w:i w:val="0"/>
                <w:color w:val="FFFFFF"/>
                <w:sz w:val="20"/>
              </w:rPr>
              <w:t>Primary work</w:t>
            </w:r>
          </w:p>
        </w:tc>
        <w:tc>
          <w:tcPr>
            <w:tcW w:type="dxa" w:w="3060"/>
            <w:shd w:fill="2E74B5"/>
            <w:tcMar>
              <w:top w:w="80" w:type="dxa"/>
              <w:start w:w="120" w:type="dxa"/>
              <w:bottom w:w="80" w:type="dxa"/>
              <w:end w:w="120" w:type="dxa"/>
            </w:tcMar>
            <w:vAlign w:val="center"/>
          </w:tcPr>
          <w:p>
            <w:pPr>
              <w:jc w:val="center"/>
            </w:pPr>
            <w:r>
              <w:rPr>
                <w:rFonts w:ascii="Calibri" w:hAnsi="Calibri"/>
                <w:b/>
                <w:i w:val="0"/>
                <w:color w:val="FFFFFF"/>
                <w:sz w:val="20"/>
              </w:rPr>
              <w:t>Exit gate</w:t>
            </w:r>
          </w:p>
        </w:tc>
        <w:tc>
          <w:tcPr>
            <w:tcW w:type="dxa" w:w="2340"/>
            <w:shd w:fill="2E74B5"/>
            <w:tcMar>
              <w:top w:w="80" w:type="dxa"/>
              <w:start w:w="120" w:type="dxa"/>
              <w:bottom w:w="80" w:type="dxa"/>
              <w:end w:w="120" w:type="dxa"/>
            </w:tcMar>
            <w:vAlign w:val="center"/>
          </w:tcPr>
          <w:p>
            <w:pPr>
              <w:jc w:val="center"/>
            </w:pPr>
            <w:r>
              <w:rPr>
                <w:rFonts w:ascii="Calibri" w:hAnsi="Calibri"/>
                <w:b/>
                <w:i w:val="0"/>
                <w:color w:val="FFFFFF"/>
                <w:sz w:val="20"/>
              </w:rPr>
              <w:t>Expected result</w:t>
            </w:r>
          </w:p>
        </w:tc>
      </w:tr>
      <w:tr>
        <w:tc>
          <w:tcPr>
            <w:tcW w:type="dxa" w:w="1260"/>
            <w:tcMar>
              <w:top w:w="80" w:type="dxa"/>
              <w:start w:w="120" w:type="dxa"/>
              <w:bottom w:w="80" w:type="dxa"/>
              <w:end w:w="120" w:type="dxa"/>
            </w:tcMar>
            <w:vAlign w:val="center"/>
          </w:tcPr>
          <w:p>
            <w:pPr>
              <w:jc w:val="center"/>
            </w:pPr>
            <w:r>
              <w:rPr>
                <w:rFonts w:ascii="Calibri" w:hAnsi="Calibri"/>
                <w:b/>
                <w:i w:val="0"/>
                <w:color w:val="20252B"/>
                <w:sz w:val="19"/>
              </w:rPr>
              <w:t>0</w:t>
              <w:br/>
              <w:t>Baseline</w:t>
            </w:r>
          </w:p>
        </w:tc>
        <w:tc>
          <w:tcPr>
            <w:tcW w:type="dxa" w:w="2700"/>
            <w:tcMar>
              <w:top w:w="80" w:type="dxa"/>
              <w:start w:w="120" w:type="dxa"/>
              <w:bottom w:w="80" w:type="dxa"/>
              <w:end w:w="120" w:type="dxa"/>
            </w:tcMar>
            <w:vAlign w:val="center"/>
          </w:tcPr>
          <w:p>
            <w:pPr>
              <w:jc w:val="left"/>
            </w:pPr>
            <w:r>
              <w:rPr>
                <w:rFonts w:ascii="Calibri" w:hAnsi="Calibri"/>
                <w:b w:val="0"/>
                <w:i w:val="0"/>
                <w:color w:val="20252B"/>
                <w:sz w:val="19"/>
              </w:rPr>
              <w:t>Capability registry, GPU timing, motion-vector target, parity captures</w:t>
            </w:r>
          </w:p>
        </w:tc>
        <w:tc>
          <w:tcPr>
            <w:tcW w:type="dxa" w:w="3060"/>
            <w:tcMar>
              <w:top w:w="80" w:type="dxa"/>
              <w:start w:w="120" w:type="dxa"/>
              <w:bottom w:w="80" w:type="dxa"/>
              <w:end w:w="120" w:type="dxa"/>
            </w:tcMar>
            <w:vAlign w:val="center"/>
          </w:tcPr>
          <w:p>
            <w:pPr>
              <w:jc w:val="left"/>
            </w:pPr>
            <w:r>
              <w:rPr>
                <w:rFonts w:ascii="Calibri" w:hAnsi="Calibri"/>
                <w:b w:val="0"/>
                <w:i w:val="0"/>
                <w:color w:val="20252B"/>
                <w:sz w:val="19"/>
              </w:rPr>
              <w:t>Vulkan/Metal golden views pass; per-stage timing is stable</w:t>
            </w:r>
          </w:p>
        </w:tc>
        <w:tc>
          <w:tcPr>
            <w:tcW w:type="dxa" w:w="2340"/>
            <w:tcMar>
              <w:top w:w="80" w:type="dxa"/>
              <w:start w:w="120" w:type="dxa"/>
              <w:bottom w:w="80" w:type="dxa"/>
              <w:end w:w="120" w:type="dxa"/>
            </w:tcMar>
            <w:vAlign w:val="center"/>
          </w:tcPr>
          <w:p>
            <w:pPr>
              <w:jc w:val="left"/>
            </w:pPr>
            <w:r>
              <w:rPr>
                <w:rFonts w:ascii="Calibri" w:hAnsi="Calibri"/>
                <w:b w:val="0"/>
                <w:i w:val="0"/>
                <w:color w:val="20252B"/>
                <w:sz w:val="19"/>
              </w:rPr>
              <w:t>Changes can be measured and safely disabled</w:t>
            </w:r>
          </w:p>
        </w:tc>
      </w:tr>
      <w:tr>
        <w:tc>
          <w:tcPr>
            <w:tcW w:type="dxa" w:w="1260"/>
            <w:shd w:fill="F2F4F7"/>
            <w:tcMar>
              <w:top w:w="80" w:type="dxa"/>
              <w:start w:w="120" w:type="dxa"/>
              <w:bottom w:w="80" w:type="dxa"/>
              <w:end w:w="120" w:type="dxa"/>
            </w:tcMar>
            <w:vAlign w:val="center"/>
          </w:tcPr>
          <w:p>
            <w:pPr>
              <w:jc w:val="center"/>
            </w:pPr>
            <w:r>
              <w:rPr>
                <w:rFonts w:ascii="Calibri" w:hAnsi="Calibri"/>
                <w:b/>
                <w:i w:val="0"/>
                <w:color w:val="20252B"/>
                <w:sz w:val="19"/>
              </w:rPr>
              <w:t>1</w:t>
              <w:br/>
              <w:t>MetalFX</w:t>
            </w:r>
          </w:p>
        </w:tc>
        <w:tc>
          <w:tcPr>
            <w:tcW w:type="dxa" w:w="2700"/>
            <w:shd w:fill="F2F4F7"/>
            <w:tcMar>
              <w:top w:w="80" w:type="dxa"/>
              <w:start w:w="120" w:type="dxa"/>
              <w:bottom w:w="80" w:type="dxa"/>
              <w:end w:w="120" w:type="dxa"/>
            </w:tcMar>
            <w:vAlign w:val="center"/>
          </w:tcPr>
          <w:p>
            <w:pPr>
              <w:jc w:val="left"/>
            </w:pPr>
            <w:r>
              <w:rPr>
                <w:rFonts w:ascii="Calibri" w:hAnsi="Calibri"/>
                <w:b w:val="0"/>
                <w:i w:val="0"/>
                <w:color w:val="20252B"/>
                <w:sz w:val="19"/>
              </w:rPr>
              <w:t>MetalFX temporal upscaling; retain current scaler as fallback</w:t>
            </w:r>
          </w:p>
        </w:tc>
        <w:tc>
          <w:tcPr>
            <w:tcW w:type="dxa" w:w="3060"/>
            <w:shd w:fill="F2F4F7"/>
            <w:tcMar>
              <w:top w:w="80" w:type="dxa"/>
              <w:start w:w="120" w:type="dxa"/>
              <w:bottom w:w="80" w:type="dxa"/>
              <w:end w:w="120" w:type="dxa"/>
            </w:tcMar>
            <w:vAlign w:val="center"/>
          </w:tcPr>
          <w:p>
            <w:pPr>
              <w:jc w:val="left"/>
            </w:pPr>
            <w:r>
              <w:rPr>
                <w:rFonts w:ascii="Calibri" w:hAnsi="Calibri"/>
                <w:b w:val="0"/>
                <w:i w:val="0"/>
                <w:color w:val="20252B"/>
                <w:sz w:val="19"/>
              </w:rPr>
              <w:t>No ghosting at terrain silhouettes; UI and camera motion remain stable</w:t>
            </w:r>
          </w:p>
        </w:tc>
        <w:tc>
          <w:tcPr>
            <w:tcW w:type="dxa" w:w="2340"/>
            <w:shd w:fill="F2F4F7"/>
            <w:tcMar>
              <w:top w:w="80" w:type="dxa"/>
              <w:start w:w="120" w:type="dxa"/>
              <w:bottom w:w="80" w:type="dxa"/>
              <w:end w:w="120" w:type="dxa"/>
            </w:tcMar>
            <w:vAlign w:val="center"/>
          </w:tcPr>
          <w:p>
            <w:pPr>
              <w:jc w:val="left"/>
            </w:pPr>
            <w:r>
              <w:rPr>
                <w:rFonts w:ascii="Calibri" w:hAnsi="Calibri"/>
                <w:b w:val="0"/>
                <w:i w:val="0"/>
                <w:color w:val="20252B"/>
                <w:sz w:val="19"/>
              </w:rPr>
              <w:t>Higher display quality at a lower internal resolution</w:t>
            </w:r>
          </w:p>
        </w:tc>
      </w:tr>
      <w:tr>
        <w:tc>
          <w:tcPr>
            <w:tcW w:type="dxa" w:w="1260"/>
            <w:tcMar>
              <w:top w:w="80" w:type="dxa"/>
              <w:start w:w="120" w:type="dxa"/>
              <w:bottom w:w="80" w:type="dxa"/>
              <w:end w:w="120" w:type="dxa"/>
            </w:tcMar>
            <w:vAlign w:val="center"/>
          </w:tcPr>
          <w:p>
            <w:pPr>
              <w:jc w:val="center"/>
            </w:pPr>
            <w:r>
              <w:rPr>
                <w:rFonts w:ascii="Calibri" w:hAnsi="Calibri"/>
                <w:b/>
                <w:i w:val="0"/>
                <w:color w:val="20252B"/>
                <w:sz w:val="19"/>
              </w:rPr>
              <w:t>2</w:t>
              <w:br/>
              <w:t>GPU terrain</w:t>
            </w:r>
          </w:p>
        </w:tc>
        <w:tc>
          <w:tcPr>
            <w:tcW w:type="dxa" w:w="2700"/>
            <w:tcMar>
              <w:top w:w="80" w:type="dxa"/>
              <w:start w:w="120" w:type="dxa"/>
              <w:bottom w:w="80" w:type="dxa"/>
              <w:end w:w="120" w:type="dxa"/>
            </w:tcMar>
            <w:vAlign w:val="center"/>
          </w:tcPr>
          <w:p>
            <w:pPr>
              <w:jc w:val="left"/>
            </w:pPr>
            <w:r>
              <w:rPr>
                <w:rFonts w:ascii="Calibri" w:hAnsi="Calibri"/>
                <w:b w:val="0"/>
                <w:i w:val="0"/>
                <w:color w:val="20252B"/>
                <w:sz w:val="19"/>
              </w:rPr>
              <w:t>Argument buffers, indirect commands, then mesh-shader prototype</w:t>
            </w:r>
          </w:p>
        </w:tc>
        <w:tc>
          <w:tcPr>
            <w:tcW w:type="dxa" w:w="3060"/>
            <w:tcMar>
              <w:top w:w="80" w:type="dxa"/>
              <w:start w:w="120" w:type="dxa"/>
              <w:bottom w:w="80" w:type="dxa"/>
              <w:end w:w="120" w:type="dxa"/>
            </w:tcMar>
            <w:vAlign w:val="center"/>
          </w:tcPr>
          <w:p>
            <w:pPr>
              <w:jc w:val="left"/>
            </w:pPr>
            <w:r>
              <w:rPr>
                <w:rFonts w:ascii="Calibri" w:hAnsi="Calibri"/>
                <w:b w:val="0"/>
                <w:i w:val="0"/>
                <w:color w:val="20252B"/>
                <w:sz w:val="19"/>
              </w:rPr>
              <w:t>CPU terrain submission time falls without LOD or geometry divergence</w:t>
            </w:r>
          </w:p>
        </w:tc>
        <w:tc>
          <w:tcPr>
            <w:tcW w:type="dxa" w:w="2340"/>
            <w:tcMar>
              <w:top w:w="80" w:type="dxa"/>
              <w:start w:w="120" w:type="dxa"/>
              <w:bottom w:w="80" w:type="dxa"/>
              <w:end w:w="120" w:type="dxa"/>
            </w:tcMar>
            <w:vAlign w:val="center"/>
          </w:tcPr>
          <w:p>
            <w:pPr>
              <w:jc w:val="left"/>
            </w:pPr>
            <w:r>
              <w:rPr>
                <w:rFonts w:ascii="Calibri" w:hAnsi="Calibri"/>
                <w:b w:val="0"/>
                <w:i w:val="0"/>
                <w:color w:val="20252B"/>
                <w:sz w:val="19"/>
              </w:rPr>
              <w:t>More headroom for larger worlds and faster traversal</w:t>
            </w:r>
          </w:p>
        </w:tc>
      </w:tr>
      <w:tr>
        <w:tc>
          <w:tcPr>
            <w:tcW w:type="dxa" w:w="1260"/>
            <w:shd w:fill="F2F4F7"/>
            <w:tcMar>
              <w:top w:w="80" w:type="dxa"/>
              <w:start w:w="120" w:type="dxa"/>
              <w:bottom w:w="80" w:type="dxa"/>
              <w:end w:w="120" w:type="dxa"/>
            </w:tcMar>
            <w:vAlign w:val="center"/>
          </w:tcPr>
          <w:p>
            <w:pPr>
              <w:jc w:val="center"/>
            </w:pPr>
            <w:r>
              <w:rPr>
                <w:rFonts w:ascii="Calibri" w:hAnsi="Calibri"/>
                <w:b/>
                <w:i w:val="0"/>
                <w:color w:val="20252B"/>
                <w:sz w:val="19"/>
              </w:rPr>
              <w:t>3</w:t>
              <w:br/>
              <w:t>Tile path</w:t>
            </w:r>
          </w:p>
        </w:tc>
        <w:tc>
          <w:tcPr>
            <w:tcW w:type="dxa" w:w="2700"/>
            <w:shd w:fill="F2F4F7"/>
            <w:tcMar>
              <w:top w:w="80" w:type="dxa"/>
              <w:start w:w="120" w:type="dxa"/>
              <w:bottom w:w="80" w:type="dxa"/>
              <w:end w:w="120" w:type="dxa"/>
            </w:tcMar>
            <w:vAlign w:val="center"/>
          </w:tcPr>
          <w:p>
            <w:pPr>
              <w:jc w:val="left"/>
            </w:pPr>
            <w:r>
              <w:rPr>
                <w:rFonts w:ascii="Calibri" w:hAnsi="Calibri"/>
                <w:b w:val="0"/>
                <w:i w:val="0"/>
                <w:color w:val="20252B"/>
                <w:sz w:val="19"/>
              </w:rPr>
              <w:t>Fuse depth classification and composition where tile features are supported</w:t>
            </w:r>
          </w:p>
        </w:tc>
        <w:tc>
          <w:tcPr>
            <w:tcW w:type="dxa" w:w="3060"/>
            <w:shd w:fill="F2F4F7"/>
            <w:tcMar>
              <w:top w:w="80" w:type="dxa"/>
              <w:start w:w="120" w:type="dxa"/>
              <w:bottom w:w="80" w:type="dxa"/>
              <w:end w:w="120" w:type="dxa"/>
            </w:tcMar>
            <w:vAlign w:val="center"/>
          </w:tcPr>
          <w:p>
            <w:pPr>
              <w:jc w:val="left"/>
            </w:pPr>
            <w:r>
              <w:rPr>
                <w:rFonts w:ascii="Calibri" w:hAnsi="Calibri"/>
                <w:b w:val="0"/>
                <w:i w:val="0"/>
                <w:color w:val="20252B"/>
                <w:sz w:val="19"/>
              </w:rPr>
              <w:t>Pixel parity within agreed tolerance; lower memory bandwidth and frame time</w:t>
            </w:r>
          </w:p>
        </w:tc>
        <w:tc>
          <w:tcPr>
            <w:tcW w:type="dxa" w:w="2340"/>
            <w:shd w:fill="F2F4F7"/>
            <w:tcMar>
              <w:top w:w="80" w:type="dxa"/>
              <w:start w:w="120" w:type="dxa"/>
              <w:bottom w:w="80" w:type="dxa"/>
              <w:end w:w="120" w:type="dxa"/>
            </w:tcMar>
            <w:vAlign w:val="center"/>
          </w:tcPr>
          <w:p>
            <w:pPr>
              <w:jc w:val="left"/>
            </w:pPr>
            <w:r>
              <w:rPr>
                <w:rFonts w:ascii="Calibri" w:hAnsi="Calibri"/>
                <w:b w:val="0"/>
                <w:i w:val="0"/>
                <w:color w:val="20252B"/>
                <w:sz w:val="19"/>
              </w:rPr>
              <w:t>Cheaper atmosphere and fewer full-frame intermediates</w:t>
            </w:r>
          </w:p>
        </w:tc>
      </w:tr>
      <w:tr>
        <w:tc>
          <w:tcPr>
            <w:tcW w:type="dxa" w:w="1260"/>
            <w:tcMar>
              <w:top w:w="80" w:type="dxa"/>
              <w:start w:w="120" w:type="dxa"/>
              <w:bottom w:w="80" w:type="dxa"/>
              <w:end w:w="120" w:type="dxa"/>
            </w:tcMar>
            <w:vAlign w:val="center"/>
          </w:tcPr>
          <w:p>
            <w:pPr>
              <w:jc w:val="center"/>
            </w:pPr>
            <w:r>
              <w:rPr>
                <w:rFonts w:ascii="Calibri" w:hAnsi="Calibri"/>
                <w:b/>
                <w:i w:val="0"/>
                <w:color w:val="20252B"/>
                <w:sz w:val="19"/>
              </w:rPr>
              <w:t>4</w:t>
              <w:br/>
              <w:t>Streaming</w:t>
            </w:r>
          </w:p>
        </w:tc>
        <w:tc>
          <w:tcPr>
            <w:tcW w:type="dxa" w:w="2700"/>
            <w:tcMar>
              <w:top w:w="80" w:type="dxa"/>
              <w:start w:w="120" w:type="dxa"/>
              <w:bottom w:w="80" w:type="dxa"/>
              <w:end w:w="120" w:type="dxa"/>
            </w:tcMar>
            <w:vAlign w:val="center"/>
          </w:tcPr>
          <w:p>
            <w:pPr>
              <w:jc w:val="left"/>
            </w:pPr>
            <w:r>
              <w:rPr>
                <w:rFonts w:ascii="Calibri" w:hAnsi="Calibri"/>
                <w:b w:val="0"/>
                <w:i w:val="0"/>
                <w:color w:val="20252B"/>
                <w:sz w:val="19"/>
              </w:rPr>
              <w:t>Sparse resources, residency sets, stable page format, Metal I/O</w:t>
            </w:r>
          </w:p>
        </w:tc>
        <w:tc>
          <w:tcPr>
            <w:tcW w:type="dxa" w:w="3060"/>
            <w:tcMar>
              <w:top w:w="80" w:type="dxa"/>
              <w:start w:w="120" w:type="dxa"/>
              <w:bottom w:w="80" w:type="dxa"/>
              <w:end w:w="120" w:type="dxa"/>
            </w:tcMar>
            <w:vAlign w:val="center"/>
          </w:tcPr>
          <w:p>
            <w:pPr>
              <w:jc w:val="left"/>
            </w:pPr>
            <w:r>
              <w:rPr>
                <w:rFonts w:ascii="Calibri" w:hAnsi="Calibri"/>
                <w:b w:val="0"/>
                <w:i w:val="0"/>
                <w:color w:val="20252B"/>
                <w:sz w:val="19"/>
              </w:rPr>
              <w:t>Memory stays within budget during long high-speed traversal</w:t>
            </w:r>
          </w:p>
        </w:tc>
        <w:tc>
          <w:tcPr>
            <w:tcW w:type="dxa" w:w="2340"/>
            <w:tcMar>
              <w:top w:w="80" w:type="dxa"/>
              <w:start w:w="120" w:type="dxa"/>
              <w:bottom w:w="80" w:type="dxa"/>
              <w:end w:w="120" w:type="dxa"/>
            </w:tcMar>
            <w:vAlign w:val="center"/>
          </w:tcPr>
          <w:p>
            <w:pPr>
              <w:jc w:val="left"/>
            </w:pPr>
            <w:r>
              <w:rPr>
                <w:rFonts w:ascii="Calibri" w:hAnsi="Calibri"/>
                <w:b w:val="0"/>
                <w:i w:val="0"/>
                <w:color w:val="20252B"/>
                <w:sz w:val="19"/>
              </w:rPr>
              <w:t>Larger worlds with smoother loading and fewer copies</w:t>
            </w:r>
          </w:p>
        </w:tc>
      </w:tr>
      <w:tr>
        <w:tc>
          <w:tcPr>
            <w:tcW w:type="dxa" w:w="1260"/>
            <w:shd w:fill="F2F4F7"/>
            <w:tcMar>
              <w:top w:w="80" w:type="dxa"/>
              <w:start w:w="120" w:type="dxa"/>
              <w:bottom w:w="80" w:type="dxa"/>
              <w:end w:w="120" w:type="dxa"/>
            </w:tcMar>
            <w:vAlign w:val="center"/>
          </w:tcPr>
          <w:p>
            <w:pPr>
              <w:jc w:val="center"/>
            </w:pPr>
            <w:r>
              <w:rPr>
                <w:rFonts w:ascii="Calibri" w:hAnsi="Calibri"/>
                <w:b/>
                <w:i w:val="0"/>
                <w:color w:val="20252B"/>
                <w:sz w:val="19"/>
              </w:rPr>
              <w:t>5</w:t>
              <w:br/>
              <w:t>Optional</w:t>
            </w:r>
          </w:p>
        </w:tc>
        <w:tc>
          <w:tcPr>
            <w:tcW w:type="dxa" w:w="2700"/>
            <w:shd w:fill="F2F4F7"/>
            <w:tcMar>
              <w:top w:w="80" w:type="dxa"/>
              <w:start w:w="120" w:type="dxa"/>
              <w:bottom w:w="80" w:type="dxa"/>
              <w:end w:w="120" w:type="dxa"/>
            </w:tcMar>
            <w:vAlign w:val="center"/>
          </w:tcPr>
          <w:p>
            <w:pPr>
              <w:jc w:val="left"/>
            </w:pPr>
            <w:r>
              <w:rPr>
                <w:rFonts w:ascii="Calibri" w:hAnsi="Calibri"/>
                <w:b w:val="0"/>
                <w:i w:val="0"/>
                <w:color w:val="20252B"/>
                <w:sz w:val="19"/>
              </w:rPr>
              <w:t>Hybrid ray tracing and MetalFX frame interpolation</w:t>
            </w:r>
          </w:p>
        </w:tc>
        <w:tc>
          <w:tcPr>
            <w:tcW w:type="dxa" w:w="3060"/>
            <w:shd w:fill="F2F4F7"/>
            <w:tcMar>
              <w:top w:w="80" w:type="dxa"/>
              <w:start w:w="120" w:type="dxa"/>
              <w:bottom w:w="80" w:type="dxa"/>
              <w:end w:w="120" w:type="dxa"/>
            </w:tcMar>
            <w:vAlign w:val="center"/>
          </w:tcPr>
          <w:p>
            <w:pPr>
              <w:jc w:val="left"/>
            </w:pPr>
            <w:r>
              <w:rPr>
                <w:rFonts w:ascii="Calibri" w:hAnsi="Calibri"/>
                <w:b w:val="0"/>
                <w:i w:val="0"/>
                <w:color w:val="20252B"/>
                <w:sz w:val="19"/>
              </w:rPr>
              <w:t>Each mode improves its target metric without destabilizing latency or parity</w:t>
            </w:r>
          </w:p>
        </w:tc>
        <w:tc>
          <w:tcPr>
            <w:tcW w:type="dxa" w:w="2340"/>
            <w:shd w:fill="F2F4F7"/>
            <w:tcMar>
              <w:top w:w="80" w:type="dxa"/>
              <w:start w:w="120" w:type="dxa"/>
              <w:bottom w:w="80" w:type="dxa"/>
              <w:end w:w="120" w:type="dxa"/>
            </w:tcMar>
            <w:vAlign w:val="center"/>
          </w:tcPr>
          <w:p>
            <w:pPr>
              <w:jc w:val="left"/>
            </w:pPr>
            <w:r>
              <w:rPr>
                <w:rFonts w:ascii="Calibri" w:hAnsi="Calibri"/>
                <w:b w:val="0"/>
                <w:i w:val="0"/>
                <w:color w:val="20252B"/>
                <w:sz w:val="19"/>
              </w:rPr>
              <w:t>Premium shadows and presentation on capable hardware</w:t>
            </w:r>
          </w:p>
        </w:tc>
      </w:tr>
    </w:tbl>
    <w:p>
      <w:pPr>
        <w:pStyle w:val="Heading1"/>
      </w:pPr>
      <w:r>
        <w:t>5. Phase details and acceptance criteria</w:t>
      </w:r>
    </w:p>
    <w:p>
      <w:pPr>
        <w:pStyle w:val="Heading2"/>
      </w:pPr>
      <w:r>
        <w:t>Phase 0 — Measurement and capability foundation</w:t>
      </w:r>
    </w:p>
    <w:p>
      <w:pPr>
        <w:pStyle w:val="ListBullet"/>
      </w:pPr>
      <w:r>
        <w:rPr>
          <w:rFonts w:ascii="Calibri" w:hAnsi="Calibri"/>
          <w:b/>
          <w:i w:val="0"/>
          <w:color w:val="20252B"/>
          <w:sz w:val="22"/>
        </w:rPr>
        <w:t>Add one capability registry</w:t>
      </w:r>
      <w:r>
        <w:rPr>
          <w:rFonts w:ascii="Calibri" w:hAnsi="Calibri"/>
          <w:b w:val="0"/>
          <w:i w:val="0"/>
          <w:color w:val="20252B"/>
          <w:sz w:val="22"/>
        </w:rPr>
        <w:t xml:space="preserve"> covering OS version, GPU family, MetalFX, mesh shaders, ray tracing, sparse resources, tile functions, Metal I/O, and frame interpolation.</w:t>
      </w:r>
    </w:p>
    <w:p>
      <w:pPr>
        <w:pStyle w:val="ListBullet"/>
      </w:pPr>
      <w:r>
        <w:rPr>
          <w:rFonts w:ascii="Calibri" w:hAnsi="Calibri"/>
          <w:b/>
          <w:i w:val="0"/>
          <w:color w:val="20252B"/>
          <w:sz w:val="22"/>
        </w:rPr>
        <w:t>Capture stable baselines</w:t>
      </w:r>
      <w:r>
        <w:rPr>
          <w:rFonts w:ascii="Calibri" w:hAnsi="Calibri"/>
          <w:b w:val="0"/>
          <w:i w:val="0"/>
          <w:color w:val="20252B"/>
          <w:sz w:val="22"/>
        </w:rPr>
        <w:t xml:space="preserve"> for skyline edges, wireframe, atmosphere, rapid camera motion, LOD transitions, and high-speed world traversal.</w:t>
      </w:r>
    </w:p>
    <w:p>
      <w:pPr>
        <w:pStyle w:val="ListBullet"/>
      </w:pPr>
      <w:r>
        <w:rPr>
          <w:rFonts w:ascii="Calibri" w:hAnsi="Calibri"/>
          <w:b/>
          <w:i w:val="0"/>
          <w:color w:val="20252B"/>
          <w:sz w:val="22"/>
        </w:rPr>
        <w:t>Keep every native feature independently switchable</w:t>
      </w:r>
      <w:r>
        <w:rPr>
          <w:rFonts w:ascii="Calibri" w:hAnsi="Calibri"/>
          <w:b w:val="0"/>
          <w:i w:val="0"/>
          <w:color w:val="20252B"/>
          <w:sz w:val="22"/>
        </w:rPr>
        <w:t xml:space="preserve"> in the UI and command-line smoke tests.</w:t>
      </w:r>
    </w:p>
    <w:p>
      <w:pPr>
        <w:pStyle w:val="Heading2"/>
      </w:pPr>
      <w:r>
        <w:t>Phase 1 — MetalFX temporal upscaling</w:t>
      </w:r>
    </w:p>
    <w:p>
      <w:pPr>
        <w:pStyle w:val="ListBullet"/>
      </w:pPr>
      <w:r>
        <w:rPr>
          <w:rFonts w:ascii="Calibri" w:hAnsi="Calibri"/>
          <w:b/>
          <w:i w:val="0"/>
          <w:color w:val="20252B"/>
          <w:sz w:val="22"/>
        </w:rPr>
        <w:t xml:space="preserve">Required render data: </w:t>
      </w:r>
      <w:r>
        <w:rPr>
          <w:rFonts w:ascii="Calibri" w:hAnsi="Calibri"/>
          <w:b w:val="0"/>
          <w:i w:val="0"/>
          <w:color w:val="20252B"/>
          <w:sz w:val="22"/>
        </w:rPr>
        <w:t>jittered projection, motion vectors, reversed depth, exposure, and correctly marked reactive or discontinuous pixels.</w:t>
      </w:r>
    </w:p>
    <w:p>
      <w:pPr>
        <w:pStyle w:val="ListBullet"/>
      </w:pPr>
      <w:r>
        <w:rPr>
          <w:rFonts w:ascii="Calibri" w:hAnsi="Calibri"/>
          <w:b/>
          <w:i w:val="0"/>
          <w:color w:val="20252B"/>
          <w:sz w:val="22"/>
        </w:rPr>
        <w:t xml:space="preserve">Integration rule: </w:t>
      </w:r>
      <w:r>
        <w:rPr>
          <w:rFonts w:ascii="Calibri" w:hAnsi="Calibri"/>
          <w:b w:val="0"/>
          <w:i w:val="0"/>
          <w:color w:val="20252B"/>
          <w:sz w:val="22"/>
        </w:rPr>
        <w:t>upscale the combined scene at the point that best preserves terrain-atmosphere edges; verify this experimentally rather than assuming terrain-only or post-composite placement.</w:t>
      </w:r>
    </w:p>
    <w:p>
      <w:pPr>
        <w:pStyle w:val="ListBullet"/>
      </w:pPr>
      <w:r>
        <w:rPr>
          <w:rFonts w:ascii="Calibri" w:hAnsi="Calibri"/>
          <w:b/>
          <w:i w:val="0"/>
          <w:color w:val="20252B"/>
          <w:sz w:val="22"/>
        </w:rPr>
        <w:t xml:space="preserve">Acceptance: </w:t>
      </w:r>
      <w:r>
        <w:rPr>
          <w:rFonts w:ascii="Calibri" w:hAnsi="Calibri"/>
          <w:b w:val="0"/>
          <w:i w:val="0"/>
          <w:color w:val="20252B"/>
          <w:sz w:val="22"/>
        </w:rPr>
        <w:t>stable silhouettes, no atmosphere halos, no trails behind moving LOD boundaries, and a measurable GPU-time reduction at equivalent perceived quality.</w:t>
      </w:r>
    </w:p>
    <w:p>
      <w:pPr>
        <w:pStyle w:val="Heading2"/>
      </w:pPr>
      <w:r>
        <w:t>Phase 2 — GPU-driven terrain</w:t>
      </w:r>
    </w:p>
    <w:p>
      <w:pPr>
        <w:pStyle w:val="ListBullet"/>
      </w:pPr>
      <w:r>
        <w:rPr>
          <w:rFonts w:ascii="Calibri" w:hAnsi="Calibri"/>
          <w:b/>
          <w:i w:val="0"/>
          <w:color w:val="20252B"/>
          <w:sz w:val="22"/>
        </w:rPr>
        <w:t xml:space="preserve">Step A: </w:t>
      </w:r>
      <w:r>
        <w:rPr>
          <w:rFonts w:ascii="Calibri" w:hAnsi="Calibri"/>
          <w:b w:val="0"/>
          <w:i w:val="0"/>
          <w:color w:val="20252B"/>
          <w:sz w:val="22"/>
        </w:rPr>
        <w:t>place per-block geometry references, bounds, generation IDs, and material state into argument buffers.</w:t>
      </w:r>
    </w:p>
    <w:p>
      <w:pPr>
        <w:pStyle w:val="ListBullet"/>
      </w:pPr>
      <w:r>
        <w:rPr>
          <w:rFonts w:ascii="Calibri" w:hAnsi="Calibri"/>
          <w:b/>
          <w:i w:val="0"/>
          <w:color w:val="20252B"/>
          <w:sz w:val="22"/>
        </w:rPr>
        <w:t xml:space="preserve">Step B: </w:t>
      </w:r>
      <w:r>
        <w:rPr>
          <w:rFonts w:ascii="Calibri" w:hAnsi="Calibri"/>
          <w:b w:val="0"/>
          <w:i w:val="0"/>
          <w:color w:val="20252B"/>
          <w:sz w:val="22"/>
        </w:rPr>
        <w:t>compute visibility and build indirect work without a CPU readback.</w:t>
      </w:r>
    </w:p>
    <w:p>
      <w:pPr>
        <w:pStyle w:val="ListBullet"/>
      </w:pPr>
      <w:r>
        <w:rPr>
          <w:rFonts w:ascii="Calibri" w:hAnsi="Calibri"/>
          <w:b/>
          <w:i w:val="0"/>
          <w:color w:val="20252B"/>
          <w:sz w:val="22"/>
        </w:rPr>
        <w:t xml:space="preserve">Step C: </w:t>
      </w:r>
      <w:r>
        <w:rPr>
          <w:rFonts w:ascii="Calibri" w:hAnsi="Calibri"/>
          <w:b w:val="0"/>
          <w:i w:val="0"/>
          <w:color w:val="20252B"/>
          <w:sz w:val="22"/>
        </w:rPr>
        <w:t>prototype object/mesh stages for one terrain path while the existing indexed path remains available.</w:t>
      </w:r>
    </w:p>
    <w:p>
      <w:pPr>
        <w:pStyle w:val="ListBullet"/>
      </w:pPr>
      <w:r>
        <w:rPr>
          <w:rFonts w:ascii="Calibri" w:hAnsi="Calibri"/>
          <w:b/>
          <w:i w:val="0"/>
          <w:color w:val="20252B"/>
          <w:sz w:val="22"/>
        </w:rPr>
        <w:t xml:space="preserve">Acceptance: </w:t>
      </w:r>
      <w:r>
        <w:rPr>
          <w:rFonts w:ascii="Calibri" w:hAnsi="Calibri"/>
          <w:b w:val="0"/>
          <w:i w:val="0"/>
          <w:color w:val="20252B"/>
          <w:sz w:val="22"/>
        </w:rPr>
        <w:t>identical visible block decisions and geometry hashes, no stale-generation draws, and lower CPU frame cost under fast movement.</w:t>
      </w:r>
    </w:p>
    <w:p>
      <w:pPr>
        <w:pStyle w:val="Heading2"/>
      </w:pPr>
      <w:r>
        <w:t>Phase 3 — Tile-based atmosphere</w:t>
      </w:r>
    </w:p>
    <w:p>
      <w:pPr>
        <w:pStyle w:val="ListBullet"/>
      </w:pPr>
      <w:r>
        <w:rPr>
          <w:rFonts w:ascii="Calibri" w:hAnsi="Calibri"/>
          <w:b/>
          <w:i w:val="0"/>
          <w:color w:val="20252B"/>
          <w:sz w:val="22"/>
        </w:rPr>
        <w:t xml:space="preserve">First target: </w:t>
      </w:r>
      <w:r>
        <w:rPr>
          <w:rFonts w:ascii="Calibri" w:hAnsi="Calibri"/>
          <w:b w:val="0"/>
          <w:i w:val="0"/>
          <w:color w:val="20252B"/>
          <w:sz w:val="22"/>
        </w:rPr>
        <w:t>depth-aware atmosphere composition and edge coverage, where tile-local depth and HDR access can remove intermediate bandwidth.</w:t>
      </w:r>
    </w:p>
    <w:p>
      <w:pPr>
        <w:pStyle w:val="ListBullet"/>
      </w:pPr>
      <w:r>
        <w:rPr>
          <w:rFonts w:ascii="Calibri" w:hAnsi="Calibri"/>
          <w:b/>
          <w:i w:val="0"/>
          <w:color w:val="20252B"/>
          <w:sz w:val="22"/>
        </w:rPr>
        <w:t xml:space="preserve">Second target: </w:t>
      </w:r>
      <w:r>
        <w:rPr>
          <w:rFonts w:ascii="Calibri" w:hAnsi="Calibri"/>
          <w:b w:val="0"/>
          <w:i w:val="0"/>
          <w:color w:val="20252B"/>
          <w:sz w:val="22"/>
        </w:rPr>
        <w:t>small screen-space atmosphere stages that currently write and reread full-frame textures.</w:t>
      </w:r>
    </w:p>
    <w:p>
      <w:pPr>
        <w:pStyle w:val="ListBullet"/>
      </w:pPr>
      <w:r>
        <w:rPr>
          <w:rFonts w:ascii="Calibri" w:hAnsi="Calibri"/>
          <w:b/>
          <w:i w:val="0"/>
          <w:color w:val="20252B"/>
          <w:sz w:val="22"/>
        </w:rPr>
        <w:t xml:space="preserve">Acceptance: </w:t>
      </w:r>
      <w:r>
        <w:rPr>
          <w:rFonts w:ascii="Calibri" w:hAnsi="Calibri"/>
          <w:b w:val="0"/>
          <w:i w:val="0"/>
          <w:color w:val="20252B"/>
          <w:sz w:val="22"/>
        </w:rPr>
        <w:t>no regression in the Vulkan comparison views, especially the mountain skyline, sun disc, temporal reconstruction, and MSAA coverage.</w:t>
      </w:r>
    </w:p>
    <w:p>
      <w:pPr>
        <w:pStyle w:val="Heading2"/>
      </w:pPr>
      <w:r>
        <w:t>Phase 4 — Sparse streaming and Metal I/O</w:t>
      </w:r>
    </w:p>
    <w:p>
      <w:pPr>
        <w:pStyle w:val="ListBullet"/>
      </w:pPr>
      <w:r>
        <w:rPr>
          <w:rFonts w:ascii="Calibri" w:hAnsi="Calibri"/>
          <w:b/>
          <w:i w:val="0"/>
          <w:color w:val="20252B"/>
          <w:sz w:val="22"/>
        </w:rPr>
        <w:t xml:space="preserve">Define page ownership first. </w:t>
      </w:r>
      <w:r>
        <w:rPr>
          <w:rFonts w:ascii="Calibri" w:hAnsi="Calibri"/>
          <w:b w:val="0"/>
          <w:i w:val="0"/>
          <w:color w:val="20252B"/>
          <w:sz w:val="22"/>
        </w:rPr>
        <w:t>A page must have an explicit generation, residency state, last-use fence, and eviction policy.</w:t>
      </w:r>
    </w:p>
    <w:p>
      <w:pPr>
        <w:pStyle w:val="ListBullet"/>
      </w:pPr>
      <w:r>
        <w:rPr>
          <w:rFonts w:ascii="Calibri" w:hAnsi="Calibri"/>
          <w:b/>
          <w:i w:val="0"/>
          <w:color w:val="20252B"/>
          <w:sz w:val="22"/>
        </w:rPr>
        <w:t xml:space="preserve">Connect residency to terrain demand. </w:t>
      </w:r>
      <w:r>
        <w:rPr>
          <w:rFonts w:ascii="Calibri" w:hAnsi="Calibri"/>
          <w:b w:val="0"/>
          <w:i w:val="0"/>
          <w:color w:val="20252B"/>
          <w:sz w:val="22"/>
        </w:rPr>
        <w:t>Visible, guard, predicted, recent, and cold classifications should drive priority rather than introducing a second unrelated streaming model.</w:t>
      </w:r>
    </w:p>
    <w:p>
      <w:pPr>
        <w:pStyle w:val="ListBullet"/>
      </w:pPr>
      <w:r>
        <w:rPr>
          <w:rFonts w:ascii="Calibri" w:hAnsi="Calibri"/>
          <w:b/>
          <w:i w:val="0"/>
          <w:color w:val="20252B"/>
          <w:sz w:val="22"/>
        </w:rPr>
        <w:t xml:space="preserve">Acceptance: </w:t>
      </w:r>
      <w:r>
        <w:rPr>
          <w:rFonts w:ascii="Calibri" w:hAnsi="Calibri"/>
          <w:b w:val="0"/>
          <w:i w:val="0"/>
          <w:color w:val="20252B"/>
          <w:sz w:val="22"/>
        </w:rPr>
        <w:t>bounded memory, no use-after-eviction, stable traversal without visible holes, and lower CPU copy overhead.</w:t>
      </w:r>
    </w:p>
    <w:p>
      <w:pPr>
        <w:pStyle w:val="Heading2"/>
      </w:pPr>
      <w:r>
        <w:t>Phase 5 — Ray tracing and frame interpolation</w:t>
      </w:r>
    </w:p>
    <w:p>
      <w:pPr>
        <w:pStyle w:val="ListBullet"/>
      </w:pPr>
      <w:r>
        <w:rPr>
          <w:rFonts w:ascii="Calibri" w:hAnsi="Calibri"/>
          <w:b/>
          <w:i w:val="0"/>
          <w:color w:val="20252B"/>
          <w:sz w:val="22"/>
        </w:rPr>
        <w:t xml:space="preserve">Ray tracing experiment: </w:t>
      </w:r>
      <w:r>
        <w:rPr>
          <w:rFonts w:ascii="Calibri" w:hAnsi="Calibri"/>
          <w:b w:val="0"/>
          <w:i w:val="0"/>
          <w:color w:val="20252B"/>
          <w:sz w:val="22"/>
        </w:rPr>
        <w:t>use a small, representative terrain region to measure acceleration-structure update cost before redesigning shadows around it.</w:t>
      </w:r>
    </w:p>
    <w:p>
      <w:pPr>
        <w:pStyle w:val="ListBullet"/>
      </w:pPr>
      <w:r>
        <w:rPr>
          <w:rFonts w:ascii="Calibri" w:hAnsi="Calibri"/>
          <w:b/>
          <w:i w:val="0"/>
          <w:color w:val="20252B"/>
          <w:sz w:val="22"/>
        </w:rPr>
        <w:t xml:space="preserve">Frame interpolation experiment: </w:t>
      </w:r>
      <w:r>
        <w:rPr>
          <w:rFonts w:ascii="Calibri" w:hAnsi="Calibri"/>
          <w:b w:val="0"/>
          <w:i w:val="0"/>
          <w:color w:val="20252B"/>
          <w:sz w:val="22"/>
        </w:rPr>
        <w:t>gate on a healthy base frame rate, high-confidence motion vectors, and an explicit low-latency mode.</w:t>
      </w:r>
    </w:p>
    <w:p>
      <w:pPr>
        <w:pStyle w:val="ListBullet"/>
      </w:pPr>
      <w:r>
        <w:rPr>
          <w:rFonts w:ascii="Calibri" w:hAnsi="Calibri"/>
          <w:b/>
          <w:i w:val="0"/>
          <w:color w:val="20252B"/>
          <w:sz w:val="22"/>
        </w:rPr>
        <w:t xml:space="preserve">Acceptance: </w:t>
      </w:r>
      <w:r>
        <w:rPr>
          <w:rFonts w:ascii="Calibri" w:hAnsi="Calibri"/>
          <w:b w:val="0"/>
          <w:i w:val="0"/>
          <w:color w:val="20252B"/>
          <w:sz w:val="22"/>
        </w:rPr>
        <w:t>optional effects must fail closed—unsupported hardware or poor confidence returns to the proven raster/native-present path automatically.</w:t>
      </w:r>
    </w:p>
    <w:p>
      <w:pPr>
        <w:pStyle w:val="Heading1"/>
      </w:pPr>
      <w:r>
        <w:t>6. Architectural guardrails</w:t>
      </w:r>
    </w:p>
    <w:p>
      <w:pPr>
        <w:pStyle w:val="ListBullet"/>
      </w:pPr>
      <w:r>
        <w:rPr>
          <w:rFonts w:ascii="Calibri" w:hAnsi="Calibri"/>
          <w:b/>
          <w:i w:val="0"/>
          <w:color w:val="20252B"/>
          <w:sz w:val="22"/>
        </w:rPr>
        <w:t xml:space="preserve">Parity before specialization. </w:t>
      </w:r>
      <w:r>
        <w:rPr>
          <w:rFonts w:ascii="Calibri" w:hAnsi="Calibri"/>
          <w:b w:val="0"/>
          <w:i w:val="0"/>
          <w:color w:val="20252B"/>
          <w:sz w:val="22"/>
        </w:rPr>
        <w:t>The native path may be faster or better, but it must remain comparable through common cameras, scene states, and diagnostic views.</w:t>
      </w:r>
    </w:p>
    <w:p>
      <w:pPr>
        <w:pStyle w:val="ListBullet"/>
      </w:pPr>
      <w:r>
        <w:rPr>
          <w:rFonts w:ascii="Calibri" w:hAnsi="Calibri"/>
          <w:b/>
          <w:i w:val="0"/>
          <w:color w:val="20252B"/>
          <w:sz w:val="22"/>
        </w:rPr>
        <w:t xml:space="preserve">Fallbacks are permanent product paths. </w:t>
      </w:r>
      <w:r>
        <w:rPr>
          <w:rFonts w:ascii="Calibri" w:hAnsi="Calibri"/>
          <w:b w:val="0"/>
          <w:i w:val="0"/>
          <w:color w:val="20252B"/>
          <w:sz w:val="22"/>
        </w:rPr>
        <w:t>Do not design them as temporary scaffolding; they support older Macs, debugging, and regression isolation.</w:t>
      </w:r>
    </w:p>
    <w:p>
      <w:pPr>
        <w:pStyle w:val="ListBullet"/>
      </w:pPr>
      <w:r>
        <w:rPr>
          <w:rFonts w:ascii="Calibri" w:hAnsi="Calibri"/>
          <w:b/>
          <w:i w:val="0"/>
          <w:color w:val="20252B"/>
          <w:sz w:val="22"/>
        </w:rPr>
        <w:t xml:space="preserve">No feature without telemetry. </w:t>
      </w:r>
      <w:r>
        <w:rPr>
          <w:rFonts w:ascii="Calibri" w:hAnsi="Calibri"/>
          <w:b w:val="0"/>
          <w:i w:val="0"/>
          <w:color w:val="20252B"/>
          <w:sz w:val="22"/>
        </w:rPr>
        <w:t>Each optimization needs GPU time, memory cost, activation state, and a visible quality comparison.</w:t>
      </w:r>
    </w:p>
    <w:p>
      <w:pPr>
        <w:pStyle w:val="ListBullet"/>
      </w:pPr>
      <w:r>
        <w:rPr>
          <w:rFonts w:ascii="Calibri" w:hAnsi="Calibri"/>
          <w:b/>
          <w:i w:val="0"/>
          <w:color w:val="20252B"/>
          <w:sz w:val="22"/>
        </w:rPr>
        <w:t xml:space="preserve">Avoid simultaneous architectural rewrites. </w:t>
      </w:r>
      <w:r>
        <w:rPr>
          <w:rFonts w:ascii="Calibri" w:hAnsi="Calibri"/>
          <w:b w:val="0"/>
          <w:i w:val="0"/>
          <w:color w:val="20252B"/>
          <w:sz w:val="22"/>
        </w:rPr>
        <w:t>Land MetalFX before mesh shaders; land GPU-driven submission before sparse streaming; establish page ownership before Metal I/O.</w:t>
      </w:r>
    </w:p>
    <w:p>
      <w:pPr>
        <w:pStyle w:val="ListBullet"/>
      </w:pPr>
      <w:r>
        <w:rPr>
          <w:rFonts w:ascii="Calibri" w:hAnsi="Calibri"/>
          <w:b/>
          <w:i w:val="0"/>
          <w:color w:val="20252B"/>
          <w:sz w:val="22"/>
        </w:rPr>
        <w:t xml:space="preserve">Preserve the full UI. </w:t>
      </w:r>
      <w:r>
        <w:rPr>
          <w:rFonts w:ascii="Calibri" w:hAnsi="Calibri"/>
          <w:b w:val="0"/>
          <w:i w:val="0"/>
          <w:color w:val="20252B"/>
          <w:sz w:val="22"/>
        </w:rPr>
        <w:t>Expose native feature toggles and diagnostics alongside existing controls without forking the product experience.</w:t>
      </w:r>
    </w:p>
    <w:p>
      <w:pPr>
        <w:pStyle w:val="Heading1"/>
      </w:pPr>
      <w:r>
        <w:t>7. Key risks</w:t>
      </w:r>
    </w:p>
    <w:p>
      <w:r>
        <w:rPr>
          <w:rFonts w:ascii="Calibri" w:hAnsi="Calibri"/>
          <w:b/>
          <w:i w:val="0"/>
          <w:color w:val="20252B"/>
          <w:sz w:val="22"/>
        </w:rPr>
        <w:t>Temporal data quality.</w:t>
      </w:r>
      <w:r>
        <w:rPr>
          <w:rFonts w:ascii="Calibri" w:hAnsi="Calibri"/>
          <w:b w:val="0"/>
          <w:i w:val="0"/>
          <w:color w:val="20252B"/>
          <w:sz w:val="22"/>
        </w:rPr>
        <w:t xml:space="preserve"> Motion vectors that do not track terrain regeneration and LOD changes will make MetalFX and frame interpolation visibly worse than spatial scaling.</w:t>
      </w:r>
    </w:p>
    <w:p>
      <w:r>
        <w:rPr>
          <w:rFonts w:ascii="Calibri" w:hAnsi="Calibri"/>
          <w:b/>
          <w:i w:val="0"/>
          <w:color w:val="20252B"/>
          <w:sz w:val="22"/>
        </w:rPr>
        <w:t>Dynamic terrain and ray tracing.</w:t>
      </w:r>
      <w:r>
        <w:rPr>
          <w:rFonts w:ascii="Calibri" w:hAnsi="Calibri"/>
          <w:b w:val="0"/>
          <w:i w:val="0"/>
          <w:color w:val="20252B"/>
          <w:sz w:val="22"/>
        </w:rPr>
        <w:t xml:space="preserve"> Rebuilding acceleration structures for frequently changing geometry can erase the benefit of ray-traced shadows.</w:t>
      </w:r>
    </w:p>
    <w:p>
      <w:r>
        <w:rPr>
          <w:rFonts w:ascii="Calibri" w:hAnsi="Calibri"/>
          <w:b/>
          <w:i w:val="0"/>
          <w:color w:val="20252B"/>
          <w:sz w:val="22"/>
        </w:rPr>
        <w:t>Resource lifetime complexity.</w:t>
      </w:r>
      <w:r>
        <w:rPr>
          <w:rFonts w:ascii="Calibri" w:hAnsi="Calibri"/>
          <w:b w:val="0"/>
          <w:i w:val="0"/>
          <w:color w:val="20252B"/>
          <w:sz w:val="22"/>
        </w:rPr>
        <w:t xml:space="preserve"> Indirect work, sparse residency, and asynchronous I/O make generation tracking and fence ownership correctness-critical.</w:t>
      </w:r>
    </w:p>
    <w:p>
      <w:r>
        <w:rPr>
          <w:rFonts w:ascii="Calibri" w:hAnsi="Calibri"/>
          <w:b/>
          <w:i w:val="0"/>
          <w:color w:val="20252B"/>
          <w:sz w:val="22"/>
        </w:rPr>
        <w:t>Hardware fragmentation.</w:t>
      </w:r>
      <w:r>
        <w:rPr>
          <w:rFonts w:ascii="Calibri" w:hAnsi="Calibri"/>
          <w:b w:val="0"/>
          <w:i w:val="0"/>
          <w:color w:val="20252B"/>
          <w:sz w:val="22"/>
        </w:rPr>
        <w:t xml:space="preserve"> Feature availability varies by GPU family and macOS release; runtime gating and automated fallback coverage are mandatory.</w:t>
      </w:r>
    </w:p>
    <w:p>
      <w:r>
        <w:rPr>
          <w:rFonts w:ascii="Calibri" w:hAnsi="Calibri"/>
          <w:b/>
          <w:i w:val="0"/>
          <w:color w:val="20252B"/>
          <w:sz w:val="22"/>
        </w:rPr>
        <w:t>Optimization without a bottleneck.</w:t>
      </w:r>
      <w:r>
        <w:rPr>
          <w:rFonts w:ascii="Calibri" w:hAnsi="Calibri"/>
          <w:b w:val="0"/>
          <w:i w:val="0"/>
          <w:color w:val="20252B"/>
          <w:sz w:val="22"/>
        </w:rPr>
        <w:t xml:space="preserve"> Tile fusion or mesh shaders should not proceed beyond prototype unless measurements show they address a material frame-time or scale limit.</w:t>
      </w:r>
    </w:p>
    <w:p>
      <w:pPr>
        <w:pStyle w:val="Heading1"/>
      </w:pPr>
      <w:r>
        <w:t>8. Recommended immediate milestone</w:t>
      </w:r>
    </w:p>
    <w:p>
      <w:pPr>
        <w:spacing w:before="120" w:after="200" w:line="264" w:lineRule="auto"/>
        <w:ind w:left="259" w:right="259"/>
        <w:shd w:fill="EAF2F8"/>
        <w:pBdr>
          <w:left w:val="single" w:sz="18" w:color="2E74B5" w:space="8"/>
        </w:pBdr>
      </w:pPr>
      <w:r>
        <w:rPr>
          <w:rFonts w:ascii="Calibri" w:hAnsi="Calibri"/>
          <w:b/>
          <w:i w:val="0"/>
          <w:color w:val="1F4D78"/>
          <w:sz w:val="22"/>
        </w:rPr>
        <w:t xml:space="preserve">Next milestone  </w:t>
      </w:r>
      <w:r>
        <w:rPr>
          <w:rFonts w:ascii="Calibri" w:hAnsi="Calibri"/>
          <w:b w:val="0"/>
          <w:i w:val="0"/>
          <w:color w:val="20252B"/>
          <w:sz w:val="22"/>
        </w:rPr>
        <w:t>Build a MetalFX temporal-upscaling prototype with correct motion vectors, camera jitter, depth, and silhouette validation. Keep the current native-resolution and custom scaling modes selectable. Once the mountain skyline, atmosphere, wireframe, and rapid-motion checks pass, use its telemetry to set the internal-resolution default and begin the GPU-driven terrain foundation.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3"/>
        <w:sz w:val="18"/>
      </w:rPr>
      <w:t xml:space="preserve">TetWorldMetal  |  </w:t>
    </w:r>
    <w:r>
      <w:rPr>
        <w:rFonts w:ascii="Calibri" w:hAnsi="Calibri"/>
        <w:b w:val="0"/>
        <w:i w:val="0"/>
        <w:color w:val="5E68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E6873"/>
        <w:sz w:val="18"/>
      </w:rPr>
      <w:t>TETWORLD PROJECT  /  ENGINEERING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