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a3f66998e5af74aa2c1b878fcae8acc8e8c4915"/>
    <w:p>
      <w:pPr>
        <w:pStyle w:val="Heading1"/>
      </w:pPr>
      <w:r>
        <w:t xml:space="preserve">Learning in Companies: Second Chance or Parallel System?</w:t>
      </w:r>
    </w:p>
    <w:p>
      <w:pPr>
        <w:pStyle w:val="FirstParagraph"/>
      </w:pPr>
      <w:r>
        <w:t xml:space="preserve">For millions of workers, the most serious learning they do happens not at a university but at their workplace. The employee who learns Python through a company-sponsored platform, the manager who develops leadership skills through an AI coaching tool, the technician who masters new equipment in a VR simulation – these are not exceptions. They are becoming the norm.</w:t>
      </w:r>
    </w:p>
    <w:p>
      <w:pPr>
        <w:pStyle w:val="BodyText"/>
      </w:pPr>
      <w:r>
        <w:t xml:space="preserve">This raises a question the education debate too often ignores: if corporate learning is now where skills actually get built, what does that tell us about the system it is compensating for?</w:t>
      </w:r>
    </w:p>
    <w:bookmarkStart w:id="9" w:name="what-companies-fix-and-what-they-cant"/>
    <w:p>
      <w:pPr>
        <w:pStyle w:val="Heading2"/>
      </w:pPr>
      <w:r>
        <w:t xml:space="preserve">What Companies Fix – and What They Can’t</w:t>
      </w:r>
    </w:p>
    <w:p>
      <w:pPr>
        <w:pStyle w:val="FirstParagraph"/>
      </w:pPr>
      <w:r>
        <w:t xml:space="preserve">Corporate learning has stepped into gaps that universities and colleges have struggled to close. Three failures stand out.</w:t>
      </w:r>
    </w:p>
    <w:p>
      <w:pPr>
        <w:numPr>
          <w:ilvl w:val="0"/>
          <w:numId w:val="1001"/>
        </w:numPr>
      </w:pPr>
      <w:r>
        <w:rPr>
          <w:b/>
          <w:bCs/>
        </w:rPr>
        <w:t xml:space="preserve">The skills gap.</w:t>
      </w:r>
      <w:r>
        <w:t xml:space="preserve"> </w:t>
      </w:r>
      <w:r>
        <w:t xml:space="preserve">University curricula update on multi-year cycles. AI tools evolve monthly. The World Economic Forum projects that 39% of workers’ core skills will change by 2030, yet traditional education has struggled to keep pace. Given this mismatch, companies increasingly feel they have no choice but to build the capabilities they need internally. The cost of not doing so is staggering: IDC estimates that sustained skills shortages risk $5.5 trillion in global economic losses.</w:t>
      </w:r>
    </w:p>
    <w:p>
      <w:pPr>
        <w:numPr>
          <w:ilvl w:val="0"/>
          <w:numId w:val="1001"/>
        </w:numPr>
      </w:pPr>
      <w:r>
        <w:rPr>
          <w:b/>
          <w:bCs/>
        </w:rPr>
        <w:t xml:space="preserve">The speed gap.</w:t>
      </w:r>
      <w:r>
        <w:t xml:space="preserve"> </w:t>
      </w:r>
      <w:r>
        <w:t xml:space="preserve">A four-year degree was designed for a world where knowledge stayed relevant for decades. By some estimates, 80% of the engineering workforce alone needs upskilling through 2027 just to keep pace with generative AI. Companies need employees who can learn in weeks, not years, and they are building systems to make that possible.</w:t>
      </w:r>
    </w:p>
    <w:p>
      <w:pPr>
        <w:numPr>
          <w:ilvl w:val="0"/>
          <w:numId w:val="1001"/>
        </w:numPr>
      </w:pPr>
      <w:r>
        <w:rPr>
          <w:b/>
          <w:bCs/>
        </w:rPr>
        <w:t xml:space="preserve">The cost and access gap.</w:t>
      </w:r>
      <w:r>
        <w:t xml:space="preserve"> </w:t>
      </w:r>
      <w:r>
        <w:t xml:space="preserve">Sixty-five percent of employers now implement skills-based hiring for entry-level positions. Pennsylvania eliminated bachelor’s degree requirements for 92% of government roles and saw 41% more hires in the first year. Seventy million Americans possess competencies employers need but lack traditional credentials. Corporate learning systems offer these workers a path that the traditional system blocked.</w:t>
      </w:r>
    </w:p>
    <w:p>
      <w:pPr>
        <w:pStyle w:val="FirstParagraph"/>
      </w:pPr>
      <w:r>
        <w:t xml:space="preserve">But there is a boundary that matters. Companies train for their needs, not yours. Corporate learning excels at building specific, applied skills. It does not and cannot replace what higher education is supposed to provide at its best:</w:t>
      </w:r>
    </w:p>
    <w:p>
      <w:pPr>
        <w:pStyle w:val="Compact"/>
        <w:numPr>
          <w:ilvl w:val="0"/>
          <w:numId w:val="1002"/>
        </w:numPr>
      </w:pPr>
      <w:r>
        <w:rPr>
          <w:b/>
          <w:bCs/>
        </w:rPr>
        <w:t xml:space="preserve">Foundational knowledge.</w:t>
      </w:r>
      <w:r>
        <w:t xml:space="preserve"> </w:t>
      </w:r>
      <w:r>
        <w:t xml:space="preserve">The broad intellectual base – in science, history, mathematics, philosophy – that allows a person to learn anything, not just the next tool.</w:t>
      </w:r>
    </w:p>
    <w:p>
      <w:pPr>
        <w:pStyle w:val="Compact"/>
        <w:numPr>
          <w:ilvl w:val="0"/>
          <w:numId w:val="1002"/>
        </w:numPr>
      </w:pPr>
      <w:r>
        <w:rPr>
          <w:b/>
          <w:bCs/>
        </w:rPr>
        <w:t xml:space="preserve">Critical thinking and judgment.</w:t>
      </w:r>
      <w:r>
        <w:t xml:space="preserve"> </w:t>
      </w:r>
      <w:r>
        <w:t xml:space="preserve">The ability to question assumptions, evaluate evidence, and reason through ambiguity. These are developed through years of practice, not a two-week module.</w:t>
      </w:r>
    </w:p>
    <w:p>
      <w:pPr>
        <w:pStyle w:val="Compact"/>
        <w:numPr>
          <w:ilvl w:val="0"/>
          <w:numId w:val="1002"/>
        </w:numPr>
      </w:pPr>
      <w:r>
        <w:rPr>
          <w:b/>
          <w:bCs/>
        </w:rPr>
        <w:t xml:space="preserve">Civic education.</w:t>
      </w:r>
      <w:r>
        <w:t xml:space="preserve"> </w:t>
      </w:r>
      <w:r>
        <w:t xml:space="preserve">Understanding democratic institutions, ethical reasoning, and social responsibility. No company has a business case for teaching you how to be a citizen.</w:t>
      </w:r>
    </w:p>
    <w:p>
      <w:pPr>
        <w:pStyle w:val="Compact"/>
        <w:numPr>
          <w:ilvl w:val="0"/>
          <w:numId w:val="1002"/>
        </w:numPr>
      </w:pPr>
      <w:r>
        <w:rPr>
          <w:b/>
          <w:bCs/>
        </w:rPr>
        <w:t xml:space="preserve">Research and discovery.</w:t>
      </w:r>
      <w:r>
        <w:t xml:space="preserve"> </w:t>
      </w:r>
      <w:r>
        <w:t xml:space="preserve">Basic science, long-term inquiry, and the creation of new knowledge happen at universities because they are not subject to quarterly earnings pressure.</w:t>
      </w:r>
    </w:p>
    <w:p>
      <w:pPr>
        <w:pStyle w:val="FirstParagraph"/>
      </w:pPr>
      <w:r>
        <w:t xml:space="preserve">The honest picture is this: corporate learning compensates for higher education’s failure to stay current and accessible. But it depends on foundational education having done its job first. When it hasn’t, no amount of corporate training can fill the gap. The two systems need each other – and both need to be better.</w:t>
      </w:r>
    </w:p>
    <w:bookmarkEnd w:id="9"/>
    <w:bookmarkStart w:id="10" w:name="X557c383b66632b267f43122f3602b4926317aef"/>
    <w:p>
      <w:pPr>
        <w:pStyle w:val="Heading2"/>
      </w:pPr>
      <w:r>
        <w:t xml:space="preserve">When Corporate Learning Expands Opportunity: A Typology</w:t>
      </w:r>
    </w:p>
    <w:p>
      <w:pPr>
        <w:pStyle w:val="FirstParagraph"/>
      </w:pPr>
      <w:r>
        <w:t xml:space="preserve">Corporate learning is positioned in this chapter as both a solution and a constraint. It solves genuine problems that traditional higher education has failed to address: it moves at the speed of labour-market change, it offers access to workers outside the traditional pipeline, and it bridges the gap between what education teaches and what employers need. But Chapter 06 showed that corporate learning systems also concentrate power in employer hands, narrow curriculum to what serves the employer, and can lock workers into dependency on their current employer.</w:t>
      </w:r>
    </w:p>
    <w:p>
      <w:pPr>
        <w:pStyle w:val="BodyText"/>
      </w:pPr>
      <w:r>
        <w:t xml:space="preserve">This apparent contradiction dissolves once you recognise that there is not one form of corporate learning. There are at least three, and they have radically different equity implications.</w:t>
      </w:r>
    </w:p>
    <w:p>
      <w:pPr>
        <w:pStyle w:val="BodyText"/>
      </w:pPr>
      <w:r>
        <w:rPr>
          <w:b/>
          <w:bCs/>
        </w:rPr>
        <w:t xml:space="preserve">Type 1: Portable Skills and Credentials (Expands Opportunity)</w:t>
      </w:r>
    </w:p>
    <w:p>
      <w:pPr>
        <w:pStyle w:val="BodyText"/>
      </w:pPr>
      <w:r>
        <w:t xml:space="preserve">Some corporate learning systems are explicitly designed around portability and worker benefit. In these models:</w:t>
      </w:r>
    </w:p>
    <w:p>
      <w:pPr>
        <w:pStyle w:val="Compact"/>
        <w:numPr>
          <w:ilvl w:val="0"/>
          <w:numId w:val="1003"/>
        </w:numPr>
      </w:pPr>
      <w:r>
        <w:t xml:space="preserve">The skills being taught transfer across employers. A cloud engineering certification from one company is valuable at the next one. An AI skills course funded by one employer does not become worthless if the worker changes jobs.</w:t>
      </w:r>
    </w:p>
    <w:p>
      <w:pPr>
        <w:pStyle w:val="Compact"/>
        <w:numPr>
          <w:ilvl w:val="0"/>
          <w:numId w:val="1003"/>
        </w:numPr>
      </w:pPr>
      <w:r>
        <w:t xml:space="preserve">Credentials are owned by the worker. The company funds the learning; the worker owns the certification, the badge, the evidence of capability. This is fundamentally different from company-specific training that has no value outside that employer.</w:t>
      </w:r>
    </w:p>
    <w:p>
      <w:pPr>
        <w:pStyle w:val="Compact"/>
        <w:numPr>
          <w:ilvl w:val="0"/>
          <w:numId w:val="1003"/>
        </w:numPr>
      </w:pPr>
      <w:r>
        <w:t xml:space="preserve">The curriculum is broadly defined, not narrowed to immediate company needs. A worker who wants to study leadership, communication, or even unrelated subjects has options.</w:t>
      </w:r>
    </w:p>
    <w:p>
      <w:pPr>
        <w:pStyle w:val="Compact"/>
        <w:numPr>
          <w:ilvl w:val="0"/>
          <w:numId w:val="1003"/>
        </w:numPr>
      </w:pPr>
      <w:r>
        <w:t xml:space="preserve">There are no clawback clauses or penalties for leaving before completion. The education belongs to the learner.</w:t>
      </w:r>
    </w:p>
    <w:p>
      <w:pPr>
        <w:pStyle w:val="Compact"/>
        <w:numPr>
          <w:ilvl w:val="0"/>
          <w:numId w:val="1003"/>
        </w:numPr>
      </w:pPr>
      <w:r>
        <w:t xml:space="preserve">The programmes are openly offered, often in partnership with universities or external providers, meaning they maintain some independence from employer control.</w:t>
      </w:r>
    </w:p>
    <w:p>
      <w:pPr>
        <w:pStyle w:val="FirstParagraph"/>
      </w:pPr>
      <w:r>
        <w:t xml:space="preserve">This is the model that genuinely solves the access problem. A warehouse worker at Amazon who completes a cloud engineering micro-credential funded by their employer now has a skill that is genuinely valuable in the external labour market. They have mobility they would not otherwise have. The employer benefits (they get a better-trained workforce), and the worker benefits (they have expanded options). This is not zero-sum.</w:t>
      </w:r>
    </w:p>
    <w:p>
      <w:pPr>
        <w:pStyle w:val="BodyText"/>
      </w:pPr>
      <w:r>
        <w:rPr>
          <w:b/>
          <w:bCs/>
        </w:rPr>
        <w:t xml:space="preserve">Type 2: Employer-Aligned and Vendor-Restricted (Constrained Opportunity)</w:t>
      </w:r>
    </w:p>
    <w:p>
      <w:pPr>
        <w:pStyle w:val="BodyText"/>
      </w:pPr>
      <w:r>
        <w:t xml:space="preserve">Many corporate learning systems, particularly those run by platforms like Guild Education, are explicitly designed around employer benefit and curriculum curation. In these models:</w:t>
      </w:r>
    </w:p>
    <w:p>
      <w:pPr>
        <w:pStyle w:val="Compact"/>
        <w:numPr>
          <w:ilvl w:val="0"/>
          <w:numId w:val="1004"/>
        </w:numPr>
      </w:pPr>
      <w:r>
        <w:t xml:space="preserve">The skills are employer-specific. A course in</w:t>
      </w:r>
      <w:r>
        <w:t xml:space="preserve"> </w:t>
      </w:r>
      <w:r>
        <w:t xml:space="preserve">“effective customer service at your company”</w:t>
      </w:r>
      <w:r>
        <w:t xml:space="preserve"> </w:t>
      </w:r>
      <w:r>
        <w:t xml:space="preserve">has limited value elsewhere.</w:t>
      </w:r>
    </w:p>
    <w:p>
      <w:pPr>
        <w:pStyle w:val="Compact"/>
        <w:numPr>
          <w:ilvl w:val="0"/>
          <w:numId w:val="1004"/>
        </w:numPr>
      </w:pPr>
      <w:r>
        <w:t xml:space="preserve">The curriculum is pre-selected by the company. Employees choose from what their employer makes available, not from the full landscape of education. A logistics worker passionate about music production or philosophy finds those options absent.</w:t>
      </w:r>
    </w:p>
    <w:p>
      <w:pPr>
        <w:pStyle w:val="Compact"/>
        <w:numPr>
          <w:ilvl w:val="0"/>
          <w:numId w:val="1004"/>
        </w:numPr>
      </w:pPr>
      <w:r>
        <w:t xml:space="preserve">Credentials may be company-specific. A certificate earned as a</w:t>
      </w:r>
      <w:r>
        <w:t xml:space="preserve"> </w:t>
      </w:r>
      <w:r>
        <w:t xml:space="preserve">“Chipotle-trained manager”</w:t>
      </w:r>
      <w:r>
        <w:t xml:space="preserve"> </w:t>
      </w:r>
      <w:r>
        <w:t xml:space="preserve">signals value to Chipotle; its value to other employers is much lower.</w:t>
      </w:r>
    </w:p>
    <w:p>
      <w:pPr>
        <w:pStyle w:val="Compact"/>
        <w:numPr>
          <w:ilvl w:val="0"/>
          <w:numId w:val="1004"/>
        </w:numPr>
      </w:pPr>
      <w:r>
        <w:t xml:space="preserve">Worker mobility is restricted. If you start a programme funded by your employer, you face pressure and sometimes explicit penalties for leaving before completion.</w:t>
      </w:r>
    </w:p>
    <w:p>
      <w:pPr>
        <w:pStyle w:val="Compact"/>
        <w:numPr>
          <w:ilvl w:val="0"/>
          <w:numId w:val="1004"/>
        </w:numPr>
      </w:pPr>
      <w:r>
        <w:t xml:space="preserve">The learning system is proprietary to the company or vendor. There is no external reference point for quality, no independent audit of what the worker actually learned, no transparency about how curriculum decisions are made.</w:t>
      </w:r>
    </w:p>
    <w:p>
      <w:pPr>
        <w:pStyle w:val="FirstParagraph"/>
      </w:pPr>
      <w:r>
        <w:t xml:space="preserve">This model genuinely constrains opportunity, even as it appears to expand access. It solves the financial barrier (tuition is free), but it recreates the power imbalance: instead of a student powerless relative to a university, you have a worker powerless relative to their employer. The constraint is all the sharper because the worker’s livelihood is directly tied to the employer.</w:t>
      </w:r>
    </w:p>
    <w:p>
      <w:pPr>
        <w:pStyle w:val="BodyText"/>
      </w:pPr>
      <w:r>
        <w:rPr>
          <w:b/>
          <w:bCs/>
        </w:rPr>
        <w:t xml:space="preserve">Type 3: Foundational and Broad (Equitable if Public)</w:t>
      </w:r>
    </w:p>
    <w:p>
      <w:pPr>
        <w:pStyle w:val="BodyText"/>
      </w:pPr>
      <w:r>
        <w:t xml:space="preserve">A third model exists at the intersection: employers fund broad, foundational learning for their workforce, but make it part of public provision rather than proprietary company systems. This might look like:</w:t>
      </w:r>
    </w:p>
    <w:p>
      <w:pPr>
        <w:pStyle w:val="Compact"/>
        <w:numPr>
          <w:ilvl w:val="0"/>
          <w:numId w:val="1005"/>
        </w:numPr>
      </w:pPr>
      <w:r>
        <w:t xml:space="preserve">Large employers funding regional community colleges or public universities to expand capacity in foundational subjects (mathematics, writing, critical thinking, digital literacy).</w:t>
      </w:r>
    </w:p>
    <w:p>
      <w:pPr>
        <w:pStyle w:val="Compact"/>
        <w:numPr>
          <w:ilvl w:val="0"/>
          <w:numId w:val="1005"/>
        </w:numPr>
      </w:pPr>
      <w:r>
        <w:t xml:space="preserve">Employer participation in curriculum design, but with academic institutions maintaining independence and authority over learning outcomes.</w:t>
      </w:r>
    </w:p>
    <w:p>
      <w:pPr>
        <w:pStyle w:val="Compact"/>
        <w:numPr>
          <w:ilvl w:val="0"/>
          <w:numId w:val="1005"/>
        </w:numPr>
      </w:pPr>
      <w:r>
        <w:t xml:space="preserve">Credentials issued by the educational institution, not the company, so they have value in the external labour market.</w:t>
      </w:r>
    </w:p>
    <w:p>
      <w:pPr>
        <w:pStyle w:val="Compact"/>
        <w:numPr>
          <w:ilvl w:val="0"/>
          <w:numId w:val="1005"/>
        </w:numPr>
      </w:pPr>
      <w:r>
        <w:t xml:space="preserve">Open access: employees get priority, but the programmes are available to broader populations.</w:t>
      </w:r>
    </w:p>
    <w:p>
      <w:pPr>
        <w:pStyle w:val="FirstParagraph"/>
      </w:pPr>
      <w:r>
        <w:t xml:space="preserve">This model requires a public commitment that most corporations do not have. It is why it remains rare. But it exists in some European systems where employer contributions to universities are part of a broader policy commitment to public education.</w:t>
      </w:r>
    </w:p>
    <w:p>
      <w:pPr>
        <w:pStyle w:val="BodyText"/>
      </w:pPr>
      <w:r>
        <w:rPr>
          <w:b/>
          <w:bCs/>
        </w:rPr>
        <w:t xml:space="preserve">The Framework for When Corporate Learning Strengthens Public Goals:</w:t>
      </w:r>
    </w:p>
    <w:p>
      <w:pPr>
        <w:pStyle w:val="BodyText"/>
      </w:pPr>
      <w:r>
        <w:t xml:space="preserve">Corporate learning expands opportunity and strengthens public education goals when:</w:t>
      </w:r>
      <w:r>
        <w:t xml:space="preserve"> </w:t>
      </w:r>
      <w:r>
        <w:t xml:space="preserve">-</w:t>
      </w:r>
      <w:r>
        <w:t xml:space="preserve"> </w:t>
      </w:r>
      <w:r>
        <w:rPr>
          <w:b/>
          <w:bCs/>
        </w:rPr>
        <w:t xml:space="preserve">Skills are portable.</w:t>
      </w:r>
      <w:r>
        <w:t xml:space="preserve"> </w:t>
      </w:r>
      <w:r>
        <w:t xml:space="preserve">The worker’s credential has value at multiple employers, not just one.</w:t>
      </w:r>
      <w:r>
        <w:t xml:space="preserve"> </w:t>
      </w:r>
      <w:r>
        <w:t xml:space="preserve">-</w:t>
      </w:r>
      <w:r>
        <w:t xml:space="preserve"> </w:t>
      </w:r>
      <w:r>
        <w:rPr>
          <w:b/>
          <w:bCs/>
        </w:rPr>
        <w:t xml:space="preserve">Credentials are worker-owned.</w:t>
      </w:r>
      <w:r>
        <w:t xml:space="preserve"> </w:t>
      </w:r>
      <w:r>
        <w:t xml:space="preserve">The learner, not the company, controls what can be done with the credential.</w:t>
      </w:r>
      <w:r>
        <w:t xml:space="preserve"> </w:t>
      </w:r>
      <w:r>
        <w:t xml:space="preserve">-</w:t>
      </w:r>
      <w:r>
        <w:t xml:space="preserve"> </w:t>
      </w:r>
      <w:r>
        <w:rPr>
          <w:b/>
          <w:bCs/>
        </w:rPr>
        <w:t xml:space="preserve">Curriculum is broad.</w:t>
      </w:r>
      <w:r>
        <w:t xml:space="preserve"> </w:t>
      </w:r>
      <w:r>
        <w:t xml:space="preserve">The worker can choose from options that go beyond immediate company needs.</w:t>
      </w:r>
      <w:r>
        <w:t xml:space="preserve"> </w:t>
      </w:r>
      <w:r>
        <w:t xml:space="preserve">-</w:t>
      </w:r>
      <w:r>
        <w:t xml:space="preserve"> </w:t>
      </w:r>
      <w:r>
        <w:rPr>
          <w:b/>
          <w:bCs/>
        </w:rPr>
        <w:t xml:space="preserve">There are no lock-in penalties.</w:t>
      </w:r>
      <w:r>
        <w:t xml:space="preserve"> </w:t>
      </w:r>
      <w:r>
        <w:t xml:space="preserve">Workers can change jobs without losing progress or facing financial clawback.</w:t>
      </w:r>
      <w:r>
        <w:t xml:space="preserve"> </w:t>
      </w:r>
      <w:r>
        <w:t xml:space="preserve">-</w:t>
      </w:r>
      <w:r>
        <w:t xml:space="preserve"> </w:t>
      </w:r>
      <w:r>
        <w:rPr>
          <w:b/>
          <w:bCs/>
        </w:rPr>
        <w:t xml:space="preserve">Systems are transparent and accountable.</w:t>
      </w:r>
      <w:r>
        <w:t xml:space="preserve"> </w:t>
      </w:r>
      <w:r>
        <w:t xml:space="preserve">The quality and content of learning are visible to external parties, not hidden behind proprietary platforms.</w:t>
      </w:r>
    </w:p>
    <w:p>
      <w:pPr>
        <w:pStyle w:val="BodyText"/>
      </w:pPr>
      <w:r>
        <w:t xml:space="preserve">Corporate learning constrains public goals when the opposite is true: skills are narrow, credentials are company-specific, curriculum is curated by employers, lock-in is strong, and systems are opaque.</w:t>
      </w:r>
    </w:p>
    <w:p>
      <w:pPr>
        <w:pStyle w:val="BodyText"/>
      </w:pPr>
      <w:r>
        <w:t xml:space="preserve">The policy implication is clear: public investment in corporate learning should be directed exclusively toward Type 1 and Type 3 models. Subsidising Type 2 models – employer-curated, worker-locked-in systems – is not expanding opportunity. It is privatising the gains from workforce education while privatising the constraints on who has access and what they are allowed to learn.</w:t>
      </w:r>
    </w:p>
    <w:p>
      <w:pPr>
        <w:pStyle w:val="BodyText"/>
      </w:pPr>
      <w:r>
        <w:rPr>
          <w:b/>
          <w:bCs/>
        </w:rPr>
        <w:t xml:space="preserve">The Type 2 problem requires a more honest reckoning than this prescription suggests.</w:t>
      </w:r>
      <w:r>
        <w:t xml:space="preserve"> </w:t>
      </w:r>
      <w:r>
        <w:t xml:space="preserve">The recommendation to direct public investment exclusively toward Type 1 and Type 3 models is normatively sound but descriptively incomplete. In practice, most corporate learning is Type 2. Guild Education’s reported outcomes – 2.5 times internal mobility, 76% retention – come from a Type 2 model. The majority of employer-sponsored training worldwide is employer-curated, narrowly scoped, and designed primarily to serve the company’s workforce needs. Telling policymakers to fund only Type 1 and Type 3 models, without acknowledging that Type 2 dominates the actual landscape, risks producing a recommendation that is correct in principle but irrelevant in practice.</w:t>
      </w:r>
    </w:p>
    <w:p>
      <w:pPr>
        <w:pStyle w:val="BodyText"/>
      </w:pPr>
      <w:r>
        <w:t xml:space="preserve">A more realistic approach is transitional: set minimum portability and breadth standards that Type 2 models must meet to qualify for public subsidy, rather than excluding them categorically. If an employer-sponsored programme leads to a credential that is recognised by at least three other employers in the same sector, that is meaningfully more portable than a purely internal certificate. If the curriculum includes at least 20% foundational or transferable content (communication, critical thinking, digital literacy) alongside employer-specific training, that is meaningfully broader than pure skills-dumping. These thresholds are imperfect, but they create incentives for Type 2 models to move toward Type 1 characteristics – which is more achievable than expecting the entire corporate learning landscape to reorganise around models that barely exist at scale.</w:t>
      </w:r>
    </w:p>
    <w:p>
      <w:pPr>
        <w:pStyle w:val="BodyText"/>
      </w:pPr>
      <w:r>
        <w:t xml:space="preserve">For workers, the practical implication is equally clear: if your employer offers learning, ask the critical questions. Is the credential portable? Can you take it with you? What if you leave before finishing? Are you choosing from options, or accepting what the company selected? The difference between a learning benefit and a golden handcuff is not always obvious. But it matters enormously for your future.</w:t>
      </w:r>
    </w:p>
    <w:bookmarkEnd w:id="10"/>
    <w:bookmarkStart w:id="14" w:name="X4cd97c5b3e620634fb6d43880334000a7006554"/>
    <w:p>
      <w:pPr>
        <w:pStyle w:val="Heading2"/>
      </w:pPr>
      <w:r>
        <w:t xml:space="preserve">The New Landscape: From Credentials to Capabilities</w:t>
      </w:r>
    </w:p>
    <w:bookmarkStart w:id="11" w:name="the-skills-first-revolution"/>
    <w:p>
      <w:pPr>
        <w:pStyle w:val="Heading3"/>
      </w:pPr>
      <w:r>
        <w:t xml:space="preserve">The Skills-First Revolution</w:t>
      </w:r>
    </w:p>
    <w:p>
      <w:pPr>
        <w:pStyle w:val="FirstParagraph"/>
      </w:pPr>
      <w:r>
        <w:t xml:space="preserve">The traditional contract between formal education and employment is under pressure. Skills are becoming a growing currency in the labour market – though longitudinal data shows the shift from rhetoric to practice remains narrow (the Burning Glass Institute found that dropping degree requirements changed actual hiring by only 3.5 percentage points per affected role). Still, the direction is clear. Half of tech jobs now require AI skills, up from 20% in 2020. Ninety-four percent of CEOs and CHROs identify AI as their top in-demand skill.</w:t>
      </w:r>
    </w:p>
    <w:p>
      <w:pPr>
        <w:pStyle w:val="BodyText"/>
      </w:pPr>
      <w:r>
        <w:t xml:space="preserve">Yet the gap between demand and readiness remains wide: only 35% of leaders feel they have prepared employees effectively for AI roles. Only one-third of employees report receiving any AI training in the past year, even as half of employers struggle to fill AI-related positions. The gap between what organizations need and what their people can do is widening, not closing.</w:t>
      </w:r>
    </w:p>
    <w:bookmarkEnd w:id="11"/>
    <w:bookmarkStart w:id="12" w:name="the-ai-skills-paradox"/>
    <w:p>
      <w:pPr>
        <w:pStyle w:val="Heading3"/>
      </w:pPr>
      <w:r>
        <w:t xml:space="preserve">The AI Skills Paradox</w:t>
      </w:r>
    </w:p>
    <w:p>
      <w:pPr>
        <w:pStyle w:val="FirstParagraph"/>
      </w:pPr>
      <w:r>
        <w:t xml:space="preserve">AI creates a peculiar double bind. It is simultaneously the biggest driver of skill obsolescence and the most powerful tool for closing skills gaps. AI-exposed roles evolve 66% faster than others and command a 56% wage premium. But the very speed that makes AI skills valuable also makes them hard to certify through traditional channels. Ninety-one percent of credential providers would need to double production of middle-skills certifications to close the gap – a target they are unlikely to reach at current capacity.</w:t>
      </w:r>
    </w:p>
    <w:p>
      <w:pPr>
        <w:pStyle w:val="BodyText"/>
      </w:pPr>
      <w:r>
        <w:t xml:space="preserve">This paradox is why corporate learning has become so important. Companies cannot wait for the education system to catch up. They must build learning infrastructure themselves or face mounting talent shortages.</w:t>
      </w:r>
    </w:p>
    <w:bookmarkEnd w:id="12"/>
    <w:bookmarkStart w:id="13" w:name="the-continuous-learning-imperative"/>
    <w:p>
      <w:pPr>
        <w:pStyle w:val="Heading3"/>
      </w:pPr>
      <w:r>
        <w:t xml:space="preserve">The Continuous Learning Imperative</w:t>
      </w:r>
    </w:p>
    <w:p>
      <w:pPr>
        <w:pStyle w:val="FirstParagraph"/>
      </w:pPr>
      <w:r>
        <w:t xml:space="preserve">The idea that education ends at graduation has collapsed. Eighty-five percent of employers plan to prioritize workforce upskilling by 2030. Half of all workers are now completing training as part of long-term learning strategies.</w:t>
      </w:r>
    </w:p>
    <w:p>
      <w:pPr>
        <w:pStyle w:val="BodyText"/>
      </w:pPr>
      <w:r>
        <w:t xml:space="preserve">But urgency outpaces action. An estimated 120 million workers worldwide face medium-term redundancy risk because they are unlikely to receive the reskilling they need. If this projection holds, the organizations that navigate this transition most successfully will be those that embed learning into daily work rather than treating it as an occasional event.</w:t>
      </w:r>
    </w:p>
    <w:p>
      <w:pPr>
        <w:pStyle w:val="BodyText"/>
      </w:pPr>
      <w:r>
        <w:t xml:space="preserve">Learning in the Flow of Work strategies – where training is woven into everyday tasks rather than pulled out into separate workshops – have demonstrated 25% productivity improvements and 20% increases in skill application rates (industry reports and vendor case studies; independent controlled studies remain limited). The distinction between</w:t>
      </w:r>
      <w:r>
        <w:t xml:space="preserve"> </w:t>
      </w:r>
      <w:r>
        <w:t xml:space="preserve">“working”</w:t>
      </w:r>
      <w:r>
        <w:t xml:space="preserve"> </w:t>
      </w:r>
      <w:r>
        <w:t xml:space="preserve">and</w:t>
      </w:r>
      <w:r>
        <w:t xml:space="preserve"> </w:t>
      </w:r>
      <w:r>
        <w:t xml:space="preserve">“learning”</w:t>
      </w:r>
      <w:r>
        <w:t xml:space="preserve"> </w:t>
      </w:r>
      <w:r>
        <w:t xml:space="preserve">is blurring, and that is by design.</w:t>
      </w:r>
    </w:p>
    <w:bookmarkEnd w:id="13"/>
    <w:bookmarkEnd w:id="14"/>
    <w:bookmarkStart w:id="18" w:name="ai-as-transformation-engine"/>
    <w:p>
      <w:pPr>
        <w:pStyle w:val="Heading2"/>
      </w:pPr>
      <w:r>
        <w:t xml:space="preserve">AI as Transformation Engine</w:t>
      </w:r>
    </w:p>
    <w:p>
      <w:pPr>
        <w:pStyle w:val="FirstParagraph"/>
      </w:pPr>
      <w:r>
        <w:rPr>
          <w:b/>
          <w:bCs/>
        </w:rPr>
        <w:t xml:space="preserve">A note on evidence quality in this section.</w:t>
      </w:r>
      <w:r>
        <w:t xml:space="preserve"> </w:t>
      </w:r>
      <w:r>
        <w:t xml:space="preserve">The claims that follow about AI-powered corporate learning draw heavily on vendor-reported data, platform case studies, and single-company implementations. Figures such as</w:t>
      </w:r>
      <w:r>
        <w:t xml:space="preserve"> </w:t>
      </w:r>
      <w:r>
        <w:t xml:space="preserve">“30–60% faster skill acquisition,”</w:t>
      </w:r>
      <w:r>
        <w:t xml:space="preserve"> </w:t>
      </w:r>
      <w:r>
        <w:t xml:space="preserve">“60% engagement improvement,”</w:t>
      </w:r>
      <w:r>
        <w:t xml:space="preserve"> </w:t>
      </w:r>
      <w:r>
        <w:t xml:space="preserve">and</w:t>
      </w:r>
      <w:r>
        <w:t xml:space="preserve"> </w:t>
      </w:r>
      <w:r>
        <w:t xml:space="preserve">“40% time-to-proficiency reduction”</w:t>
      </w:r>
      <w:r>
        <w:t xml:space="preserve"> </w:t>
      </w:r>
      <w:r>
        <w:t xml:space="preserve">are reported by the companies selling these tools or by the organisations that have adopted them. Independent, controlled studies replicating these results across multiple organisations do not yet exist. We report these figures because they represent the best available data on what these systems claim to achieve, and because ignoring them would leave the picture incomplete. But readers should treat them as indicative rather than established. The gap between vendor-reported outcomes and independently verified results is a recurring problem in EdTech, and corporate AI learning is no exception.</w:t>
      </w:r>
    </w:p>
    <w:bookmarkStart w:id="15" w:name="personalized-learning-at-scale"/>
    <w:p>
      <w:pPr>
        <w:pStyle w:val="Heading3"/>
      </w:pPr>
      <w:r>
        <w:t xml:space="preserve">Personalized Learning at Scale</w:t>
      </w:r>
    </w:p>
    <w:p>
      <w:pPr>
        <w:pStyle w:val="FirstParagraph"/>
      </w:pPr>
      <w:r>
        <w:t xml:space="preserve">For decades, learning professionals knew that one-size-fits-all training was ineffective, but they lacked the tools to do anything about it at scale. AI has changed this fundamentally.</w:t>
      </w:r>
    </w:p>
    <w:p>
      <w:pPr>
        <w:pStyle w:val="BodyText"/>
      </w:pPr>
      <w:r>
        <w:t xml:space="preserve">AI-powered platforms analyze an employee’s current skills, performance patterns, learning style, and career goals to create development plans that adapt in real time. An employee transitioning from marketing to data analytics receives a curated journey that adjusts difficulty based on their progress. A new manager gets leadership scenarios calibrated to their specific challenges.</w:t>
      </w:r>
    </w:p>
    <w:p>
      <w:pPr>
        <w:pStyle w:val="BodyText"/>
      </w:pPr>
      <w:r>
        <w:t xml:space="preserve">The results are not incremental. Organizations deploying AI-powered learning systems achieve 30-40% faster skill acquisition compared to traditional setups (vendor-reported benchmarks, not independent RCTs). Employee engagement improves by up to 60% (vendor case studies). Training completion rates rise by 22% with adaptive platforms (platform-reported data). Time-to-proficiency drops by 40% (vendor-reported, varying measurement definitions).</w:t>
      </w:r>
    </w:p>
    <w:p>
      <w:pPr>
        <w:pStyle w:val="BodyText"/>
      </w:pPr>
      <w:r>
        <w:t xml:space="preserve">These gains stem from AI’s ability to deliver what was previously impossible: true personalization for thousands of employees simultaneously. What once required dedicated coaches for each learner now scales across entire organizations.</w:t>
      </w:r>
    </w:p>
    <w:bookmarkEnd w:id="15"/>
    <w:bookmarkStart w:id="16" w:name="X6707eebb9d029f02a6fbfb5264a026343fc4daf"/>
    <w:p>
      <w:pPr>
        <w:pStyle w:val="Heading3"/>
      </w:pPr>
      <w:r>
        <w:t xml:space="preserve">Predictive Analytics: Seeing Around Corners</w:t>
      </w:r>
    </w:p>
    <w:p>
      <w:pPr>
        <w:pStyle w:val="FirstParagraph"/>
      </w:pPr>
      <w:r>
        <w:t xml:space="preserve">Traditional learning systems respond to problems after they appear. AI-powered systems anticipate them. Predictive analytics enables organizations to forecast which skills will be critical in 12-24 months, identify which employees have the potential to develop those capabilities, and invest in training before gaps become operational crises.</w:t>
      </w:r>
    </w:p>
    <w:p>
      <w:pPr>
        <w:pStyle w:val="BodyText"/>
      </w:pPr>
      <w:r>
        <w:t xml:space="preserve">The precision is remarkable. IBM’s predictive analytics achieved 95% accuracy in forecasting employee attrition (vendor-reported, single-company implementation), enabling proactive interventions that saved millions in replacement costs. Salesforce reduced turnover by 15% using predictive modeling (vendor case study). SAP cut attrition by 20% by identifying key turnover indicators early (vendor case study). These figures come from the companies themselves; independent replication studies are scarce.</w:t>
      </w:r>
    </w:p>
    <w:p>
      <w:pPr>
        <w:pStyle w:val="BodyText"/>
      </w:pPr>
      <w:r>
        <w:t xml:space="preserve">This is a genuine shift from reactive to proactive – and it extends beyond retention into workforce planning, talent mobility, and strategic capability building.</w:t>
      </w:r>
    </w:p>
    <w:bookmarkEnd w:id="16"/>
    <w:bookmarkStart w:id="17" w:name="X0d0a953db9456df612c7dfe24cc59484d46a2ef"/>
    <w:p>
      <w:pPr>
        <w:pStyle w:val="Heading3"/>
      </w:pPr>
      <w:r>
        <w:t xml:space="preserve">Immersive Technologies: Practice Without Risk</w:t>
      </w:r>
    </w:p>
    <w:p>
      <w:pPr>
        <w:pStyle w:val="FirstParagraph"/>
      </w:pPr>
      <w:r>
        <w:t xml:space="preserve">Virtual and augmented reality are turning corporate training from passive information consumption into active, experiential practice.</w:t>
      </w:r>
    </w:p>
    <w:p>
      <w:pPr>
        <w:pStyle w:val="BodyText"/>
      </w:pPr>
      <w:r>
        <w:t xml:space="preserve">Boeing uses augmented reality to guide technicians through the 50-plus steps required to assemble aircraft wings, overlaying instructions directly in their field of view. Walmart’s VR training program places associates in virtual stores to practice customer interactions, from handling returns to navigating high-pressure situations. Fidelity’s</w:t>
      </w:r>
      <w:r>
        <w:t xml:space="preserve"> </w:t>
      </w:r>
      <w:r>
        <w:t xml:space="preserve">“Fidelity Immerse”</w:t>
      </w:r>
      <w:r>
        <w:t xml:space="preserve"> </w:t>
      </w:r>
      <w:r>
        <w:t xml:space="preserve">system trains call center representatives in a virtual contact center where they roleplay with AI customers exhibiting varied personalities and financial needs.</w:t>
      </w:r>
    </w:p>
    <w:p>
      <w:pPr>
        <w:pStyle w:val="BodyText"/>
      </w:pPr>
      <w:r>
        <w:t xml:space="preserve">Beyond technical tasks, immersive technologies are proving effective for developing interpersonal skills – the capabilities that AI cannot replicate. VR training has shown an 8.8% increase in employee performance compared to traditional methods and a 34% rise in productivity due to increased confidence (vendor-reported pilot studies; sample sizes and control conditions vary).</w:t>
      </w:r>
    </w:p>
    <w:p>
      <w:pPr>
        <w:pStyle w:val="BodyText"/>
      </w:pPr>
      <w:r>
        <w:t xml:space="preserve">The technology is particularly valuable for high-stakes scenarios. Surgeons, pilots, and emergency responders can practice critical procedures without risking lives. Safety outcomes improve by simulating hazardous scenarios. And for distributed workforces, immersive training standardizes quality across geographies without travel costs.</w:t>
      </w:r>
    </w:p>
    <w:bookmarkEnd w:id="17"/>
    <w:bookmarkEnd w:id="18"/>
    <w:bookmarkStart w:id="22" w:name="X6d33dbf025a17630ab40540c88af5036310eb5f"/>
    <w:p>
      <w:pPr>
        <w:pStyle w:val="Heading2"/>
      </w:pPr>
      <w:r>
        <w:t xml:space="preserve">Retention and Development: Why Learning Keeps People</w:t>
      </w:r>
    </w:p>
    <w:bookmarkStart w:id="19" w:name="the-development-retention-nexus"/>
    <w:p>
      <w:pPr>
        <w:pStyle w:val="Heading3"/>
      </w:pPr>
      <w:r>
        <w:t xml:space="preserve">The Development-Retention Nexus</w:t>
      </w:r>
    </w:p>
    <w:p>
      <w:pPr>
        <w:pStyle w:val="FirstParagraph"/>
      </w:pPr>
      <w:r>
        <w:t xml:space="preserve">The connection between learning opportunities and employee loyalty is one of the most robust findings in organizational research. Ninety-four percent of workers state they would stay longer with companies that invest in their development. Ninety percent of organizations now cite learning and development as their top retention strategy.</w:t>
      </w:r>
    </w:p>
    <w:p>
      <w:pPr>
        <w:pStyle w:val="BodyText"/>
      </w:pPr>
      <w:r>
        <w:t xml:space="preserve">AI has transformed this relationship from a general correlation into a precise, actionable system. Personalized career coaching – where AI analyzes skills, aspirations, and performance to recommend specific training, mentorship pairings, and internal opportunities – creates visible pathways for growth. Seven in ten employees say learning improves their sense of connection to their organization. Eight in ten say it adds purpose to their work.</w:t>
      </w:r>
    </w:p>
    <w:p>
      <w:pPr>
        <w:pStyle w:val="BodyText"/>
      </w:pPr>
      <w:r>
        <w:t xml:space="preserve">When people can see a clear, data-backed route to their next role, they stay. When they can’t, they leave – and they take their knowledge with them.</w:t>
      </w:r>
    </w:p>
    <w:bookmarkEnd w:id="19"/>
    <w:bookmarkStart w:id="20" w:name="X6a11fe163e40c693be9521855ea8c8a00242379"/>
    <w:p>
      <w:pPr>
        <w:pStyle w:val="Heading3"/>
      </w:pPr>
      <w:r>
        <w:t xml:space="preserve">Predictive Retention: Intervening Before Resignation</w:t>
      </w:r>
    </w:p>
    <w:p>
      <w:pPr>
        <w:pStyle w:val="FirstParagraph"/>
      </w:pPr>
      <w:r>
        <w:t xml:space="preserve">The most sophisticated retention strategies use AI to identify flight risk before employees begin searching for new jobs. Machine learning algorithms monitor engagement levels, performance trends, and behavioral signals to flag at-risk individuals months in advance.</w:t>
      </w:r>
    </w:p>
    <w:p>
      <w:pPr>
        <w:pStyle w:val="BodyText"/>
      </w:pPr>
      <w:r>
        <w:t xml:space="preserve">Microsoft reduced turnover by up to 25% by monitoring engagement and addressing issues early (single-company case study). Companies using predictive analytics for turnover prevention reduce voluntary departures by 25-40% overall (industry surveys and vendor reports; figures vary widely by implementation). Given that every departure costs an organization an average of $15,000 in direct replacement costs alone – plus unmeasured productivity losses – the economic case is compelling.</w:t>
      </w:r>
    </w:p>
    <w:p>
      <w:pPr>
        <w:pStyle w:val="BodyText"/>
      </w:pPr>
      <w:r>
        <w:t xml:space="preserve">Hilton Hotels used AI to analyze employee feedback and performance data, leading to a 25% improvement in satisfaction through targeted retention programs (single-company case study). The intervention was precise: AI identified specific factors contributing to dissatisfaction and enabled solutions tailored to individual circumstances rather than blanket programs.</w:t>
      </w:r>
    </w:p>
    <w:bookmarkEnd w:id="20"/>
    <w:bookmarkStart w:id="21" w:name="hyperpersonalization"/>
    <w:p>
      <w:pPr>
        <w:pStyle w:val="Heading3"/>
      </w:pPr>
      <w:r>
        <w:t xml:space="preserve">Hyperpersonalization</w:t>
      </w:r>
    </w:p>
    <w:p>
      <w:pPr>
        <w:pStyle w:val="FirstParagraph"/>
      </w:pPr>
      <w:r>
        <w:t xml:space="preserve">Generic benefits packages and companywide training programs are giving way to individualized employee experiences. AI enables customization that was previously impossible: surfacing relevant learning opportunities and internal job openings when people need them, monitoring for signs of burnout and offering personalized wellness resources, providing managers with real-time insights into team sentiment.</w:t>
      </w:r>
    </w:p>
    <w:p>
      <w:pPr>
        <w:pStyle w:val="BodyText"/>
      </w:pPr>
      <w:r>
        <w:t xml:space="preserve">Employees now expect the same intuitive, personalized experience at work that they get from consumer technology. Organizations that fail to deliver face engagement and retention challenges regardless of compensation levels. AI makes personalization at scale a realistic proposition rather than a luxury for high-potential cohorts.</w:t>
      </w:r>
    </w:p>
    <w:bookmarkEnd w:id="21"/>
    <w:bookmarkEnd w:id="22"/>
    <w:bookmarkStart w:id="26" w:name="X071dd43c263cd7631c035ed2fa847a0d8117d8a"/>
    <w:p>
      <w:pPr>
        <w:pStyle w:val="Heading2"/>
      </w:pPr>
      <w:r>
        <w:t xml:space="preserve">Career Development: From Ladders to Lattices</w:t>
      </w:r>
    </w:p>
    <w:bookmarkStart w:id="23" w:name="dynamic-talent-marketplaces"/>
    <w:p>
      <w:pPr>
        <w:pStyle w:val="Heading3"/>
      </w:pPr>
      <w:r>
        <w:t xml:space="preserve">Dynamic Talent Marketplaces</w:t>
      </w:r>
    </w:p>
    <w:p>
      <w:pPr>
        <w:pStyle w:val="FirstParagraph"/>
      </w:pPr>
      <w:r>
        <w:t xml:space="preserve">Traditional career progression followed predictable ladders: analyst to senior analyst, manager to senior manager. AI-powered talent marketplaces are replacing this linear model with dynamic, multi-directional career lattices.</w:t>
      </w:r>
    </w:p>
    <w:p>
      <w:pPr>
        <w:pStyle w:val="BodyText"/>
      </w:pPr>
      <w:r>
        <w:t xml:space="preserve">Platforms like Gloat and Eightfold.ai continuously analyze skills data, performance metrics, and employee preferences to identify internal mobility opportunities in real time. Employees no longer wait for annual promotion cycles or rely on managers to spot opportunities. The system surfaces relevant openings, projects, and assignments that align with both individual aspirations and organizational needs.</w:t>
      </w:r>
    </w:p>
    <w:p>
      <w:pPr>
        <w:pStyle w:val="BodyText"/>
      </w:pPr>
      <w:r>
        <w:t xml:space="preserve">The impact is substantial. Internal mobility rates have increased from 21% to 56% with AI-powered talent marketplaces (vendor-reported aggregate across client base; no independent verification). The system supports multiple mobility types simultaneously: full-time role changes, temporary project assignments, skills-building gigs, cross-functional collaborations, and mentorship relationships.</w:t>
      </w:r>
    </w:p>
    <w:p>
      <w:pPr>
        <w:pStyle w:val="BodyText"/>
      </w:pPr>
      <w:r>
        <w:t xml:space="preserve">This flexibility addresses a reality that traditional career models ignored: development is no longer about single vertical moves but about accumulating diverse experiences that build adaptable skillsets.</w:t>
      </w:r>
    </w:p>
    <w:bookmarkEnd w:id="23"/>
    <w:bookmarkStart w:id="24" w:name="skills-based-pathing"/>
    <w:p>
      <w:pPr>
        <w:pStyle w:val="Heading3"/>
      </w:pPr>
      <w:r>
        <w:t xml:space="preserve">Skills-Based Pathing</w:t>
      </w:r>
    </w:p>
    <w:p>
      <w:pPr>
        <w:pStyle w:val="FirstParagraph"/>
      </w:pPr>
      <w:r>
        <w:t xml:space="preserve">The focus on skills over credentials extends to internal career development. Organizations increasingly design pathways around competencies required for success rather than educational backgrounds or previous titles.</w:t>
      </w:r>
    </w:p>
    <w:p>
      <w:pPr>
        <w:pStyle w:val="BodyText"/>
      </w:pPr>
      <w:r>
        <w:t xml:space="preserve">For employees, this provides clarity and agency. They can see how building specific capabilities connects to future opportunities, making learning feel relevant rather than abstract. For organizations, it means greater flexibility to respond to changing conditions by redeploying internal talent rather than hiring externally for every new need.</w:t>
      </w:r>
    </w:p>
    <w:p>
      <w:pPr>
        <w:pStyle w:val="BodyText"/>
      </w:pPr>
      <w:r>
        <w:t xml:space="preserve">The World Economic Forum confirms this direction: while 41% of organizations expect to reduce roles exposed to AI-induced obsolescence, 70% plan to hire people with new skills. This simultaneous reduction and expansion can only work through massive reskilling of existing employees – identifying people with foundational capabilities and providing targeted development to bridge specific gaps.</w:t>
      </w:r>
    </w:p>
    <w:bookmarkEnd w:id="24"/>
    <w:bookmarkStart w:id="25" w:name="continuous-assessment"/>
    <w:p>
      <w:pPr>
        <w:pStyle w:val="Heading3"/>
      </w:pPr>
      <w:r>
        <w:t xml:space="preserve">Continuous Assessment</w:t>
      </w:r>
    </w:p>
    <w:p>
      <w:pPr>
        <w:pStyle w:val="FirstParagraph"/>
      </w:pPr>
      <w:r>
        <w:t xml:space="preserve">Static annual reviews cannot keep pace with today’s rate of change. AI enables continuous skills assessment that provides real-time visibility into capabilities, gaps, and development needs.</w:t>
      </w:r>
    </w:p>
    <w:p>
      <w:pPr>
        <w:pStyle w:val="BodyText"/>
      </w:pPr>
      <w:r>
        <w:t xml:space="preserve">When employees understand their current competencies and can see specific steps to reach desired roles, development becomes a clear journey rather than an opaque process controlled by others. AI-driven platforms provide this transparency through skills dashboards, recommended learning paths, and progress tracking.</w:t>
      </w:r>
    </w:p>
    <w:p>
      <w:pPr>
        <w:pStyle w:val="BodyText"/>
      </w:pPr>
      <w:r>
        <w:t xml:space="preserve">The shift toward continuous assessment also enables just-in-time learning. Rather than attending courses months before applying knowledge, employees access training precisely when they need it. AI systems embedded within work applications detect when someone encounters a challenge and immediately offer targeted support. Every task becomes a learning opportunity.</w:t>
      </w:r>
    </w:p>
    <w:bookmarkEnd w:id="25"/>
    <w:bookmarkEnd w:id="26"/>
    <w:bookmarkStart w:id="31" w:name="critical-success-factors"/>
    <w:p>
      <w:pPr>
        <w:pStyle w:val="Heading2"/>
      </w:pPr>
      <w:r>
        <w:t xml:space="preserve">Critical Success Factors</w:t>
      </w:r>
    </w:p>
    <w:bookmarkStart w:id="27" w:name="human-ai-collaboration"/>
    <w:p>
      <w:pPr>
        <w:pStyle w:val="Heading3"/>
      </w:pPr>
      <w:r>
        <w:t xml:space="preserve">Human-AI Collaboration</w:t>
      </w:r>
    </w:p>
    <w:p>
      <w:pPr>
        <w:pStyle w:val="FirstParagraph"/>
      </w:pPr>
      <w:r>
        <w:t xml:space="preserve">The most effective implementations position AI as a collaborative partner, not an autonomous system. Human-in-the-Loop models insert human oversight into AI lifecycles, ensuring technology serves as co-pilot rather than autopilot. The EU’s AI Act mandates this approach for high-risk systems.</w:t>
      </w:r>
    </w:p>
    <w:p>
      <w:pPr>
        <w:pStyle w:val="BodyText"/>
      </w:pPr>
      <w:r>
        <w:t xml:space="preserve">The goal is not to replace human expertise but to amplify it – freeing cognitive bandwidth from mechanical tasks so people can focus on creativity, empathy, and complex problem-solving. Organizations that try to fully automate learning and development lose the human connection that makes development meaningful.</w:t>
      </w:r>
    </w:p>
    <w:bookmarkEnd w:id="27"/>
    <w:bookmarkStart w:id="28" w:name="uniquely-human-skills"/>
    <w:p>
      <w:pPr>
        <w:pStyle w:val="Heading3"/>
      </w:pPr>
      <w:r>
        <w:t xml:space="preserve">Uniquely Human Skills</w:t>
      </w:r>
    </w:p>
    <w:p>
      <w:pPr>
        <w:pStyle w:val="FirstParagraph"/>
      </w:pPr>
      <w:r>
        <w:t xml:space="preserve">As AI handles efficiency tasks faster and cheaper than humans, the skills that matter most are those hardest to measure but impossible to replace: empathy, creativity, critical thinking, and moral judgment. These are not</w:t>
      </w:r>
      <w:r>
        <w:t xml:space="preserve"> </w:t>
      </w:r>
      <w:r>
        <w:t xml:space="preserve">“soft”</w:t>
      </w:r>
      <w:r>
        <w:t xml:space="preserve"> </w:t>
      </w:r>
      <w:r>
        <w:t xml:space="preserve">skills – they are the hardest currency of leadership.</w:t>
      </w:r>
    </w:p>
    <w:p>
      <w:pPr>
        <w:pStyle w:val="BodyText"/>
      </w:pPr>
      <w:r>
        <w:t xml:space="preserve">The World Economic Forum’s analysis confirms that while AI and data competencies are the fastest-growing technical skills, creative thinking, resilience, flexibility, curiosity, and lifelong learning are rising equally in importance. If this trend continues, employees who combine technical AI fluency with distinctly human capabilities are likely to be among the most valuable professionals in the years ahead.</w:t>
      </w:r>
    </w:p>
    <w:bookmarkEnd w:id="28"/>
    <w:bookmarkStart w:id="29" w:name="culture-and-change-management"/>
    <w:p>
      <w:pPr>
        <w:pStyle w:val="Heading3"/>
      </w:pPr>
      <w:r>
        <w:t xml:space="preserve">Culture and Change Management</w:t>
      </w:r>
    </w:p>
    <w:p>
      <w:pPr>
        <w:pStyle w:val="FirstParagraph"/>
      </w:pPr>
      <w:r>
        <w:t xml:space="preserve">Technology implementations succeed or fail based on culture, not features. Organizations using AI-personalized change communication strategies achieve 40% higher adoption rates compared to traditional approaches (vendor-reported benchmark).</w:t>
      </w:r>
    </w:p>
    <w:p>
      <w:pPr>
        <w:pStyle w:val="BodyText"/>
      </w:pPr>
      <w:r>
        <w:t xml:space="preserve">A telling example: at one organization, 80% of software developers expressed excitement about using generative AI, yet only 25% adopted the tools at even a basic level when introduced. The barrier was not interest but time pressure, perception of capabilities, and fear. After pausing standard workflows for two weeks to allow exploration and experimentation, adoption doubled. The lesson is clear: people need space and support to change how they work, not just new tools.</w:t>
      </w:r>
    </w:p>
    <w:bookmarkEnd w:id="29"/>
    <w:bookmarkStart w:id="30" w:name="ethics-and-privacy"/>
    <w:p>
      <w:pPr>
        <w:pStyle w:val="Heading3"/>
      </w:pPr>
      <w:r>
        <w:t xml:space="preserve">Ethics and Privacy</w:t>
      </w:r>
    </w:p>
    <w:p>
      <w:pPr>
        <w:pStyle w:val="FirstParagraph"/>
      </w:pPr>
      <w:r>
        <w:t xml:space="preserve">AI-powered development systems analyze vast amounts of employee data – performance metrics, learning patterns, communication behaviors, engagement signals. This creates legitimate privacy concerns. Employees need to understand what data is collected, how it is used, and how it influences decisions about their careers.</w:t>
      </w:r>
    </w:p>
    <w:p>
      <w:pPr>
        <w:pStyle w:val="BodyText"/>
      </w:pPr>
      <w:r>
        <w:t xml:space="preserve">Algorithmic bias is equally important. If AI systems train on historical data reflecting past discrimination, they risk perpetuating those biases in recommendations for development, promotion, or high-visibility projects. Organizations must implement bias detection protocols, ensure diverse representation in training data, and maintain human oversight of AI-generated recommendations.</w:t>
      </w:r>
    </w:p>
    <w:p>
      <w:pPr>
        <w:pStyle w:val="BodyText"/>
      </w:pPr>
      <w:r>
        <w:t xml:space="preserve">When implemented ethically, AI can actually improve equity by surfacing opportunities based on capabilities and potential rather than relationships or visibility. AI-driven learning programs have reduced turnover among high-potential talent from underrepresented groups by 23% (vendor-reported; methodology and sample details not publicly available). The key is balancing efficiency with fairness.</w:t>
      </w:r>
    </w:p>
    <w:bookmarkEnd w:id="30"/>
    <w:bookmarkEnd w:id="31"/>
    <w:bookmarkStart w:id="32" w:name="what-this-means-for-you"/>
    <w:p>
      <w:pPr>
        <w:pStyle w:val="Heading2"/>
      </w:pPr>
      <w:r>
        <w:t xml:space="preserve">What This Means for You</w:t>
      </w:r>
    </w:p>
    <w:p>
      <w:pPr>
        <w:pStyle w:val="FirstParagraph"/>
      </w:pPr>
      <w:r>
        <w:t xml:space="preserve">If you have read this far, here is what matters for your own life and career:</w:t>
      </w:r>
    </w:p>
    <w:p>
      <w:pPr>
        <w:numPr>
          <w:ilvl w:val="0"/>
          <w:numId w:val="1006"/>
        </w:numPr>
      </w:pPr>
      <w:r>
        <w:rPr>
          <w:b/>
          <w:bCs/>
        </w:rPr>
        <w:t xml:space="preserve">Expect learning to be part of your job – permanently.</w:t>
      </w:r>
      <w:r>
        <w:t xml:space="preserve"> </w:t>
      </w:r>
      <w:r>
        <w:t xml:space="preserve">The era of</w:t>
      </w:r>
      <w:r>
        <w:t xml:space="preserve"> </w:t>
      </w:r>
      <w:r>
        <w:t xml:space="preserve">“learn once, work forever”</w:t>
      </w:r>
      <w:r>
        <w:t xml:space="preserve"> </w:t>
      </w:r>
      <w:r>
        <w:t xml:space="preserve">is over. Continuous development is becoming a basic condition of employment, not a perk. The organizations worth working for will invest in your growth. Seek them out.</w:t>
      </w:r>
    </w:p>
    <w:p>
      <w:pPr>
        <w:numPr>
          <w:ilvl w:val="0"/>
          <w:numId w:val="1006"/>
        </w:numPr>
      </w:pPr>
      <w:r>
        <w:rPr>
          <w:b/>
          <w:bCs/>
        </w:rPr>
        <w:t xml:space="preserve">Build skills that complement AI, not compete with it.</w:t>
      </w:r>
      <w:r>
        <w:t xml:space="preserve"> </w:t>
      </w:r>
      <w:r>
        <w:t xml:space="preserve">Technical fluency with AI tools is becoming a baseline requirement across nearly every field. But the skills that will make you truly valuable are the ones machines cannot replicate: critical thinking, empathy, creativity, ethical judgment, and the ability to navigate ambiguity. Invest in both.</w:t>
      </w:r>
    </w:p>
    <w:p>
      <w:pPr>
        <w:numPr>
          <w:ilvl w:val="0"/>
          <w:numId w:val="1006"/>
        </w:numPr>
      </w:pPr>
      <w:r>
        <w:rPr>
          <w:b/>
          <w:bCs/>
        </w:rPr>
        <w:t xml:space="preserve">Take ownership of your development.</w:t>
      </w:r>
      <w:r>
        <w:t xml:space="preserve"> </w:t>
      </w:r>
      <w:r>
        <w:t xml:space="preserve">AI-powered platforms can surface opportunities, recommend learning paths, and track your progress. But no system – corporate or academic – will manage your career for you. Use the tools available, but set your own direction.</w:t>
      </w:r>
    </w:p>
    <w:p>
      <w:pPr>
        <w:numPr>
          <w:ilvl w:val="0"/>
          <w:numId w:val="1006"/>
        </w:numPr>
      </w:pPr>
      <w:r>
        <w:rPr>
          <w:b/>
          <w:bCs/>
        </w:rPr>
        <w:t xml:space="preserve">Do not expect companies to replace what education should have provided.</w:t>
      </w:r>
      <w:r>
        <w:t xml:space="preserve"> </w:t>
      </w:r>
      <w:r>
        <w:t xml:space="preserve">Corporate learning is powerful for building applied, job-specific skills. But foundational knowledge, broad intellectual development, and civic understanding are your responsibility – and they remain the foundation everything else is built on. If the education system failed to provide them, find ways to fill those gaps on your own terms.</w:t>
      </w:r>
    </w:p>
    <w:p>
      <w:r>
        <w:pict>
          <v:rect style="width:0;height:1.5pt" o:hralign="center" o:hrstd="t" o:hr="t"/>
        </w:pict>
      </w:r>
    </w:p>
    <w:bookmarkEnd w:id="32"/>
    <w:bookmarkStart w:id="33" w:name="annotated-source-list"/>
    <w:p>
      <w:pPr>
        <w:pStyle w:val="Heading2"/>
      </w:pPr>
      <w:r>
        <w:t xml:space="preserve">Annotated Source List</w:t>
      </w:r>
    </w:p>
    <w:p>
      <w:pPr>
        <w:pStyle w:val="FirstParagraph"/>
      </w:pPr>
      <w:r>
        <w:t xml:space="preserve">This chapter draws on World Economic Forum reports, IDC estimates, vendor case studies, and industry surveys cited narratively with evidence-quality labels. No new sources with inline URL citations are introduced.</w:t>
      </w:r>
    </w:p>
    <w:p>
      <w:pPr>
        <w:pStyle w:val="Compact"/>
        <w:numPr>
          <w:ilvl w:val="0"/>
          <w:numId w:val="1007"/>
        </w:numPr>
      </w:pPr>
      <w:r>
        <w:t xml:space="preserve">The chapter’s workforce skills data relies primarily on the World Economic Forum’s</w:t>
      </w:r>
      <w:r>
        <w:t xml:space="preserve"> </w:t>
      </w:r>
      <w:r>
        <w:rPr>
          <w:i/>
          <w:iCs/>
        </w:rPr>
        <w:t xml:space="preserve">Future of Jobs Report</w:t>
      </w:r>
      <w:r>
        <w:t xml:space="preserve"> </w:t>
      </w:r>
      <w:r>
        <w:t xml:space="preserve">series (Tier 2), which surveys hundreds of global employers on projected skill shifts, hiring practices, and workforce strategy.</w:t>
      </w:r>
    </w:p>
    <w:p>
      <w:pPr>
        <w:pStyle w:val="Compact"/>
        <w:numPr>
          <w:ilvl w:val="0"/>
          <w:numId w:val="1007"/>
        </w:numPr>
      </w:pPr>
      <w:r>
        <w:t xml:space="preserve">Estimates of economic losses from skills gaps draw on IDC forecasts (Tier 4: vendor-reported modeling based on proprietary survey data).</w:t>
      </w:r>
    </w:p>
    <w:p>
      <w:pPr>
        <w:pStyle w:val="Compact"/>
        <w:numPr>
          <w:ilvl w:val="0"/>
          <w:numId w:val="1007"/>
        </w:numPr>
      </w:pPr>
      <w:r>
        <w:t xml:space="preserve">Claims about AI-powered learning outcomes – including faster skill acquisition, higher engagement, and improved completion rates – are drawn from vendor case studies and platform-reported benchmarks by companies such as IBM, Salesforce, SAP, and Hilton (Tier 4: single-company implementations without independent replication).</w:t>
      </w:r>
    </w:p>
    <w:p>
      <w:pPr>
        <w:pStyle w:val="Compact"/>
        <w:numPr>
          <w:ilvl w:val="0"/>
          <w:numId w:val="1007"/>
        </w:numPr>
      </w:pPr>
      <w:r>
        <w:t xml:space="preserve">The 95% attrition prediction accuracy attributed to IBM and the retention improvements from Salesforce and SAP are self-reported corporate metrics.</w:t>
      </w:r>
    </w:p>
    <w:p>
      <w:pPr>
        <w:pStyle w:val="Compact"/>
        <w:numPr>
          <w:ilvl w:val="0"/>
          <w:numId w:val="1007"/>
        </w:numPr>
      </w:pPr>
      <w:r>
        <w:t xml:space="preserve">Immersive technology examples from Boeing, Walmart, and Fidelity are based on corporate press materials and conference presentations (Tier 3–4).</w:t>
      </w:r>
    </w:p>
    <w:p>
      <w:pPr>
        <w:pStyle w:val="Compact"/>
        <w:numPr>
          <w:ilvl w:val="0"/>
          <w:numId w:val="1007"/>
        </w:numPr>
      </w:pPr>
      <w:r>
        <w:t xml:space="preserve">The Learning in the Flow of Work productivity data derives from industry reports and vendor case studies with limited independent controlled studies (Tier 3–4).</w:t>
      </w:r>
    </w:p>
    <w:p>
      <w:pPr>
        <w:pStyle w:val="Compact"/>
        <w:numPr>
          <w:ilvl w:val="0"/>
          <w:numId w:val="1007"/>
        </w:numPr>
      </w:pPr>
      <w:r>
        <w:t xml:space="preserve">Statistics on skills-based hiring adoption come from multi-employer surveys by TestGorilla and LinkedIn (Tier 2–3).</w:t>
      </w:r>
    </w:p>
    <w:p>
      <w:pPr>
        <w:pStyle w:val="Compact"/>
        <w:numPr>
          <w:ilvl w:val="0"/>
          <w:numId w:val="1007"/>
        </w:numPr>
      </w:pPr>
      <w:r>
        <w:t xml:space="preserve">The Pennsylvania government hiring reform data is drawn from public reporting on state policy implementation (Tier 3).</w:t>
      </w:r>
    </w:p>
    <w:p>
      <w:pPr>
        <w:pStyle w:val="Compact"/>
        <w:numPr>
          <w:ilvl w:val="0"/>
          <w:numId w:val="1007"/>
        </w:numPr>
      </w:pPr>
      <w:r>
        <w:t xml:space="preserve">Internal mobility and talent marketplace metrics are vendor-reported aggregates from platforms like Gloat and Eightfold.ai (Tier 4).</w:t>
      </w:r>
    </w:p>
    <w:p>
      <w:pPr>
        <w:pStyle w:val="Compact"/>
        <w:numPr>
          <w:ilvl w:val="0"/>
          <w:numId w:val="1007"/>
        </w:numPr>
      </w:pPr>
      <w:r>
        <w:t xml:space="preserve">The EU AI Act discussion draws on published regulatory text and compliance guidance (Tier 2).</w:t>
      </w:r>
    </w:p>
    <w:p>
      <w:pPr>
        <w:pStyle w:val="Compact"/>
        <w:numPr>
          <w:ilvl w:val="0"/>
          <w:numId w:val="1007"/>
        </w:numPr>
      </w:pPr>
      <w:r>
        <w:t xml:space="preserve">Claims about the uniquely human skills premium and the continuous learning imperative synthesize World Economic Forum projections with employer survey data.</w:t>
      </w:r>
    </w:p>
    <w:p>
      <w:pPr>
        <w:pStyle w:val="Compact"/>
        <w:numPr>
          <w:ilvl w:val="0"/>
          <w:numId w:val="1007"/>
        </w:numPr>
      </w:pPr>
      <w:r>
        <w:t xml:space="preserve">All evidence-quality labels are assigned in the narrative text where sources are discussed.</w:t>
      </w:r>
    </w:p>
    <w:p>
      <w:r>
        <w:pict>
          <v:rect style="width:0;height:1.5pt" o:hralign="center" o:hrstd="t" o:hr="t"/>
        </w:pict>
      </w:r>
    </w:p>
    <w:bookmarkEnd w:id="33"/>
    <w:bookmarkStart w:id="34" w:name="references"/>
    <w:p>
      <w:pPr>
        <w:pStyle w:val="Heading2"/>
      </w:pPr>
      <w:r>
        <w:t xml:space="preserve">References</w:t>
      </w:r>
    </w:p>
    <w:p>
      <w:pPr>
        <w:pStyle w:val="FirstParagraph"/>
      </w:pPr>
      <w:r>
        <w:t xml:space="preserve">This chapter references sources narratively with evidence-quality labels integrated into the text rather than through inline URL citations. The principal sources informing the chapter include:</w:t>
      </w:r>
    </w:p>
    <w:p>
      <w:pPr>
        <w:pStyle w:val="BodyText"/>
      </w:pPr>
      <w:r>
        <w:t xml:space="preserve">World Economic Forum. 2025.</w:t>
      </w:r>
      <w:r>
        <w:t xml:space="preserve"> </w:t>
      </w:r>
      <w:r>
        <w:rPr>
          <w:i/>
          <w:iCs/>
        </w:rPr>
        <w:t xml:space="preserve">The Future of Jobs Report 2025</w:t>
      </w:r>
      <w:r>
        <w:t xml:space="preserve">. Geneva: World Economic Forum. https://www.weforum.org/publications/the-future-of-jobs-report-2025/.</w:t>
      </w:r>
    </w:p>
    <w:p>
      <w:pPr>
        <w:pStyle w:val="BodyText"/>
      </w:pPr>
      <w:r>
        <w:t xml:space="preserve">IDC. 2024.</w:t>
      </w:r>
      <w:r>
        <w:t xml:space="preserve"> </w:t>
      </w:r>
      <w:r>
        <w:rPr>
          <w:i/>
          <w:iCs/>
        </w:rPr>
        <w:t xml:space="preserve">Skills Forward: Building Workforce Readiness for the AI Era</w:t>
      </w:r>
      <w:r>
        <w:t xml:space="preserve">. Framingham, MA: International Data Corporation. https://www.idc.com/research/skills-forward.</w:t>
      </w:r>
    </w:p>
    <w:p>
      <w:pPr>
        <w:pStyle w:val="BodyText"/>
      </w:pPr>
      <w:r>
        <w:t xml:space="preserve">TestGorilla. 2024.</w:t>
      </w:r>
      <w:r>
        <w:t xml:space="preserve"> </w:t>
      </w:r>
      <w:r>
        <w:rPr>
          <w:i/>
          <w:iCs/>
        </w:rPr>
        <w:t xml:space="preserve">The State of Skills-Based Hiring 2024</w:t>
      </w:r>
      <w:r>
        <w:t xml:space="preserve">. Amsterdam: TestGorilla. https://www.testgorilla.com/state-of-skills-based-hiring/.</w:t>
      </w:r>
    </w:p>
    <w:p>
      <w:pPr>
        <w:pStyle w:val="BodyText"/>
      </w:pPr>
      <w:r>
        <w:t xml:space="preserve">LinkedIn. 2024.</w:t>
      </w:r>
      <w:r>
        <w:t xml:space="preserve"> </w:t>
      </w:r>
      <w:r>
        <w:rPr>
          <w:i/>
          <w:iCs/>
        </w:rPr>
        <w:t xml:space="preserve">Global Talent Trends 2024</w:t>
      </w:r>
      <w:r>
        <w:t xml:space="preserve">. Sunnyvale, CA: LinkedIn Economic Graph. https://economicgraph.linkedin.com/talent-trends/.</w:t>
      </w:r>
    </w:p>
    <w:p>
      <w:pPr>
        <w:pStyle w:val="BodyText"/>
      </w:pPr>
      <w:r>
        <w:t xml:space="preserve">European Parliament and Council. 2024.</w:t>
      </w:r>
      <w:r>
        <w:t xml:space="preserve"> </w:t>
      </w:r>
      <w:r>
        <w:rPr>
          <w:i/>
          <w:iCs/>
        </w:rPr>
        <w:t xml:space="preserve">Regulation (EU) 2024/1689 Laying Down Harmonised Rules on Artificial Intelligence (AI Act)</w:t>
      </w:r>
      <w:r>
        <w:t xml:space="preserve">. Brussels: Official Journal of the European Union. https://eur-lex.europa.eu/eli/reg/2024/1689/oj.</w:t>
      </w:r>
    </w:p>
    <w:p>
      <w:pPr>
        <w:pStyle w:val="BodyText"/>
      </w:pPr>
      <w:r>
        <w:t xml:space="preserve">IBM. 2024.</w:t>
      </w:r>
      <w:r>
        <w:t xml:space="preserve"> </w:t>
      </w:r>
      <w:r>
        <w:t xml:space="preserve">“Predictive Analytics in Workforce Planning.”</w:t>
      </w:r>
      <w:r>
        <w:t xml:space="preserve"> </w:t>
      </w:r>
      <w:r>
        <w:t xml:space="preserve">IBM Corporate Communications. https://www.ibm.com/thought-leadership/workforce-analytics/.</w:t>
      </w:r>
    </w:p>
    <w:p>
      <w:pPr>
        <w:pStyle w:val="BodyText"/>
      </w:pPr>
      <w:r>
        <w:t xml:space="preserve">Salesforce. 2024.</w:t>
      </w:r>
      <w:r>
        <w:t xml:space="preserve"> </w:t>
      </w:r>
      <w:r>
        <w:t xml:space="preserve">“AI-Driven Retention and Talent Development.”</w:t>
      </w:r>
      <w:r>
        <w:t xml:space="preserve"> </w:t>
      </w:r>
      <w:r>
        <w:t xml:space="preserve">Salesforce Case Studies. https://www.salesforce.com/resources/case-studies/.</w:t>
      </w:r>
    </w:p>
    <w:p>
      <w:pPr>
        <w:pStyle w:val="BodyText"/>
      </w:pPr>
      <w:r>
        <w:t xml:space="preserve">SAP. 2024.</w:t>
      </w:r>
      <w:r>
        <w:t xml:space="preserve"> </w:t>
      </w:r>
      <w:r>
        <w:t xml:space="preserve">“Predictive Attrition Modeling.”</w:t>
      </w:r>
      <w:r>
        <w:t xml:space="preserve"> </w:t>
      </w:r>
      <w:r>
        <w:t xml:space="preserve">SAP SuccessFactors. https://www.sap.com/products/hcm/workforce-analytics.html.</w:t>
      </w:r>
    </w:p>
    <w:p>
      <w:pPr>
        <w:pStyle w:val="BodyText"/>
      </w:pPr>
      <w:r>
        <w:t xml:space="preserve">Boeing. 2024.</w:t>
      </w:r>
      <w:r>
        <w:t xml:space="preserve"> </w:t>
      </w:r>
      <w:r>
        <w:t xml:space="preserve">“Augmented Reality in Aircraft Assembly.”</w:t>
      </w:r>
      <w:r>
        <w:t xml:space="preserve"> </w:t>
      </w:r>
      <w:r>
        <w:t xml:space="preserve">Boeing Corporate. https://www.boeing.com/innovation/augmented-reality.</w:t>
      </w:r>
    </w:p>
    <w:p>
      <w:pPr>
        <w:pStyle w:val="BodyText"/>
      </w:pPr>
      <w:r>
        <w:t xml:space="preserve">Walmart. 2024.</w:t>
      </w:r>
      <w:r>
        <w:t xml:space="preserve"> </w:t>
      </w:r>
      <w:r>
        <w:t xml:space="preserve">“VR Training and Workforce Development.”</w:t>
      </w:r>
      <w:r>
        <w:t xml:space="preserve"> </w:t>
      </w:r>
      <w:r>
        <w:t xml:space="preserve">Walmart Corporate. https://corporate.walmart.com/newsroom/innovation/.</w:t>
      </w:r>
    </w:p>
    <w:p>
      <w:pPr>
        <w:pStyle w:val="BodyText"/>
      </w:pPr>
      <w:r>
        <w:t xml:space="preserve">Fidelity Investments. 2024.</w:t>
      </w:r>
      <w:r>
        <w:t xml:space="preserve"> </w:t>
      </w:r>
      <w:r>
        <w:t xml:space="preserve">“Fidelity Immerse: VR Training for Financial Services.”</w:t>
      </w:r>
      <w:r>
        <w:t xml:space="preserve"> </w:t>
      </w:r>
      <w:r>
        <w:t xml:space="preserve">Fidelity Institutional. https://institutional.fidelity.com/app/item/RD_13569_46516/fidelity-immerse.html.</w:t>
      </w:r>
    </w:p>
    <w:p>
      <w:pPr>
        <w:pStyle w:val="BodyText"/>
      </w:pPr>
      <w:r>
        <w:t xml:space="preserve">Gloat. 2024.</w:t>
      </w:r>
      <w:r>
        <w:t xml:space="preserve"> </w:t>
      </w:r>
      <w:r>
        <w:t xml:space="preserve">“Internal Talent Marketplace: Workforce Agility Platform.”</w:t>
      </w:r>
      <w:r>
        <w:t xml:space="preserve"> </w:t>
      </w:r>
      <w:r>
        <w:t xml:space="preserve">Gloat. https://www.gloat.com/.</w:t>
      </w:r>
    </w:p>
    <w:p>
      <w:pPr>
        <w:pStyle w:val="BodyText"/>
      </w:pPr>
      <w:r>
        <w:t xml:space="preserve">Eightfold.ai. 2024.</w:t>
      </w:r>
      <w:r>
        <w:t xml:space="preserve"> </w:t>
      </w:r>
      <w:r>
        <w:t xml:space="preserve">“AI-Powered Talent Intelligence Platform.”</w:t>
      </w:r>
      <w:r>
        <w:t xml:space="preserve"> </w:t>
      </w:r>
      <w:r>
        <w:t xml:space="preserve">Eightfold.ai. https://eightfold.ai/.</w:t>
      </w:r>
    </w:p>
    <w:p>
      <w:pPr>
        <w:pStyle w:val="BodyText"/>
      </w:pPr>
      <w:r>
        <w:t xml:space="preserve">Hilton Hotels. 2024.</w:t>
      </w:r>
      <w:r>
        <w:t xml:space="preserve"> </w:t>
      </w:r>
      <w:r>
        <w:t xml:space="preserve">“AI-Driven Employee Engagement and Retention.”</w:t>
      </w:r>
      <w:r>
        <w:t xml:space="preserve"> </w:t>
      </w:r>
      <w:r>
        <w:t xml:space="preserve">Hilton Corporate Communications. https://www.hilton.com/corporate/.</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2026-02-09T18:13:37Z</dcterms:created>
  <dcterms:modified xsi:type="dcterms:W3CDTF">2026-02-09T18:13:37Z</dcterms:modified>
</cp:coreProperties>
</file>

<file path=docProps/custom.xml><?xml version="1.0" encoding="utf-8"?>
<Properties xmlns="http://schemas.openxmlformats.org/officeDocument/2006/custom-properties" xmlns:vt="http://schemas.openxmlformats.org/officeDocument/2006/docPropsVTypes"/>
</file>