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96dbad668f0431ff42a809dbc25647ada91741"/>
    <w:p>
      <w:pPr>
        <w:pStyle w:val="Heading1"/>
      </w:pPr>
      <w:r>
        <w:t xml:space="preserve">Failure Modes — How the Hybrid Future Goes Wrong</w:t>
      </w:r>
    </w:p>
    <w:p>
      <w:pPr>
        <w:pStyle w:val="FirstParagraph"/>
      </w:pPr>
      <w:r>
        <w:t xml:space="preserve">The hybrid future described in this book is not inevitable, and it is not self-correcting. It is a</w:t>
      </w:r>
      <w:r>
        <w:t xml:space="preserve"> </w:t>
      </w:r>
      <w:r>
        <w:rPr>
          <w:i/>
          <w:iCs/>
        </w:rPr>
        <w:t xml:space="preserve">design space</w:t>
      </w:r>
      <w:r>
        <w:t xml:space="preserve">, not a guarantee. Under real political, economic, and institutional pressures, hybrid systems can fail in predictable ways.</w:t>
      </w:r>
    </w:p>
    <w:p>
      <w:pPr>
        <w:pStyle w:val="BodyText"/>
      </w:pPr>
      <w:r>
        <w:t xml:space="preserve">This appendix names those failure modes explicitly—not to induce pessimism, but to make</w:t>
      </w:r>
      <w:r>
        <w:t xml:space="preserve"> </w:t>
      </w:r>
      <w:r>
        <w:rPr>
          <w:i/>
          <w:iCs/>
        </w:rPr>
        <w:t xml:space="preserve">early warning signals</w:t>
      </w:r>
      <w:r>
        <w:t xml:space="preserve"> </w:t>
      </w:r>
      <w:r>
        <w:t xml:space="preserve">visible. Most of these failures do not arrive as catastrophes. They arrive as reasonable compromises that quietly compound.</w:t>
      </w:r>
      <w:r>
        <w:t xml:space="preserve"> </w:t>
      </w:r>
      <w:r>
        <w:t xml:space="preserve">## Failure Mode 1: “AI on Top of Old Structures”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Institutions adopt AI tools without redesigning pedagogy, assessment, or governance.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AI tutors bolted onto lecture-based courses</w:t>
      </w:r>
      <w:r>
        <w:br/>
      </w:r>
      <w:r>
        <w:t xml:space="preserve">- Automated grading layered onto unchanged exams</w:t>
      </w:r>
      <w:r>
        <w:br/>
      </w:r>
      <w:r>
        <w:t xml:space="preserve">- Faculty workload increases instead of decreases</w:t>
      </w:r>
      <w:r>
        <w:br/>
      </w:r>
      <w:r>
        <w:t xml:space="preserve">- Students experience fragmentation rather than coherence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The institution keeps all legacy costs while adding new complexity. AI becomes an accelerant of burnout rather than a lever for redesign.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Staff describe AI as “one more thing to manage” rather than something that removes work.</w:t>
      </w:r>
      <w:r>
        <w:t xml:space="preserve"> </w:t>
      </w:r>
      <w:r>
        <w:t xml:space="preserve">## Failure Mode 2: Platform Capture of Learning Pathways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AI platforms quietly become the de facto curriculum designers.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Learning sequences optimized for engagement metrics</w:t>
      </w:r>
      <w:r>
        <w:br/>
      </w:r>
      <w:r>
        <w:t xml:space="preserve">- Proprietary skill taxonomies replacing public standards</w:t>
      </w:r>
      <w:r>
        <w:br/>
      </w:r>
      <w:r>
        <w:t xml:space="preserve">- Universities dependent on vendor roadmaps</w:t>
      </w:r>
      <w:r>
        <w:br/>
      </w:r>
      <w:r>
        <w:t xml:space="preserve">- Students locked into non-portable learning histories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Control over</w:t>
      </w:r>
      <w:r>
        <w:t xml:space="preserve"> </w:t>
      </w:r>
      <w:r>
        <w:rPr>
          <w:i/>
          <w:iCs/>
        </w:rPr>
        <w:t xml:space="preserve">how learning is structured</w:t>
      </w:r>
      <w:r>
        <w:t xml:space="preserve"> </w:t>
      </w:r>
      <w:r>
        <w:t xml:space="preserve">shifts from public institutions to private platforms whose incentives prioritize scale, retention, and monetization.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Institutions can no longer explain—or modify—how learning recommendations are generated.</w:t>
      </w:r>
      <w:r>
        <w:t xml:space="preserve"> </w:t>
      </w:r>
      <w:r>
        <w:t xml:space="preserve">## Failure Mode 3: The Agency Divide Hardens into a Caste System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Hybrid systems reward self-directed learners while quietly abandoning others.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High performers accelerate dramatically</w:t>
      </w:r>
      <w:r>
        <w:br/>
      </w:r>
      <w:r>
        <w:t xml:space="preserve">- Struggling learners disengage earlier</w:t>
      </w:r>
      <w:r>
        <w:br/>
      </w:r>
      <w:r>
        <w:t xml:space="preserve">- “Personalization” masks withdrawal of human support</w:t>
      </w:r>
      <w:r>
        <w:br/>
      </w:r>
      <w:r>
        <w:t xml:space="preserve">- Equity rhetoric persists while outcomes diverge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Agency is treated as a prerequisite instead of a capability to be developed. The system optimizes for those who already know how to use it.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Success stories cluster among already-privileged students, while failure is framed as individual responsibility.</w:t>
      </w:r>
      <w:r>
        <w:t xml:space="preserve"> </w:t>
      </w:r>
      <w:r>
        <w:t xml:space="preserve">## Failure Mode 4: Credential Chaos and Trust Collapse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The signaling ecosystem fragments faster than trust mechanisms evolve.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Proliferation of micro-credentials with unclear value</w:t>
      </w:r>
      <w:r>
        <w:br/>
      </w:r>
      <w:r>
        <w:t xml:space="preserve">- Employers overwhelmed by incomparable signals</w:t>
      </w:r>
      <w:r>
        <w:br/>
      </w:r>
      <w:r>
        <w:t xml:space="preserve">- Reputational inflation replaces credential inflation</w:t>
      </w:r>
      <w:r>
        <w:br/>
      </w:r>
      <w:r>
        <w:t xml:space="preserve">- Informal networks regain gatekeeping power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Degrees lose monopoly status before robust alternatives gain legitimacy. Informality fills the gap, often reinforcing existing power structures.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Hiring decisions increasingly rely on referrals and pedigree despite “skills-based” rhetoric.</w:t>
      </w:r>
      <w:r>
        <w:t xml:space="preserve"> </w:t>
      </w:r>
      <w:r>
        <w:t xml:space="preserve">## Failure Mode 5: Education Reduced to Continuous Reskilling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Learning becomes permanent employability maintenance.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Curriculum tightly coupled to short-term labor demand</w:t>
      </w:r>
      <w:r>
        <w:br/>
      </w:r>
      <w:r>
        <w:t xml:space="preserve">- Humanities and fundamental inquiry marginalized</w:t>
      </w:r>
      <w:r>
        <w:br/>
      </w:r>
      <w:r>
        <w:t xml:space="preserve">- Learners trapped in perpetual upskilling anxiety</w:t>
      </w:r>
      <w:r>
        <w:br/>
      </w:r>
      <w:r>
        <w:t xml:space="preserve">- Civic and ethical dimensions quietly dropped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Education collapses into workforce optimization. Its public mission erodes, and with it the case for public funding and autonomy.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Educational value is discussed almost exclusively in ROI terms.</w:t>
      </w:r>
      <w:r>
        <w:t xml:space="preserve"> </w:t>
      </w:r>
      <w:r>
        <w:t xml:space="preserve">## Failure Mode 6: Governance Paralysis by Hybrid Complexity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Hybrid systems become too complex to govern coherently.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Overlapping accountability between humans and algorithms</w:t>
      </w:r>
      <w:r>
        <w:br/>
      </w:r>
      <w:r>
        <w:t xml:space="preserve">- No clear ownership of learning outcomes</w:t>
      </w:r>
      <w:r>
        <w:br/>
      </w:r>
      <w:r>
        <w:t xml:space="preserve">- Ethics committees without enforcement power</w:t>
      </w:r>
      <w:r>
        <w:br/>
      </w:r>
      <w:r>
        <w:t xml:space="preserve">- Decision-making slows despite technological acceleration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Institutions inherit the complexity of platforms without matching governance capacity. Responsibility diffuses until nothing is truly accountable.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When failures occur, no one can say who is responsible—or how to fix them.</w:t>
      </w:r>
      <w:r>
        <w:t xml:space="preserve"> </w:t>
      </w:r>
      <w:r>
        <w:t xml:space="preserve">## Failure Mode 7: Academic Freedom Erodes by Optimization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AI-driven efficiency subtly reshapes what is teachable.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Content optimized for assessability</w:t>
      </w:r>
      <w:r>
        <w:br/>
      </w:r>
      <w:r>
        <w:t xml:space="preserve">- Controversial or ambiguous topics de-emphasized</w:t>
      </w:r>
      <w:r>
        <w:br/>
      </w:r>
      <w:r>
        <w:t xml:space="preserve">- Research agendas influenced by data availability</w:t>
      </w:r>
      <w:r>
        <w:br/>
      </w:r>
      <w:r>
        <w:t xml:space="preserve">- Metrics crowd out intellectual risk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Optimization logic privileges what can be measured and automated. Intellectual exploration that resists formalization is quietly penalized.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Faculty begin self-censoring curriculum choices to avoid friction with systems.</w:t>
      </w:r>
      <w:r>
        <w:t xml:space="preserve"> </w:t>
      </w:r>
      <w:r>
        <w:t xml:space="preserve">## Failure Mode 8: Human Roles Hollow Out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Human educators are repositioned as system supervisors rather than intellectual agents.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Faculty reduced to facilitators of predesigned flows</w:t>
      </w:r>
      <w:r>
        <w:br/>
      </w:r>
      <w:r>
        <w:t xml:space="preserve">- Loss of pedagogical autonomy</w:t>
      </w:r>
      <w:r>
        <w:br/>
      </w:r>
      <w:r>
        <w:t xml:space="preserve">- Decline in mentorship quality</w:t>
      </w:r>
      <w:r>
        <w:br/>
      </w:r>
      <w:r>
        <w:t xml:space="preserve">- Identity crisis among educators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Hybrid systems forget that judgment is cultivated through</w:t>
      </w:r>
      <w:r>
        <w:t xml:space="preserve"> </w:t>
      </w:r>
      <w:r>
        <w:rPr>
          <w:i/>
          <w:iCs/>
        </w:rPr>
        <w:t xml:space="preserve">relationships</w:t>
      </w:r>
      <w:r>
        <w:t xml:space="preserve">, not interfaces.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Educators report feeling interchangeable.</w:t>
      </w:r>
      <w:r>
        <w:t xml:space="preserve"> </w:t>
      </w:r>
      <w:r>
        <w:t xml:space="preserve">## Failure Mode 9: Public Trust Collapses Quietly</w:t>
      </w:r>
      <w:r>
        <w:t xml:space="preserve"> </w:t>
      </w:r>
      <w:r>
        <w:rPr>
          <w:b/>
          <w:bCs/>
        </w:rPr>
        <w:t xml:space="preserve">What goes wrong:</w:t>
      </w:r>
      <w:r>
        <w:t xml:space="preserve"> </w:t>
      </w:r>
      <w:r>
        <w:t xml:space="preserve">The system continues to function, but belief in its legitimacy erodes.</w:t>
      </w:r>
    </w:p>
    <w:p>
      <w:pPr>
        <w:pStyle w:val="BodyText"/>
      </w:pPr>
      <w:r>
        <w:rPr>
          <w:b/>
          <w:bCs/>
        </w:rPr>
        <w:t xml:space="preserve">Symptoms</w:t>
      </w:r>
      <w:r>
        <w:t xml:space="preserve"> </w:t>
      </w:r>
      <w:r>
        <w:t xml:space="preserve">- Cynicism among students and parents</w:t>
      </w:r>
      <w:r>
        <w:br/>
      </w:r>
      <w:r>
        <w:t xml:space="preserve">- Education treated as transactional necessity</w:t>
      </w:r>
      <w:r>
        <w:br/>
      </w:r>
      <w:r>
        <w:t xml:space="preserve">- Rise of parallel credential markets</w:t>
      </w:r>
      <w:r>
        <w:br/>
      </w:r>
      <w:r>
        <w:t xml:space="preserve">- Political vulnerability of public funding</w:t>
      </w:r>
    </w:p>
    <w:p>
      <w:pPr>
        <w:pStyle w:val="BodyText"/>
      </w:pPr>
      <w:r>
        <w:rPr>
          <w:b/>
          <w:bCs/>
        </w:rPr>
        <w:t xml:space="preserve">Why it fails</w:t>
      </w:r>
      <w:r>
        <w:t xml:space="preserve"> </w:t>
      </w:r>
      <w:r>
        <w:t xml:space="preserve">Once trust is lost, no amount of technical improvement restores legitimacy.</w:t>
      </w:r>
    </w:p>
    <w:p>
      <w:pPr>
        <w:pStyle w:val="BodyText"/>
      </w:pPr>
      <w:r>
        <w:rPr>
          <w:b/>
          <w:bCs/>
        </w:rPr>
        <w:t xml:space="preserve">Early warning sign</w:t>
      </w:r>
      <w:r>
        <w:t xml:space="preserve"> </w:t>
      </w:r>
      <w:r>
        <w:t xml:space="preserve">People ask not “Is this education good?” but “Is it worth the hassle?”</w:t>
      </w:r>
      <w:r>
        <w:t xml:space="preserve"> </w:t>
      </w:r>
      <w:r>
        <w:t xml:space="preserve">## The meta-failure: Mistaking inevitability for design</w:t>
      </w:r>
    </w:p>
    <w:p>
      <w:pPr>
        <w:pStyle w:val="BodyText"/>
      </w:pPr>
      <w:r>
        <w:t xml:space="preserve">The most dangerous failure mode is the belief that the hybrid future will “sort itself out.”</w:t>
      </w:r>
    </w:p>
    <w:p>
      <w:pPr>
        <w:pStyle w:val="BodyText"/>
      </w:pPr>
      <w:r>
        <w:t xml:space="preserve">It will not.</w:t>
      </w:r>
    </w:p>
    <w:p>
      <w:pPr>
        <w:pStyle w:val="BodyText"/>
      </w:pPr>
      <w:r>
        <w:t xml:space="preserve">Hybrid systems amplify existing values. If those values are left implicit, power will flow toward efficiency, scale, and convenience—because those forces move fastest.</w:t>
      </w:r>
    </w:p>
    <w:p>
      <w:pPr>
        <w:pStyle w:val="BodyText"/>
      </w:pPr>
      <w:r>
        <w:t xml:space="preserve">Avoiding these failures requires:</w:t>
      </w:r>
      <w:r>
        <w:t xml:space="preserve"> </w:t>
      </w:r>
      <w:r>
        <w:t xml:space="preserve">- explicit normative commitments</w:t>
      </w:r>
      <w:r>
        <w:br/>
      </w:r>
      <w:r>
        <w:t xml:space="preserve">- deliberate institutional subtraction</w:t>
      </w:r>
      <w:r>
        <w:br/>
      </w:r>
      <w:r>
        <w:t xml:space="preserve">- governance capacity equal to technical capability</w:t>
      </w:r>
      <w:r>
        <w:br/>
      </w:r>
      <w:r>
        <w:t xml:space="preserve">- continuous attention to second- and third-order effects</w:t>
      </w:r>
    </w:p>
    <w:p>
      <w:pPr>
        <w:pStyle w:val="BodyText"/>
      </w:pPr>
      <w:r>
        <w:t xml:space="preserve">The hybrid future is not a destination. It is a continuous negotiation between human judgment and machine optimization.</w:t>
      </w:r>
    </w:p>
    <w:p>
      <w:pPr>
        <w:pStyle w:val="BodyText"/>
      </w:pPr>
      <w:r>
        <w:t xml:space="preserve">When that negotiation stops, the system fails—quietly, efficiently, and at scale.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2026-02-09T18:13:37Z</dcterms:created>
  <dcterms:modified xsi:type="dcterms:W3CDTF">2026-02-09T18:13:37Z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