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funding-models-by-countries"/>
    <w:p>
      <w:pPr>
        <w:pStyle w:val="Heading1"/>
      </w:pPr>
      <w:r>
        <w:t xml:space="preserve">Funding Models by Countries</w:t>
      </w:r>
    </w:p>
    <w:p>
      <w:pPr>
        <w:pStyle w:val="FirstParagraph"/>
      </w:pPr>
      <w:r>
        <w:t xml:space="preserve">European universities are predominantly financed by public funds (local authority taxes), supplemented by tuition fees (especially in the UK and for some master’s programs), third-party funding for research (e.g., research councils, EU, industry), and other own-source revenue (continuing education, services, foundations).</w:t>
      </w:r>
      <w:r>
        <w:t xml:space="preserve"> </w:t>
      </w:r>
      <w:hyperlink r:id="rId9">
        <w:r>
          <w:rPr>
            <w:rStyle w:val="Hyperlink"/>
          </w:rPr>
          <w:t xml:space="preserve">europa+1</w:t>
        </w:r>
      </w:hyperlink>
    </w:p>
    <w:bookmarkStart w:id="20" w:name="main-sources-of-funding"/>
    <w:p>
      <w:pPr>
        <w:pStyle w:val="Heading2"/>
      </w:pPr>
      <w:r>
        <w:t xml:space="preserve">Main sources of funding</w:t>
      </w:r>
    </w:p>
    <w:p>
      <w:pPr>
        <w:numPr>
          <w:ilvl w:val="0"/>
          <w:numId w:val="1001"/>
        </w:numPr>
      </w:pPr>
      <w:r>
        <w:t xml:space="preserve">Basic public funding: core budgets of universities from national, regional, and local budgets; in Europe usually &gt;70% of university income, in many countries &gt;80%.</w:t>
      </w:r>
      <w:hyperlink r:id="rId10">
        <w:r>
          <w:rPr>
            <w:rStyle w:val="Hyperlink"/>
          </w:rPr>
          <w:t xml:space="preserve">eua+1</w:t>
        </w:r>
      </w:hyperlink>
    </w:p>
    <w:p>
      <w:pPr>
        <w:numPr>
          <w:ilvl w:val="0"/>
          <w:numId w:val="1001"/>
        </w:numPr>
      </w:pPr>
      <w:r>
        <w:t xml:space="preserve">Private households: tuition fees, administrative fees, accommodation and canteen services; Proportion varies greatly between countries (very low in the Nordics, very high in England and the US).</w:t>
      </w:r>
      <w:hyperlink r:id="rId11">
        <w:r>
          <w:rPr>
            <w:rStyle w:val="Hyperlink"/>
          </w:rPr>
          <w:t xml:space="preserve">oecd+1</w:t>
        </w:r>
      </w:hyperlink>
    </w:p>
    <w:p>
      <w:pPr>
        <w:numPr>
          <w:ilvl w:val="0"/>
          <w:numId w:val="1001"/>
        </w:numPr>
      </w:pPr>
      <w:r>
        <w:t xml:space="preserve">Companies and non-profit organizations: research contracts, endowed professorships, collaborations, donations; in Europe, usually &lt;30% of total university income.[</w:t>
      </w:r>
      <w:hyperlink r:id="rId10">
        <w:r>
          <w:rPr>
            <w:rStyle w:val="Hyperlink"/>
          </w:rPr>
          <w:t xml:space="preserve">eua</w:t>
        </w:r>
      </w:hyperlink>
      <w:r>
        <w:t xml:space="preserve">]​</w:t>
      </w:r>
    </w:p>
    <w:p>
      <w:pPr>
        <w:numPr>
          <w:ilvl w:val="0"/>
          <w:numId w:val="1001"/>
        </w:numPr>
      </w:pPr>
      <w:r>
        <w:t xml:space="preserve">Financial aid for students: Public expenditure goes partly directly to students (scholarships, loans) and partly to universities; a high proportion of tertiary education expenditure, particularly in the Netherlands, Scandinavia, and Ireland.</w:t>
      </w:r>
      <w:hyperlink r:id="rId12">
        <w:r>
          <w:rPr>
            <w:rStyle w:val="Hyperlink"/>
          </w:rPr>
          <w:t xml:space="preserve">europa+1</w:t>
        </w:r>
      </w:hyperlink>
      <w:r>
        <w:t xml:space="preserve"> </w:t>
      </w:r>
      <w:r>
        <w:t xml:space="preserve">## Germany</w:t>
      </w:r>
    </w:p>
    <w:p>
      <w:pPr>
        <w:numPr>
          <w:ilvl w:val="0"/>
          <w:numId w:val="1001"/>
        </w:numPr>
      </w:pPr>
      <w:r>
        <w:t xml:space="preserve">According to the OECD, around 80–90% of expenditure on tertiary education institutions in Germany comes from public sources (federal, state, and local governments), with private sources (households and businesses) accounting for around 10–20%.</w:t>
      </w:r>
      <w:r>
        <w:t xml:space="preserve"> </w:t>
      </w:r>
      <w:hyperlink r:id="rId13">
        <w:r>
          <w:rPr>
            <w:rStyle w:val="Hyperlink"/>
          </w:rPr>
          <w:t xml:space="preserve">gpseducation.oecd+1</w:t>
        </w:r>
      </w:hyperlink>
    </w:p>
    <w:p>
      <w:pPr>
        <w:numPr>
          <w:ilvl w:val="0"/>
          <w:numId w:val="1001"/>
        </w:numPr>
      </w:pPr>
      <w:r>
        <w:t xml:space="preserve">In the non-tertiary sector, the private share is around 11%, while in the tertiary sector it is slightly higher due to fees charged by non-governmental providers and third-party funding. [</w:t>
      </w:r>
      <w:hyperlink r:id="rId13">
        <w:r>
          <w:rPr>
            <w:rStyle w:val="Hyperlink"/>
          </w:rPr>
          <w:t xml:space="preserve">gpseducation.oecd</w:t>
        </w:r>
      </w:hyperlink>
      <w:r>
        <w:t xml:space="preserve">]​</w:t>
      </w:r>
    </w:p>
    <w:p>
      <w:pPr>
        <w:numPr>
          <w:ilvl w:val="0"/>
          <w:numId w:val="1001"/>
        </w:numPr>
      </w:pPr>
      <w:r>
        <w:t xml:space="preserve">Third-party funding (e.g., DFG, EU, industry) is important within university budgets: in 2022, German universities received approximately €27 billion in basic funding and €10.4 billion in third-party funding (third-party funding ratio well over a quarter of total income). [</w:t>
      </w:r>
      <w:hyperlink r:id="rId14">
        <w:r>
          <w:rPr>
            <w:rStyle w:val="Hyperlink"/>
          </w:rPr>
          <w:t xml:space="preserve">foerderatlas.dfg</w:t>
        </w:r>
      </w:hyperlink>
      <w:r>
        <w:t xml:space="preserve">]​</w:t>
      </w:r>
      <w:r>
        <w:t xml:space="preserve"> </w:t>
      </w:r>
      <w:r>
        <w:t xml:space="preserve">## Germany – rough structure of tertiary financing</w:t>
      </w:r>
      <w:r>
        <w:t xml:space="preserve"> </w:t>
      </w:r>
      <w:r>
        <w:t xml:space="preserve">| Category | Share/Classification |</w:t>
      </w:r>
      <w:r>
        <w:t xml:space="preserve"> </w:t>
      </w:r>
      <w:r>
        <w:t xml:space="preserve">| ———————————————– | —————————————————————————————————————————————————————————————————– |</w:t>
      </w:r>
      <w:r>
        <w:t xml:space="preserve"> </w:t>
      </w:r>
      <w:r>
        <w:t xml:space="preserve">| Public funds | predominantly &gt;70% of university income.</w:t>
      </w:r>
      <w:hyperlink r:id="rId13">
        <w:r>
          <w:rPr>
            <w:rStyle w:val="Hyperlink"/>
          </w:rPr>
          <w:t xml:space="preserve">gpseducation.oecd+1</w:t>
        </w:r>
      </w:hyperlink>
      <w:r>
        <w:t xml:space="preserve"> </w:t>
      </w:r>
      <w:r>
        <w:t xml:space="preserve">|</w:t>
      </w:r>
      <w:r>
        <w:t xml:space="preserve"> </w:t>
      </w:r>
      <w:r>
        <w:t xml:space="preserve">| Total private funds | approx. 10–20% (households, companies).</w:t>
      </w:r>
      <w:hyperlink r:id="rId13">
        <w:r>
          <w:rPr>
            <w:rStyle w:val="Hyperlink"/>
          </w:rPr>
          <w:t xml:space="preserve">gpseducation.oecd+1</w:t>
        </w:r>
      </w:hyperlink>
      <w:r>
        <w:t xml:space="preserve"> </w:t>
      </w:r>
      <w:r>
        <w:t xml:space="preserve">|</w:t>
      </w:r>
      <w:r>
        <w:t xml:space="preserve"> </w:t>
      </w:r>
      <w:r>
        <w:t xml:space="preserve">| Third-party funding in higher education budgets | approx. 28–30% of higher education funding (including research).[</w:t>
      </w:r>
      <w:hyperlink r:id="rId14">
        <w:r>
          <w:rPr>
            <w:rStyle w:val="Hyperlink"/>
          </w:rPr>
          <w:t xml:space="preserve">foerderatlas.dfg</w:t>
        </w:r>
      </w:hyperlink>
      <w:r>
        <w:t xml:space="preserve">]​ |</w:t>
      </w:r>
      <w:r>
        <w:t xml:space="preserve"> </w:t>
      </w:r>
      <w:r>
        <w:t xml:space="preserve">## France</w:t>
      </w:r>
    </w:p>
    <w:p>
      <w:pPr>
        <w:numPr>
          <w:ilvl w:val="0"/>
          <w:numId w:val="1001"/>
        </w:numPr>
      </w:pPr>
      <w:r>
        <w:t xml:space="preserve">In France, approximately 69% of tertiary education expenditure (before transfers) comes from public sources; the remainder comes from private households and other private sources. [</w:t>
      </w:r>
      <w:hyperlink r:id="rId15">
        <w:r>
          <w:rPr>
            <w:rStyle w:val="Hyperlink"/>
          </w:rPr>
          <w:t xml:space="preserve">oecd</w:t>
        </w:r>
      </w:hyperlink>
      <w:r>
        <w:t xml:space="preserve">]​</w:t>
      </w:r>
    </w:p>
    <w:p>
      <w:pPr>
        <w:numPr>
          <w:ilvl w:val="0"/>
          <w:numId w:val="1001"/>
        </w:numPr>
      </w:pPr>
      <w:r>
        <w:t xml:space="preserve">France is thus one of the more publicly funded systems, but is slightly below the OECD average for public funding.</w:t>
      </w:r>
      <w:r>
        <w:t xml:space="preserve"> </w:t>
      </w:r>
      <w:hyperlink r:id="rId16">
        <w:r>
          <w:rPr>
            <w:rStyle w:val="Hyperlink"/>
          </w:rPr>
          <w:t xml:space="preserve">oecd+1</w:t>
        </w:r>
      </w:hyperlink>
      <w:r>
        <w:t xml:space="preserve"> </w:t>
      </w:r>
      <w:r>
        <w:t xml:space="preserve">## France – rough structure of tertiary financing</w:t>
      </w:r>
      <w:r>
        <w:t xml:space="preserve"> </w:t>
      </w:r>
      <w:r>
        <w:t xml:space="preserve">| Category | Share/Classification |</w:t>
      </w:r>
      <w:r>
        <w:t xml:space="preserve"> </w:t>
      </w:r>
      <w:r>
        <w:t xml:space="preserve">| ——————— | ———————————————————————————————————————————————————————————- |</w:t>
      </w:r>
      <w:r>
        <w:t xml:space="preserve"> </w:t>
      </w:r>
      <w:r>
        <w:t xml:space="preserve">| Public funds | approx. 69% of tertiary expenditure.[</w:t>
      </w:r>
      <w:hyperlink r:id="rId15">
        <w:r>
          <w:rPr>
            <w:rStyle w:val="Hyperlink"/>
          </w:rPr>
          <w:t xml:space="preserve">oecd</w:t>
        </w:r>
      </w:hyperlink>
      <w:r>
        <w:t xml:space="preserve">]​ |</w:t>
      </w:r>
      <w:r>
        <w:t xml:space="preserve"> </w:t>
      </w:r>
      <w:r>
        <w:t xml:space="preserve">| Total private sources | Approximately 30% (households, businesses, non-profit organizations).</w:t>
      </w:r>
      <w:hyperlink r:id="rId15">
        <w:r>
          <w:rPr>
            <w:rStyle w:val="Hyperlink"/>
          </w:rPr>
          <w:t xml:space="preserve">oecd+1</w:t>
        </w:r>
      </w:hyperlink>
      <w:r>
        <w:t xml:space="preserve"> </w:t>
      </w:r>
      <w:r>
        <w:t xml:space="preserve">|</w:t>
      </w:r>
      <w:r>
        <w:t xml:space="preserve"> </w:t>
      </w:r>
      <w:r>
        <w:t xml:space="preserve">## United Kingdom (especially England)</w:t>
      </w:r>
    </w:p>
    <w:p>
      <w:pPr>
        <w:numPr>
          <w:ilvl w:val="0"/>
          <w:numId w:val="1001"/>
        </w:numPr>
      </w:pPr>
      <w:r>
        <w:t xml:space="preserve">The UK, especially England, is an example of high tuition fees with comprehensive loan systems: the private share of higher education funding (especially fees) is well above the OECD average and among the highest in Europe.</w:t>
      </w:r>
      <w:r>
        <w:t xml:space="preserve"> </w:t>
      </w:r>
      <w:hyperlink r:id="rId17">
        <w:r>
          <w:rPr>
            <w:rStyle w:val="Hyperlink"/>
          </w:rPr>
          <w:t xml:space="preserve">oecd+1</w:t>
        </w:r>
      </w:hyperlink>
    </w:p>
    <w:p>
      <w:pPr>
        <w:numPr>
          <w:ilvl w:val="0"/>
          <w:numId w:val="1001"/>
        </w:numPr>
      </w:pPr>
      <w:r>
        <w:t xml:space="preserve">Public funds are mainly allocated to research funding and targeted teaching/student support; basic funding for teaching is largely covered by (loan-financed) fees.</w:t>
      </w:r>
      <w:r>
        <w:t xml:space="preserve"> </w:t>
      </w:r>
      <w:hyperlink r:id="rId17">
        <w:r>
          <w:rPr>
            <w:rStyle w:val="Hyperlink"/>
          </w:rPr>
          <w:t xml:space="preserve">oecd+1</w:t>
        </w:r>
      </w:hyperlink>
      <w:r>
        <w:t xml:space="preserve"> </w:t>
      </w:r>
      <w:r>
        <w:t xml:space="preserve">## United Kingdom – rough structure of tertiary funding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38"/>
        <w:gridCol w:w="708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Classification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 funds</w:t>
            </w:r>
          </w:p>
        </w:tc>
        <w:tc>
          <w:tcPr/>
          <w:p>
            <w:pPr>
              <w:pStyle w:val="Compact"/>
            </w:pPr>
            <w:r>
              <w:t xml:space="preserve">significantly lower than continental European systems, but still relevant for research and grants.</w:t>
            </w:r>
            <w:r>
              <w:t xml:space="preserve"> </w:t>
            </w:r>
            <w:hyperlink r:id="rId17">
              <w:r>
                <w:rPr>
                  <w:rStyle w:val="Hyperlink"/>
                </w:rPr>
                <w:t xml:space="preserve">oecd+1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Private funding (mainly fees)</w:t>
            </w:r>
          </w:p>
        </w:tc>
        <w:tc>
          <w:tcPr/>
          <w:p>
            <w:pPr>
              <w:pStyle w:val="Compact"/>
            </w:pPr>
            <w:r>
              <w:t xml:space="preserve">one of the highest shares in Europe, core funding for teaching.</w:t>
            </w:r>
            <w:hyperlink r:id="rId17">
              <w:r>
                <w:rPr>
                  <w:rStyle w:val="Hyperlink"/>
                </w:rPr>
                <w:t xml:space="preserve">oecd+1</w:t>
              </w:r>
            </w:hyperlink>
          </w:p>
        </w:tc>
      </w:tr>
    </w:tbl>
    <w:p>
      <w:pPr>
        <w:pStyle w:val="BodyText"/>
      </w:pPr>
      <w:r>
        <w:t xml:space="preserve">(Exact percentages vary depending on the data set and year; the OECD identifies England as a “high tuition–high aid” model with predominantly private cost sharing by students.) [</w:t>
      </w:r>
      <w:hyperlink r:id="rId17">
        <w:r>
          <w:rPr>
            <w:rStyle w:val="Hyperlink"/>
          </w:rPr>
          <w:t xml:space="preserve">oecd</w:t>
        </w:r>
      </w:hyperlink>
      <w:r>
        <w:t xml:space="preserve">]​</w:t>
      </w:r>
      <w:r>
        <w:t xml:space="preserve"> </w:t>
      </w:r>
      <w:r>
        <w:t xml:space="preserve">## USA</w:t>
      </w:r>
      <w:r>
        <w:t xml:space="preserve"> </w:t>
      </w:r>
      <w:r>
        <w:t xml:space="preserve">- In the USA, only about 39% of tertiary education expenditure comes from public sources, with the rest coming from private sources (households, donations, companies, fees); the public share is thus well below the OECD average.</w:t>
      </w:r>
      <w:r>
        <w:t xml:space="preserve"> </w:t>
      </w:r>
      <w:hyperlink r:id="rId11">
        <w:r>
          <w:rPr>
            <w:rStyle w:val="Hyperlink"/>
          </w:rPr>
          <w:t xml:space="preserve">oecd+1</w:t>
        </w:r>
      </w:hyperlink>
      <w:r>
        <w:t xml:space="preserve"> </w:t>
      </w:r>
      <w:r>
        <w:t xml:space="preserve">- Tuition fees play a central role: at public universities, fees account for an average of around 20-30% of income, at private non-profit universities significantly more, and at private for-profit providers, over 90% of income comes from fees.</w:t>
      </w:r>
      <w:r>
        <w:t xml:space="preserve"> </w:t>
      </w:r>
      <w:hyperlink r:id="rId18">
        <w:r>
          <w:rPr>
            <w:rStyle w:val="Hyperlink"/>
          </w:rPr>
          <w:t xml:space="preserve">educationdata+1</w:t>
        </w:r>
      </w:hyperlink>
      <w:r>
        <w:t xml:space="preserve"> </w:t>
      </w:r>
      <w:r>
        <w:t xml:space="preserve">## USA – rough structure of tertiary financing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99"/>
        <w:gridCol w:w="6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Classification/Order of magnitude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public funding</w:t>
            </w:r>
          </w:p>
        </w:tc>
        <w:tc>
          <w:tcPr/>
          <w:p>
            <w:pPr>
              <w:pStyle w:val="Compact"/>
            </w:pPr>
            <w:r>
              <w:t xml:space="preserve">Approximately 39% of tertiary funding.</w:t>
            </w:r>
            <w:hyperlink r:id="rId11">
              <w:r>
                <w:rPr>
                  <w:rStyle w:val="Hyperlink"/>
                </w:rPr>
                <w:t xml:space="preserve">oecd+1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Total private funding</w:t>
            </w:r>
          </w:p>
        </w:tc>
        <w:tc>
          <w:tcPr/>
          <w:p>
            <w:pPr>
              <w:pStyle w:val="Compact"/>
            </w:pPr>
            <w:r>
              <w:t xml:space="preserve">approx. 60%+ (fees, donations, contracts).</w:t>
            </w:r>
            <w:hyperlink r:id="rId11">
              <w:r>
                <w:rPr>
                  <w:rStyle w:val="Hyperlink"/>
                </w:rPr>
                <w:t xml:space="preserve">oecd+1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Public university fees</w:t>
            </w:r>
          </w:p>
        </w:tc>
        <w:tc>
          <w:tcPr/>
          <w:p>
            <w:pPr>
              <w:pStyle w:val="Compact"/>
            </w:pPr>
            <w:r>
              <w:t xml:space="preserve">Approximately 20–30% of revenue.[</w:t>
            </w:r>
            <w:hyperlink r:id="rId18">
              <w:r>
                <w:rPr>
                  <w:rStyle w:val="Hyperlink"/>
                </w:rPr>
                <w:t xml:space="preserve">educationdata</w:t>
              </w:r>
            </w:hyperlink>
            <w:r>
              <w:t xml:space="preserve">]​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 for-profit tuition fees</w:t>
            </w:r>
          </w:p>
        </w:tc>
        <w:tc>
          <w:tcPr/>
          <w:p>
            <w:pPr>
              <w:pStyle w:val="Compact"/>
            </w:pPr>
            <w:r>
              <w:t xml:space="preserve">&gt;90% of revenue.[</w:t>
            </w:r>
            <w:hyperlink r:id="rId19">
              <w:r>
                <w:rPr>
                  <w:rStyle w:val="Hyperlink"/>
                </w:rPr>
                <w:t xml:space="preserve">journalistsresource</w:t>
              </w:r>
            </w:hyperlink>
            <w:r>
              <w:t xml:space="preserve">]​</w:t>
            </w:r>
          </w:p>
        </w:tc>
      </w:tr>
    </w:tbl>
    <w:bookmarkEnd w:id="20"/>
    <w:bookmarkStart w:id="21" w:name="europe-as-a-whole-pattern"/>
    <w:p>
      <w:pPr>
        <w:pStyle w:val="Heading2"/>
      </w:pPr>
      <w:r>
        <w:t xml:space="preserve">Europe as a whole – pattern</w:t>
      </w:r>
    </w:p>
    <w:p>
      <w:pPr>
        <w:pStyle w:val="Compact"/>
        <w:numPr>
          <w:ilvl w:val="0"/>
          <w:numId w:val="1002"/>
        </w:numPr>
      </w:pPr>
      <w:r>
        <w:t xml:space="preserve">Eurostat and Eurydice show that, in the EU, education is overwhelmingly publicly funded; private sources (including households) play a greater role in tertiary education, but remain below 30% of total expenditure in many countries.</w:t>
      </w:r>
      <w:hyperlink r:id="rId9">
        <w:r>
          <w:rPr>
            <w:rStyle w:val="Hyperlink"/>
          </w:rPr>
          <w:t xml:space="preserve">europa+1</w:t>
        </w:r>
      </w:hyperlink>
    </w:p>
    <w:p>
      <w:pPr>
        <w:pStyle w:val="Compact"/>
        <w:numPr>
          <w:ilvl w:val="0"/>
          <w:numId w:val="1002"/>
        </w:numPr>
      </w:pPr>
      <w:r>
        <w:t xml:space="preserve">Models range from “low fee–high public” (Nordic countries, Germany, France) to mixed models to “high fee–high aid” (England) and systems dominated by the private sector (USA).</w:t>
      </w:r>
      <w:hyperlink r:id="rId10">
        <w:r>
          <w:rPr>
            <w:rStyle w:val="Hyperlink"/>
          </w:rPr>
          <w:t xml:space="preserve">eua+2</w:t>
        </w:r>
      </w:hyperlink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ec.europa.eu/eurostat/statistics-explained/SEPDF/cache/1154.pdf" TargetMode="External" /><Relationship Type="http://schemas.openxmlformats.org/officeDocument/2006/relationships/hyperlink" Id="rId12" Target="https://ec.europa.eu/eurostat/statistics-explained/index.php/Educational_expenditure_statistics" TargetMode="External" /><Relationship Type="http://schemas.openxmlformats.org/officeDocument/2006/relationships/hyperlink" Id="rId18" Target="https://educationdata.org/public-education-spending-statistics" TargetMode="External" /><Relationship Type="http://schemas.openxmlformats.org/officeDocument/2006/relationships/hyperlink" Id="rId14" Target="https://foerderatlas.dfg.de/en/stories/basic-funding-and-third-party-funding-of-higher-education-institutions/" TargetMode="External" /><Relationship Type="http://schemas.openxmlformats.org/officeDocument/2006/relationships/hyperlink" Id="rId13" Target="https://gpseducation.oecd.org/Content/EAGCountryNotes/EAG2023_CN_DEU_pdf.pdf" TargetMode="External" /><Relationship Type="http://schemas.openxmlformats.org/officeDocument/2006/relationships/hyperlink" Id="rId19" Target="https://journalistsresource.org/home/higher-education-funding-college-tuition-overview/" TargetMode="External" /><Relationship Type="http://schemas.openxmlformats.org/officeDocument/2006/relationships/hyperlink" Id="rId10" Target="https://www.eua.eu/images/publications/funding_models_v2.pdf" TargetMode="External" /><Relationship Type="http://schemas.openxmlformats.org/officeDocument/2006/relationships/hyperlink" Id="rId16" Target="https://www.oecd.org/en/publications/education-at-a-glance-2023_e13bef63-en.html" TargetMode="External" /><Relationship Type="http://schemas.openxmlformats.org/officeDocument/2006/relationships/hyperlink" Id="rId15" Target="https://www.oecd.org/en/publications/education-at-a-glance-2025_1a3543e2-en/france_4d428477-en.html" TargetMode="External" /><Relationship Type="http://schemas.openxmlformats.org/officeDocument/2006/relationships/hyperlink" Id="rId11" Target="https://www.oecd.org/en/publications/education-at-a-glance-2025_1a3543e2-en/united-states_784df67f-en.html" TargetMode="External" /><Relationship Type="http://schemas.openxmlformats.org/officeDocument/2006/relationships/hyperlink" Id="rId17" Target="https://www.oecd.org/en/publications/education-at-a-glance-2025_1c0d9c79-en/full-report/how-is-tertiary-education-financed_2845d742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ec.europa.eu/eurostat/statistics-explained/SEPDF/cache/1154.pdf" TargetMode="External" /><Relationship Type="http://schemas.openxmlformats.org/officeDocument/2006/relationships/hyperlink" Id="rId12" Target="https://ec.europa.eu/eurostat/statistics-explained/index.php/Educational_expenditure_statistics" TargetMode="External" /><Relationship Type="http://schemas.openxmlformats.org/officeDocument/2006/relationships/hyperlink" Id="rId18" Target="https://educationdata.org/public-education-spending-statistics" TargetMode="External" /><Relationship Type="http://schemas.openxmlformats.org/officeDocument/2006/relationships/hyperlink" Id="rId14" Target="https://foerderatlas.dfg.de/en/stories/basic-funding-and-third-party-funding-of-higher-education-institutions/" TargetMode="External" /><Relationship Type="http://schemas.openxmlformats.org/officeDocument/2006/relationships/hyperlink" Id="rId13" Target="https://gpseducation.oecd.org/Content/EAGCountryNotes/EAG2023_CN_DEU_pdf.pdf" TargetMode="External" /><Relationship Type="http://schemas.openxmlformats.org/officeDocument/2006/relationships/hyperlink" Id="rId19" Target="https://journalistsresource.org/home/higher-education-funding-college-tuition-overview/" TargetMode="External" /><Relationship Type="http://schemas.openxmlformats.org/officeDocument/2006/relationships/hyperlink" Id="rId10" Target="https://www.eua.eu/images/publications/funding_models_v2.pdf" TargetMode="External" /><Relationship Type="http://schemas.openxmlformats.org/officeDocument/2006/relationships/hyperlink" Id="rId16" Target="https://www.oecd.org/en/publications/education-at-a-glance-2023_e13bef63-en.html" TargetMode="External" /><Relationship Type="http://schemas.openxmlformats.org/officeDocument/2006/relationships/hyperlink" Id="rId15" Target="https://www.oecd.org/en/publications/education-at-a-glance-2025_1a3543e2-en/france_4d428477-en.html" TargetMode="External" /><Relationship Type="http://schemas.openxmlformats.org/officeDocument/2006/relationships/hyperlink" Id="rId11" Target="https://www.oecd.org/en/publications/education-at-a-glance-2025_1a3543e2-en/united-states_784df67f-en.html" TargetMode="External" /><Relationship Type="http://schemas.openxmlformats.org/officeDocument/2006/relationships/hyperlink" Id="rId17" Target="https://www.oecd.org/en/publications/education-at-a-glance-2025_1c0d9c79-en/full-report/how-is-tertiary-education-financed_2845d742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2026-02-09T18:13:38Z</dcterms:created>
  <dcterms:modified xsi:type="dcterms:W3CDTF">2026-02-09T18:13:38Z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