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nanzierungszahlen-in-kapitel-09"/>
    <w:p>
      <w:pPr>
        <w:pStyle w:val="Heading1"/>
      </w:pPr>
      <w:r>
        <w:t xml:space="preserve">Finanzierungszahlen in Kapitel 09</w:t>
      </w:r>
    </w:p>
    <w:bookmarkStart w:id="11" w:name="woher-kommen-die-zahlen"/>
    <w:p>
      <w:pPr>
        <w:pStyle w:val="Heading2"/>
      </w:pPr>
      <w:r>
        <w:t xml:space="preserve">Woher kommen die Zahlen?</w:t>
      </w:r>
    </w:p>
    <w:p>
      <w:pPr>
        <w:pStyle w:val="FirstParagraph"/>
      </w:pPr>
      <w:r>
        <w:t xml:space="preserve">Die Referenzzahlen im Abschnitt</w:t>
      </w:r>
      <w:r>
        <w:t xml:space="preserve"> </w:t>
      </w:r>
      <w:r>
        <w:t xml:space="preserve">“A Concrete Funding Architecture”</w:t>
      </w:r>
      <w:r>
        <w:t xml:space="preserve"> </w:t>
      </w:r>
      <w:r>
        <w:t xml:space="preserve">(Zeile 125–163) beschreiben eine</w:t>
      </w:r>
      <w:r>
        <w:t xml:space="preserve"> </w:t>
      </w:r>
      <w:r>
        <w:rPr>
          <w:b/>
          <w:bCs/>
        </w:rPr>
        <w:t xml:space="preserve">US-amerikanische mid-tier public research university</w:t>
      </w:r>
      <w:r>
        <w:t xml:space="preserve">. Konkret:</w:t>
      </w:r>
    </w:p>
    <w:bookmarkStart w:id="9" w:name="status-quo-modell-zeile-129"/>
    <w:p>
      <w:pPr>
        <w:pStyle w:val="Heading3"/>
      </w:pPr>
      <w:r>
        <w:t xml:space="preserve">Status-quo-Modell (Zeile 129)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7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Einnahmequelle</w:t>
            </w:r>
          </w:p>
        </w:tc>
        <w:tc>
          <w:tcPr/>
          <w:p>
            <w:pPr>
              <w:pStyle w:val="Compact"/>
            </w:pPr>
            <w:r>
              <w:t xml:space="preserve">Angabe im Text</w:t>
            </w:r>
          </w:p>
        </w:tc>
        <w:tc>
          <w:tcPr/>
          <w:p>
            <w:pPr>
              <w:pStyle w:val="Compact"/>
            </w:pPr>
            <w:r>
              <w:t xml:space="preserve">Implizite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appropriations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US-Landesmittel — typisch für eine State University nach Jahrzehnten sinkender öffentlicher Finanzierung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 &amp; fees</w:t>
            </w:r>
          </w:p>
        </w:tc>
        <w:tc>
          <w:tcPr/>
          <w:p>
            <w:pPr>
              <w:pStyle w:val="Compact"/>
            </w:pPr>
            <w:r>
              <w:t xml:space="preserve">35–40%</w:t>
            </w:r>
          </w:p>
        </w:tc>
        <w:tc>
          <w:tcPr/>
          <w:p>
            <w:pPr>
              <w:pStyle w:val="Compact"/>
            </w:pPr>
            <w:r>
              <w:t xml:space="preserve">US-Studiengebühren ($10.000–$15.000/Jahr in-state, $25.000–$40.000 out-of-state)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grants</w:t>
            </w:r>
          </w:p>
        </w:tc>
        <w:tc>
          <w:tcPr/>
          <w:p>
            <w:pPr>
              <w:pStyle w:val="Compact"/>
            </w:pPr>
            <w:r>
              <w:t xml:space="preserve">10–15%</w:t>
            </w:r>
          </w:p>
        </w:tc>
        <w:tc>
          <w:tcPr/>
          <w:p>
            <w:pPr>
              <w:pStyle w:val="Compact"/>
            </w:pPr>
            <w:r>
              <w:t xml:space="preserve">NSF, NIH, DoD — föderale Forschungsförderung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Philanthropy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  <w:tc>
          <w:tcPr/>
          <w:p>
            <w:pPr>
              <w:pStyle w:val="Compact"/>
            </w:pPr>
            <w:r>
              <w:t xml:space="preserve">US-Spenden- und Endowment-Kultur, für mid-tier Universitäten realistisch</w:t>
            </w:r>
          </w:p>
        </w:tc>
      </w:tr>
    </w:tbl>
    <w:bookmarkEnd w:id="9"/>
    <w:bookmarkStart w:id="10" w:name="zielmodell-zeilen-133143"/>
    <w:p>
      <w:pPr>
        <w:pStyle w:val="Heading3"/>
      </w:pPr>
      <w:r>
        <w:t xml:space="preserve">Zielmodell (Zeilen 133–143)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279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Einnahmequelle</w:t>
            </w:r>
          </w:p>
        </w:tc>
        <w:tc>
          <w:tcPr/>
          <w:p>
            <w:pPr>
              <w:pStyle w:val="Compact"/>
            </w:pPr>
            <w:r>
              <w:t xml:space="preserve">Vorschlag im Text</w:t>
            </w:r>
          </w:p>
        </w:tc>
        <w:tc>
          <w:tcPr/>
          <w:p>
            <w:pPr>
              <w:pStyle w:val="Compact"/>
            </w:pPr>
            <w:r>
              <w:t xml:space="preserve">Implizite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funding</w:t>
            </w:r>
          </w:p>
        </w:tc>
        <w:tc>
          <w:tcPr/>
          <w:p>
            <w:pPr>
              <w:pStyle w:val="Compact"/>
            </w:pPr>
            <w:r>
              <w:t xml:space="preserve">35–40%</w:t>
            </w:r>
          </w:p>
        </w:tc>
        <w:tc>
          <w:tcPr/>
          <w:p>
            <w:pPr>
              <w:pStyle w:val="Compact"/>
            </w:pPr>
            <w:r>
              <w:t xml:space="preserve">US-Ziel: Erhöhung von 30% — immer noch weit unter europäischem 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</w:t>
            </w:r>
          </w:p>
        </w:tc>
        <w:tc>
          <w:tcPr/>
          <w:p>
            <w:pPr>
              <w:pStyle w:val="Compact"/>
            </w:pPr>
            <w:r>
              <w:t xml:space="preserve">25–30%</w:t>
            </w:r>
          </w:p>
        </w:tc>
        <w:tc>
          <w:tcPr/>
          <w:p>
            <w:pPr>
              <w:pStyle w:val="Compact"/>
            </w:pPr>
            <w:r>
              <w:t xml:space="preserve">Senkung von 35–40% — immer noch um Faktor 3–6 über EU-Durchschnitt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Research/grants</w:t>
            </w:r>
          </w:p>
        </w:tc>
        <w:tc>
          <w:tcPr/>
          <w:p>
            <w:pPr>
              <w:pStyle w:val="Compact"/>
            </w:pPr>
            <w:r>
              <w:t xml:space="preserve">15–20%</w:t>
            </w:r>
          </w:p>
        </w:tc>
        <w:tc>
          <w:tcPr/>
          <w:p>
            <w:pPr>
              <w:pStyle w:val="Compact"/>
            </w:pPr>
            <w:r>
              <w:t xml:space="preserve">Vergleichbar mit europäischen Werten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Philanthropy</w:t>
            </w:r>
          </w:p>
        </w:tc>
        <w:tc>
          <w:tcPr/>
          <w:p>
            <w:pPr>
              <w:pStyle w:val="Compact"/>
            </w:pPr>
            <w:r>
              <w:t xml:space="preserve">10–15%</w:t>
            </w:r>
          </w:p>
        </w:tc>
        <w:tc>
          <w:tcPr/>
          <w:p>
            <w:pPr>
              <w:pStyle w:val="Compact"/>
            </w:pPr>
            <w:r>
              <w:t xml:space="preserve">Unrealistisch für europäische Hochschulen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  <w:tc>
          <w:tcPr/>
          <w:p>
            <w:pPr>
              <w:pStyle w:val="Compact"/>
            </w:pPr>
            <w:r>
              <w:t xml:space="preserve">Hypothetisch, kein Referenzmarkt</w:t>
            </w:r>
          </w:p>
        </w:tc>
      </w:tr>
    </w:tbl>
    <w:p>
      <w:pPr>
        <w:pStyle w:val="BodyText"/>
      </w:pPr>
      <w:r>
        <w:rPr>
          <w:b/>
          <w:bCs/>
        </w:rPr>
        <w:t xml:space="preserve">Fazit: Das gesamte Modell — Status quo wie Ziel — basiert auf US-Verhältnissen und ist für europäische Leser irreführend.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0860e315ec73d28688411a5a1a6e78be5eeb82d"/>
    <w:p>
      <w:pPr>
        <w:pStyle w:val="Heading2"/>
      </w:pPr>
      <w:r>
        <w:t xml:space="preserve">Wie sehen die tatsächlichen Zahlen in Deutschland, UK und EU aus?</w:t>
      </w:r>
    </w:p>
    <w:bookmarkStart w:id="12" w:name="X2b2318f40aff12befc59a1947c2438e9b6b7bb6"/>
    <w:p>
      <w:pPr>
        <w:pStyle w:val="Heading3"/>
      </w:pPr>
      <w:r>
        <w:t xml:space="preserve">Deutschland (typische Universität ohne Uniklinikum)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1810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Einnahmequelle</w:t>
            </w:r>
          </w:p>
        </w:tc>
        <w:tc>
          <w:tcPr/>
          <w:p>
            <w:pPr>
              <w:pStyle w:val="Compact"/>
            </w:pPr>
            <w:r>
              <w:t xml:space="preserve">Anteil</w:t>
            </w:r>
          </w:p>
        </w:tc>
        <w:tc>
          <w:tcPr/>
          <w:p>
            <w:pPr>
              <w:pStyle w:val="Compac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Grundmittel (Landesmittel)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55–65%</w:t>
            </w:r>
          </w:p>
        </w:tc>
        <w:tc>
          <w:tcPr/>
          <w:p>
            <w:pPr>
              <w:pStyle w:val="Compact"/>
            </w:pPr>
            <w:r>
              <w:t xml:space="preserve">Hauptfinanzierungsquelle; Länder tragen ~86%, Bund ~14%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Drittmittel (DFG, BMBF, EU, Industrie)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25–35%</w:t>
            </w:r>
          </w:p>
        </w:tc>
        <w:tc>
          <w:tcPr/>
          <w:p>
            <w:pPr>
              <w:pStyle w:val="Compact"/>
            </w:pPr>
            <w:r>
              <w:t xml:space="preserve">Wachsend; +19% von 2019–2022 (DFG Förderatlas 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Studiengebühren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Seit 2014 in allen Bundesländern abgeschafft (Ausnahme: Non-EU in BaWü: 1.500€/Semester)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Semesterbeiträge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200–300€/Semester für Verwaltung/Semesterticket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Spenden/Stiftungen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1–2%</w:t>
            </w:r>
          </w:p>
        </w:tc>
        <w:tc>
          <w:tcPr/>
          <w:p>
            <w:pPr>
              <w:pStyle w:val="Compact"/>
            </w:pPr>
            <w:r>
              <w:t xml:space="preserve">Kaum entwickelte Spendenkultur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Weiterbildung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Wachsend, aber marginal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Strukturelles Merkmal:</w:t>
      </w:r>
      <w:r>
        <w:t xml:space="preserve"> </w:t>
      </w:r>
      <w:r>
        <w:t xml:space="preserve">Deutschland hat kein Tuition-Problem, aber ein wachsendes Drittmittel-Abhängigkeitsproblem. Die Verschiebung von Grundmitteln zu kompetitiven Drittmitteln erzeugt ähnliche Fehlanreize wie Tuition-Abhängigkeit in den USA — nur subtiler.</w:t>
      </w:r>
    </w:p>
    <w:bookmarkEnd w:id="12"/>
    <w:bookmarkStart w:id="13" w:name="uk-post-2012-reform-mid-tier-universität"/>
    <w:p>
      <w:pPr>
        <w:pStyle w:val="Heading3"/>
      </w:pPr>
      <w:r>
        <w:t xml:space="preserve">UK (post-2012-Reform, mid-tier Universität)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1810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Einnahmequelle</w:t>
            </w:r>
          </w:p>
        </w:tc>
        <w:tc>
          <w:tcPr/>
          <w:p>
            <w:pPr>
              <w:pStyle w:val="Compact"/>
            </w:pPr>
            <w:r>
              <w:t xml:space="preserve">Anteil</w:t>
            </w:r>
          </w:p>
        </w:tc>
        <w:tc>
          <w:tcPr/>
          <w:p>
            <w:pPr>
              <w:pStyle w:val="Compac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 fees (gesamt)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52–53%</w:t>
            </w:r>
          </w:p>
        </w:tc>
        <w:tc>
          <w:tcPr/>
          <w:p>
            <w:pPr>
              <w:pStyle w:val="Compact"/>
            </w:pPr>
            <w:r>
              <w:t xml:space="preserve">Davon ~24% domestic (gedeckelt bei £9,250), ~23% international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funding body grants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11–12%</w:t>
            </w:r>
          </w:p>
        </w:tc>
        <w:tc>
          <w:tcPr/>
          <w:p>
            <w:pPr>
              <w:pStyle w:val="Compact"/>
            </w:pPr>
            <w:r>
              <w:t xml:space="preserve">Dramatischer Rückgang von 39% (2006) auf 11% 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grants &amp; contracts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UKRI, Charities, EU, Industrie; 75% gehen an Russell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Endowments &amp; donations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~2%</w:t>
            </w:r>
          </w:p>
        </w:tc>
        <w:tc>
          <w:tcPr/>
          <w:p>
            <w:pPr>
              <w:pStyle w:val="Compact"/>
            </w:pPr>
            <w:r>
              <w:t xml:space="preserve">Stark konzentriert: Oxford/Cambridge = 48% aller Spenden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21–22%</w:t>
            </w:r>
          </w:p>
        </w:tc>
        <w:tc>
          <w:tcPr/>
          <w:p>
            <w:pPr>
              <w:pStyle w:val="Compact"/>
            </w:pPr>
            <w:r>
              <w:t xml:space="preserve">Wohnheime, Konferenzen, IP, Catering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Strukturelles Merkmal:</w:t>
      </w:r>
      <w:r>
        <w:t xml:space="preserve"> </w:t>
      </w:r>
      <w:r>
        <w:t xml:space="preserve">UK hat das am stärksten marktgetriebene System Europas. Die Abhängigkeit von internationalen Studiengebühren (~23% des Gesamteinkommens) ist ein massives Klumpenrisiko — 72% der Universitäten könnten bis 2025/26 im Defizit sein (OfS 2024).</w:t>
      </w:r>
    </w:p>
    <w:bookmarkEnd w:id="13"/>
    <w:bookmarkStart w:id="14" w:name="eu-durchschnitt"/>
    <w:p>
      <w:pPr>
        <w:pStyle w:val="Heading3"/>
      </w:pPr>
      <w:r>
        <w:t xml:space="preserve">EU-Durchschnitt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Einnahmequelle</w:t>
            </w:r>
          </w:p>
        </w:tc>
        <w:tc>
          <w:tcPr/>
          <w:p>
            <w:pPr>
              <w:pStyle w:val="Compact"/>
            </w:pPr>
            <w:r>
              <w:t xml:space="preserve">Anteil</w:t>
            </w:r>
          </w:p>
        </w:tc>
        <w:tc>
          <w:tcPr/>
          <w:p>
            <w:pPr>
              <w:pStyle w:val="Compact"/>
            </w:pPr>
            <w:r>
              <w:t xml:space="preserve">Bandbreite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Öffentliche 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65–75%</w:t>
            </w:r>
          </w:p>
        </w:tc>
        <w:tc>
          <w:tcPr/>
          <w:p>
            <w:pPr>
              <w:pStyle w:val="Compact"/>
            </w:pPr>
            <w:r>
              <w:t xml:space="preserve">Nordisch: 85–96%; Kontinental: 60–85%; UK: 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Studiengebühren (Haushalte)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8–15%</w:t>
            </w:r>
          </w:p>
        </w:tc>
        <w:tc>
          <w:tcPr/>
          <w:p>
            <w:pPr>
              <w:pStyle w:val="Compact"/>
            </w:pPr>
            <w:r>
              <w:t xml:space="preserve">Nordisch: 0%; Kontinental: 5–10%; UK: 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Forschungsdrittmittel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5–10%</w:t>
            </w:r>
          </w:p>
        </w:tc>
        <w:tc>
          <w:tcPr/>
          <w:p>
            <w:pPr>
              <w:pStyle w:val="Compact"/>
            </w:pPr>
            <w:r>
              <w:t xml:space="preserve">Horizon Europe + nationale Förderung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Wirtschaft/Industrie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2–5%</w:t>
            </w:r>
          </w:p>
        </w:tc>
        <w:tc>
          <w:tcPr/>
          <w:p>
            <w:pPr>
              <w:pStyle w:val="Compact"/>
            </w:pPr>
            <w:r>
              <w:t xml:space="preserve">Verträge, Partnerschaften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Philanthropie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Keine vergleichbare Tradition</w:t>
            </w:r>
          </w:p>
        </w:tc>
      </w:tr>
    </w:tbl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2026-02-09T18:13:38Z</dcterms:created>
  <dcterms:modified xsi:type="dcterms:W3CDTF">2026-02-09T18:13:38Z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