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Xea1a15b3a2a4976528d857c579aebba45c2e193"/>
    <w:p>
      <w:pPr>
        <w:pStyle w:val="Heading1"/>
      </w:pPr>
      <w:r>
        <w:t xml:space="preserve">New Models of Learning: What’s Already Here</w:t>
      </w:r>
    </w:p>
    <w:p>
      <w:pPr>
        <w:pStyle w:val="FirstParagraph"/>
      </w:pPr>
      <w:r>
        <w:t xml:space="preserve">The traditional university is not the only game in town anymore.</w:t>
      </w:r>
      <w:r>
        <w:t xml:space="preserve"> </w:t>
      </w:r>
      <w:r>
        <w:t xml:space="preserve">Over the past two decades, a handful of radically different institutional models</w:t>
      </w:r>
      <w:r>
        <w:t xml:space="preserve"> </w:t>
      </w:r>
      <w:r>
        <w:t xml:space="preserve">have moved from experiment to scale, each testing a different hypothesis about</w:t>
      </w:r>
      <w:r>
        <w:t xml:space="preserve"> </w:t>
      </w:r>
      <w:r>
        <w:t xml:space="preserve">how higher education could work.</w:t>
      </w:r>
      <w:r>
        <w:t xml:space="preserve"> </w:t>
      </w:r>
      <w:r>
        <w:t xml:space="preserve">Some bet on technology.</w:t>
      </w:r>
      <w:r>
        <w:t xml:space="preserve"> </w:t>
      </w:r>
      <w:r>
        <w:t xml:space="preserve">Others bet on peers, employers, or cross-border networks.</w:t>
      </w:r>
      <w:r>
        <w:t xml:space="preserve"> </w:t>
      </w:r>
      <w:r>
        <w:t xml:space="preserve">A few bet on eliminating the campus, the professor, or the credit hour altogether.</w:t>
      </w:r>
    </w:p>
    <w:p>
      <w:pPr>
        <w:pStyle w:val="BodyText"/>
      </w:pPr>
      <w:r>
        <w:t xml:space="preserve">None of these models has</w:t>
      </w:r>
      <w:r>
        <w:t xml:space="preserve"> </w:t>
      </w:r>
      <w:r>
        <w:t xml:space="preserve">“solved”</w:t>
      </w:r>
      <w:r>
        <w:t xml:space="preserve"> </w:t>
      </w:r>
      <w:r>
        <w:t xml:space="preserve">higher education.</w:t>
      </w:r>
      <w:r>
        <w:t xml:space="preserve"> </w:t>
      </w:r>
      <w:r>
        <w:t xml:space="preserve">Each carries its own blind spots, trade-offs, and failure modes.</w:t>
      </w:r>
      <w:r>
        <w:t xml:space="preserve"> </w:t>
      </w:r>
      <w:r>
        <w:t xml:space="preserve">But together they offer a practical catalogue of what is already possible –</w:t>
      </w:r>
      <w:r>
        <w:t xml:space="preserve"> </w:t>
      </w:r>
      <w:r>
        <w:t xml:space="preserve">and a clear-eyed look at what goes wrong when good ideas meet messy reality.</w:t>
      </w:r>
    </w:p>
    <w:p>
      <w:pPr>
        <w:pStyle w:val="BodyText"/>
      </w:pPr>
      <w:r>
        <w:t xml:space="preserve">This chapter profiles five archetypes.</w:t>
      </w:r>
      <w:r>
        <w:t xml:space="preserve"> </w:t>
      </w:r>
      <w:r>
        <w:t xml:space="preserve">For each, we ask the same four questions:</w:t>
      </w:r>
      <w:r>
        <w:t xml:space="preserve"> </w:t>
      </w:r>
      <w:r>
        <w:t xml:space="preserve">- What is it?</w:t>
      </w:r>
      <w:r>
        <w:t xml:space="preserve"> </w:t>
      </w:r>
      <w:r>
        <w:t xml:space="preserve">- Why does it look promising?</w:t>
      </w:r>
      <w:r>
        <w:t xml:space="preserve"> </w:t>
      </w:r>
      <w:r>
        <w:t xml:space="preserve">- What does the evidence actually say?</w:t>
      </w:r>
      <w:r>
        <w:t xml:space="preserve"> </w:t>
      </w:r>
      <w:r>
        <w:t xml:space="preserve">- And what can go wrong?</w:t>
      </w:r>
    </w:p>
    <w:p>
      <w:pPr>
        <w:pStyle w:val="BodyText"/>
      </w:pPr>
      <w:r>
        <w:t xml:space="preserve">The goal is not a shopping list of innovations</w:t>
      </w:r>
      <w:r>
        <w:t xml:space="preserve"> </w:t>
      </w:r>
      <w:r>
        <w:t xml:space="preserve">- but an honest inventory – one that helps readers judge</w:t>
      </w:r>
      <w:r>
        <w:t xml:space="preserve"> </w:t>
      </w:r>
      <w:r>
        <w:t xml:space="preserve">- which ideas deserve scaling, which need redesign,</w:t>
      </w:r>
      <w:r>
        <w:t xml:space="preserve"> </w:t>
      </w:r>
      <w:r>
        <w:t xml:space="preserve">- and which are more marketing than substance.</w:t>
      </w:r>
    </w:p>
    <w:bookmarkStart w:id="22" w:name="competency-based-online-universities"/>
    <w:p>
      <w:pPr>
        <w:pStyle w:val="Heading2"/>
      </w:pPr>
      <w:r>
        <w:t xml:space="preserve">1. Competency-Based Online Universities</w:t>
      </w:r>
    </w:p>
    <w:bookmarkStart w:id="21" w:name="Xcf6fae4c89be04aeb6d2870bad7a47c4b66ec78"/>
    <w:p>
      <w:pPr>
        <w:pStyle w:val="Heading3"/>
      </w:pPr>
      <w:r>
        <w:t xml:space="preserve">Westen Governors University (WGU) and Southern New Hampshire University (SNHU)</w:t>
      </w:r>
    </w:p>
    <w:bookmarkStart w:id="9" w:name="what-it-is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Competency-based education (CBE) replaces the credit hour with demonstrated mastery.</w:t>
      </w:r>
      <w:r>
        <w:t xml:space="preserve"> </w:t>
      </w:r>
      <w:r>
        <w:t xml:space="preserve">Students do not sit through a semester of lectures and take an exam at the end;</w:t>
      </w:r>
      <w:r>
        <w:t xml:space="preserve"> </w:t>
      </w:r>
      <w:r>
        <w:t xml:space="preserve">instead, they work through material at their own pace</w:t>
      </w:r>
      <w:r>
        <w:t xml:space="preserve"> </w:t>
      </w:r>
      <w:r>
        <w:t xml:space="preserve">and prove competence whenever they are ready.</w:t>
      </w:r>
    </w:p>
    <w:p>
      <w:pPr>
        <w:pStyle w:val="Compact"/>
        <w:numPr>
          <w:ilvl w:val="0"/>
          <w:numId w:val="1001"/>
        </w:numPr>
      </w:pPr>
      <w:r>
        <w:t xml:space="preserve">WGU, founded in 1997 by 19 U.S. state governors,</w:t>
      </w:r>
      <w:r>
        <w:t xml:space="preserve"> </w:t>
      </w:r>
      <w:r>
        <w:t xml:space="preserve">now serves over 200,000 students with fully online, self-paced degree programs.</w:t>
      </w:r>
    </w:p>
    <w:p>
      <w:pPr>
        <w:pStyle w:val="Compact"/>
        <w:numPr>
          <w:ilvl w:val="0"/>
          <w:numId w:val="1001"/>
        </w:numPr>
      </w:pPr>
      <w:r>
        <w:t xml:space="preserve">Learners complete pre-assessments to identify what they already know,</w:t>
      </w:r>
      <w:r>
        <w:t xml:space="preserve"> </w:t>
      </w:r>
      <w:r>
        <w:t xml:space="preserve">study only the material they need,</w:t>
      </w:r>
      <w:r>
        <w:t xml:space="preserve"> </w:t>
      </w:r>
      <w:r>
        <w:t xml:space="preserve">and take final assessments when ready – no waiting for the semester to end.</w:t>
      </w:r>
    </w:p>
    <w:p>
      <w:pPr>
        <w:pStyle w:val="Compact"/>
        <w:numPr>
          <w:ilvl w:val="0"/>
          <w:numId w:val="1001"/>
        </w:numPr>
      </w:pPr>
      <w:r>
        <w:t xml:space="preserve">Students must complete a minimum of 12 competency units per term</w:t>
      </w:r>
      <w:r>
        <w:t xml:space="preserve"> </w:t>
      </w:r>
      <w:r>
        <w:t xml:space="preserve">but can accelerate beyond that as much as effort and prior knowledge allow.</w:t>
      </w:r>
    </w:p>
    <w:p>
      <w:pPr>
        <w:pStyle w:val="Compact"/>
        <w:numPr>
          <w:ilvl w:val="0"/>
          <w:numId w:val="1001"/>
        </w:numPr>
      </w:pPr>
      <w:r>
        <w:t xml:space="preserve">One graduate completed both a bachelor’s and a master’s degree</w:t>
      </w:r>
      <w:r>
        <w:t xml:space="preserve"> </w:t>
      </w:r>
      <w:r>
        <w:t xml:space="preserve">in leadership and management within nine months.</w:t>
      </w:r>
    </w:p>
    <w:p>
      <w:pPr>
        <w:pStyle w:val="FirstParagraph"/>
      </w:pPr>
      <w:r>
        <w:t xml:space="preserve">SNHU extends the CBE model to underserved populations –</w:t>
      </w:r>
      <w:r>
        <w:t xml:space="preserve"> </w:t>
      </w:r>
      <w:r>
        <w:t xml:space="preserve">refugees, frontline workers, low-income adults –</w:t>
      </w:r>
      <w:r>
        <w:t xml:space="preserve"> </w:t>
      </w:r>
      <w:r>
        <w:t xml:space="preserve">through partnerships with community organizations.</w:t>
      </w:r>
      <w:r>
        <w:t xml:space="preserve"> </w:t>
      </w:r>
      <w:r>
        <w:t xml:space="preserve">Its Duet model combines competency-based curricula</w:t>
      </w:r>
      <w:r>
        <w:t xml:space="preserve"> </w:t>
      </w:r>
      <w:r>
        <w:t xml:space="preserve">with high-touch wraparound support:</w:t>
      </w:r>
      <w:r>
        <w:t xml:space="preserve"> </w:t>
      </w:r>
      <w:r>
        <w:t xml:space="preserve">coaching, advising, and mental-health resources.</w:t>
      </w:r>
    </w:p>
    <w:p>
      <w:pPr>
        <w:pStyle w:val="BodyText"/>
      </w:pPr>
      <w:r>
        <w:t xml:space="preserve">SNHU is also piloting generative-AI tutors</w:t>
      </w:r>
      <w:r>
        <w:t xml:space="preserve"> </w:t>
      </w:r>
      <w:r>
        <w:t xml:space="preserve">built on its Learner Information Framework (LIF)</w:t>
      </w:r>
      <w:r>
        <w:t xml:space="preserve"> </w:t>
      </w:r>
      <w:r>
        <w:t xml:space="preserve">to identify at-risk students early</w:t>
      </w:r>
      <w:r>
        <w:t xml:space="preserve"> </w:t>
      </w:r>
      <w:r>
        <w:t xml:space="preserve">and deliver personalized interventions before challenges escalate.</w:t>
      </w:r>
    </w:p>
    <w:bookmarkEnd w:id="9"/>
    <w:bookmarkStart w:id="10" w:name="why-it-looks-promising"/>
    <w:p>
      <w:pPr>
        <w:pStyle w:val="Heading4"/>
      </w:pPr>
      <w:r>
        <w:t xml:space="preserve">Why it looks promising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Time becomes flexible.</w:t>
      </w:r>
      <w:r>
        <w:t xml:space="preserve"> </w:t>
      </w:r>
      <w:r>
        <w:t xml:space="preserve">The principle is simple:</w:t>
      </w:r>
      <w:r>
        <w:t xml:space="preserve"> </w:t>
      </w:r>
      <w:r>
        <w:t xml:space="preserve">“learning is the constant and time is the variable.”</w:t>
      </w:r>
      <w:r>
        <w:t xml:space="preserve"> </w:t>
      </w:r>
      <w:r>
        <w:t xml:space="preserve">Students who already know the material move fast;</w:t>
      </w:r>
      <w:r>
        <w:t xml:space="preserve"> </w:t>
      </w:r>
      <w:r>
        <w:t xml:space="preserve">those who need more time get it.</w:t>
      </w:r>
      <w:r>
        <w:t xml:space="preserve"> </w:t>
      </w:r>
      <w:r>
        <w:t xml:space="preserve">This is the opposite of the industrial-age model</w:t>
      </w:r>
      <w:r>
        <w:t xml:space="preserve"> </w:t>
      </w:r>
      <w:r>
        <w:t xml:space="preserve">where everyone moves at the same speed regardless of preparation.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Cost drops when pace increases.</w:t>
      </w:r>
      <w:r>
        <w:t xml:space="preserve"> </w:t>
      </w:r>
      <w:r>
        <w:t xml:space="preserve">WGU’s flat-rate tuition per six-month term means</w:t>
      </w:r>
      <w:r>
        <w:t xml:space="preserve"> </w:t>
      </w:r>
      <w:r>
        <w:t xml:space="preserve">that students who accelerate pay less overall.</w:t>
      </w:r>
      <w:r>
        <w:t xml:space="preserve"> </w:t>
      </w:r>
      <w:r>
        <w:t xml:space="preserve">For working adults with prior professional experience,</w:t>
      </w:r>
      <w:r>
        <w:t xml:space="preserve"> </w:t>
      </w:r>
      <w:r>
        <w:t xml:space="preserve">this can cut the cost of a degree by half or more.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Reaches populations traditional universities miss.</w:t>
      </w:r>
      <w:r>
        <w:t xml:space="preserve"> </w:t>
      </w:r>
      <w:r>
        <w:t xml:space="preserve">SNHU’s partnerships with community organizations</w:t>
      </w:r>
      <w:r>
        <w:t xml:space="preserve"> </w:t>
      </w:r>
      <w:r>
        <w:t xml:space="preserve">bring degree programs to refugees and frontline workers</w:t>
      </w:r>
      <w:r>
        <w:t xml:space="preserve"> </w:t>
      </w:r>
      <w:r>
        <w:t xml:space="preserve">who would never set foot on a residential campus.</w:t>
      </w:r>
      <w:r>
        <w:t xml:space="preserve"> </w:t>
      </w:r>
      <w:r>
        <w:t xml:space="preserve">The Duet model’s wraparound support –</w:t>
      </w:r>
      <w:r>
        <w:t xml:space="preserve"> </w:t>
      </w:r>
      <w:r>
        <w:t xml:space="preserve">coaching, advising, mental-health resources –</w:t>
      </w:r>
      <w:r>
        <w:t xml:space="preserve"> </w:t>
      </w:r>
      <w:r>
        <w:t xml:space="preserve">yields higher persistence and completion rates among non-traditional learners.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Employer alignment is built in.</w:t>
      </w:r>
      <w:r>
        <w:t xml:space="preserve"> </w:t>
      </w:r>
      <w:r>
        <w:t xml:space="preserve">CBE curricula are mapped directly to employer-valued competencies.</w:t>
      </w:r>
      <w:r>
        <w:t xml:space="preserve"> </w:t>
      </w:r>
      <w:r>
        <w:t xml:space="preserve">SNHU structures its direct-assessment programs</w:t>
      </w:r>
      <w:r>
        <w:t xml:space="preserve"> </w:t>
      </w:r>
      <w:r>
        <w:t xml:space="preserve">around real-world projects rather than abstract coursework,</w:t>
      </w:r>
      <w:r>
        <w:t xml:space="preserve"> </w:t>
      </w:r>
      <w:r>
        <w:t xml:space="preserve">eliminating the</w:t>
      </w:r>
      <w:r>
        <w:t xml:space="preserve"> </w:t>
      </w:r>
      <w:r>
        <w:t xml:space="preserve">“course”</w:t>
      </w:r>
      <w:r>
        <w:t xml:space="preserve"> </w:t>
      </w:r>
      <w:r>
        <w:t xml:space="preserve">as a time-based container entirely.</w:t>
      </w:r>
    </w:p>
    <w:bookmarkEnd w:id="10"/>
    <w:bookmarkStart w:id="16" w:name="what-we-know-works"/>
    <w:p>
      <w:pPr>
        <w:pStyle w:val="Heading4"/>
      </w:pPr>
      <w:r>
        <w:t xml:space="preserve">What we know works</w:t>
      </w:r>
    </w:p>
    <w:p>
      <w:pPr>
        <w:pStyle w:val="FirstParagraph"/>
      </w:pPr>
      <w:r>
        <w:t xml:space="preserve">The evidence base for CBE is thinner than advocates suggest –</w:t>
      </w:r>
      <w:r>
        <w:t xml:space="preserve"> </w:t>
      </w:r>
      <w:r>
        <w:t xml:space="preserve">and the honest reader should pay close attention to the quality labels.</w:t>
      </w:r>
    </w:p>
    <w:bookmarkStart w:id="11" w:name="meta-review-independent-research-2015"/>
    <w:p>
      <w:pPr>
        <w:pStyle w:val="Heading5"/>
      </w:pPr>
      <w:r>
        <w:t xml:space="preserve">Meta-review (independent research, 2015)</w:t>
      </w:r>
    </w:p>
    <w:p>
      <w:pPr>
        <w:pStyle w:val="FirstParagraph"/>
      </w:pPr>
      <w:r>
        <w:t xml:space="preserve">Despite competency-based approaches emerging in the 1970s,</w:t>
      </w:r>
      <w:r>
        <w:t xml:space="preserve"> </w:t>
      </w:r>
      <w:r>
        <w:t xml:space="preserve">a systematic meta-review concluded that</w:t>
      </w:r>
      <w:r>
        <w:t xml:space="preserve"> </w:t>
      </w:r>
      <w:r>
        <w:t xml:space="preserve">“there is hardly any evidence for the effectiveness of competence-based education.”</w:t>
      </w:r>
      <w:r>
        <w:t xml:space="preserve"> </w:t>
      </w:r>
      <w:r>
        <w:t xml:space="preserve">Four decades of implementation produced remarkably little</w:t>
      </w:r>
      <w:r>
        <w:t xml:space="preserve"> </w:t>
      </w:r>
      <w:r>
        <w:t xml:space="preserve">rigorous, independent evaluation of learning outcomes.</w:t>
      </w:r>
    </w:p>
    <w:bookmarkEnd w:id="11"/>
    <w:bookmarkStart w:id="12" w:name="Xb29e1efede7bbf97adb6f8ca3c28937ea078971"/>
    <w:p>
      <w:pPr>
        <w:pStyle w:val="Heading5"/>
      </w:pPr>
      <w:r>
        <w:t xml:space="preserve">Graduate outcomes (vendor/institutional data)</w:t>
      </w:r>
    </w:p>
    <w:p>
      <w:pPr>
        <w:pStyle w:val="FirstParagraph"/>
      </w:pPr>
      <w:r>
        <w:t xml:space="preserve">WGU and SNHU report strong employment and satisfaction numbers</w:t>
      </w:r>
      <w:r>
        <w:t xml:space="preserve"> </w:t>
      </w:r>
      <w:r>
        <w:t xml:space="preserve">for their graduates,</w:t>
      </w:r>
      <w:r>
        <w:t xml:space="preserve"> </w:t>
      </w:r>
      <w:r>
        <w:t xml:space="preserve">but these are institutional self-reports rather than independent studies.</w:t>
      </w:r>
      <w:r>
        <w:t xml:space="preserve"> </w:t>
      </w:r>
      <w:r>
        <w:t xml:space="preserve">WGU graduates’ employer satisfaction rates are frequently cited</w:t>
      </w:r>
      <w:r>
        <w:t xml:space="preserve"> </w:t>
      </w:r>
      <w:r>
        <w:t xml:space="preserve">in university marketing materials;</w:t>
      </w:r>
      <w:r>
        <w:t xml:space="preserve"> </w:t>
      </w:r>
      <w:r>
        <w:t xml:space="preserve">independent verification is limited.</w:t>
      </w:r>
    </w:p>
    <w:bookmarkEnd w:id="12"/>
    <w:bookmarkStart w:id="13" w:name="pilot-data-snhu-institutional-report"/>
    <w:p>
      <w:pPr>
        <w:pStyle w:val="Heading5"/>
      </w:pPr>
      <w:r>
        <w:t xml:space="preserve">Pilot data (SNHU institutional report)</w:t>
      </w:r>
    </w:p>
    <w:p>
      <w:pPr>
        <w:pStyle w:val="FirstParagraph"/>
      </w:pPr>
      <w:r>
        <w:t xml:space="preserve">SNHU’s Duet model reports higher persistence and completion rates</w:t>
      </w:r>
      <w:r>
        <w:t xml:space="preserve"> </w:t>
      </w:r>
      <w:r>
        <w:t xml:space="preserve">among non-traditional learners compared to standard online programs,</w:t>
      </w:r>
      <w:r>
        <w:t xml:space="preserve"> </w:t>
      </w:r>
      <w:r>
        <w:t xml:space="preserve">though published results come from the institution itself</w:t>
      </w:r>
      <w:r>
        <w:t xml:space="preserve"> </w:t>
      </w:r>
      <w:r>
        <w:t xml:space="preserve">rather than external evaluators.</w:t>
      </w:r>
      <w:r>
        <w:t xml:space="preserve"> </w:t>
      </w:r>
      <w:r>
        <w:t xml:space="preserve">SNHU’s AI-driven personalization pilot,</w:t>
      </w:r>
      <w:r>
        <w:t xml:space="preserve"> </w:t>
      </w:r>
      <w:r>
        <w:t xml:space="preserve">powered by the Learner Information Framework,</w:t>
      </w:r>
      <w:r>
        <w:t xml:space="preserve"> </w:t>
      </w:r>
      <w:r>
        <w:t xml:space="preserve">combines behavioral analytics with generative AI</w:t>
      </w:r>
      <w:r>
        <w:t xml:space="preserve"> </w:t>
      </w:r>
      <w:r>
        <w:t xml:space="preserve">to deliver personalized feedback via email and the learning management system.</w:t>
      </w:r>
    </w:p>
    <w:bookmarkEnd w:id="13"/>
    <w:bookmarkStart w:id="14" w:name="employer-survey-data-independent-2024"/>
    <w:p>
      <w:pPr>
        <w:pStyle w:val="Heading5"/>
      </w:pPr>
      <w:r>
        <w:t xml:space="preserve">Employer survey data (independent, 2024)</w:t>
      </w:r>
    </w:p>
    <w:p>
      <w:pPr>
        <w:pStyle w:val="FirstParagraph"/>
      </w:pPr>
      <w:r>
        <w:t xml:space="preserve">A 2024 survey found 60% of hiring managers</w:t>
      </w:r>
      <w:r>
        <w:t xml:space="preserve"> </w:t>
      </w:r>
      <w:r>
        <w:t xml:space="preserve">consider alternatives to traditional degrees,</w:t>
      </w:r>
      <w:r>
        <w:t xml:space="preserve"> </w:t>
      </w:r>
      <w:r>
        <w:t xml:space="preserve">and 92% report they would hire candidates with GenAI micro-credentials.</w:t>
      </w:r>
      <w:r>
        <w:t xml:space="preserve"> </w:t>
      </w:r>
      <w:r>
        <w:t xml:space="preserve">This suggests growing employer receptivity to CBE outputs,</w:t>
      </w:r>
      <w:r>
        <w:t xml:space="preserve"> </w:t>
      </w:r>
      <w:r>
        <w:t xml:space="preserve">though receptivity is not the same as demonstrated effectiveness.</w:t>
      </w:r>
    </w:p>
    <w:bookmarkEnd w:id="14"/>
    <w:bookmarkStart w:id="15" w:name="the-cbe-evidence-paradox."/>
    <w:p>
      <w:pPr>
        <w:pStyle w:val="Heading5"/>
      </w:pPr>
      <w:r>
        <w:t xml:space="preserve">The CBE evidence paradox.</w:t>
      </w:r>
    </w:p>
    <w:p>
      <w:pPr>
        <w:pStyle w:val="FirstParagraph"/>
      </w:pPr>
      <w:r>
        <w:t xml:space="preserve">There is a genuine tension in the evidence base that deserves explicit acknowledgment.</w:t>
      </w:r>
      <w:r>
        <w:t xml:space="preserve"> </w:t>
      </w:r>
      <w:r>
        <w:t xml:space="preserve">On one hand, the most rigorous independent meta-reviews conclude</w:t>
      </w:r>
      <w:r>
        <w:t xml:space="preserve"> </w:t>
      </w:r>
      <w:r>
        <w:t xml:space="preserve">that four decades of CBE implementation have produced</w:t>
      </w:r>
      <w:r>
        <w:t xml:space="preserve"> </w:t>
      </w:r>
      <w:r>
        <w:t xml:space="preserve">“hardly any evidence”</w:t>
      </w:r>
      <w:r>
        <w:t xml:space="preserve"> </w:t>
      </w:r>
      <w:r>
        <w:t xml:space="preserve">for its effectiveness as a pedagogical approach.</w:t>
      </w:r>
    </w:p>
    <w:p>
      <w:pPr>
        <w:pStyle w:val="BodyText"/>
      </w:pPr>
      <w:r>
        <w:t xml:space="preserve">On the other hand, the two largest CBE providers – WGU and SNHU –</w:t>
      </w:r>
      <w:r>
        <w:t xml:space="preserve"> </w:t>
      </w:r>
      <w:r>
        <w:t xml:space="preserve">report strong completion rates, graduate employment outcomes,</w:t>
      </w:r>
      <w:r>
        <w:t xml:space="preserve"> </w:t>
      </w:r>
      <w:r>
        <w:t xml:space="preserve">and employer satisfaction figures that exceed many traditional programs.</w:t>
      </w:r>
    </w:p>
    <w:p>
      <w:pPr>
        <w:pStyle w:val="BodyText"/>
      </w:pPr>
      <w:r>
        <w:t xml:space="preserve">How can both be true?</w:t>
      </w:r>
    </w:p>
    <w:p>
      <w:pPr>
        <w:pStyle w:val="BodyText"/>
      </w:pPr>
      <w:r>
        <w:t xml:space="preserve">The most likely explanation is selection effects and institutional design:</w:t>
      </w:r>
      <w:r>
        <w:t xml:space="preserve"> </w:t>
      </w:r>
      <w:r>
        <w:t xml:space="preserve">WGU and SNHU serve motivated adult learners with prior professional experience,</w:t>
      </w:r>
      <w:r>
        <w:t xml:space="preserve"> </w:t>
      </w:r>
      <w:r>
        <w:t xml:space="preserve">wrap their CBE models in substantial support infrastructure (mentoring, advising, AI-driven early intervention),</w:t>
      </w:r>
      <w:r>
        <w:t xml:space="preserve"> </w:t>
      </w:r>
      <w:r>
        <w:t xml:space="preserve">and measure outcomes that may reflect who enrolls as much as what the model teaches.</w:t>
      </w:r>
      <w:r>
        <w:t xml:space="preserve"> </w:t>
      </w:r>
      <w:r>
        <w:t xml:space="preserve">Their success is real but may not generalize to CBE as a universal approach.</w:t>
      </w:r>
    </w:p>
    <w:p>
      <w:pPr>
        <w:pStyle w:val="BodyText"/>
      </w:pPr>
      <w:r>
        <w:t xml:space="preserve">The honest conclusion is that CBE works well for specific populations under specific conditions,</w:t>
      </w:r>
      <w:r>
        <w:t xml:space="preserve"> </w:t>
      </w:r>
      <w:r>
        <w:t xml:space="preserve">but the broader claim that competency-based education is inherently superior</w:t>
      </w:r>
      <w:r>
        <w:t xml:space="preserve"> </w:t>
      </w:r>
      <w:r>
        <w:t xml:space="preserve">to time-based models remains unsubstantiated by independent research.</w:t>
      </w:r>
    </w:p>
    <w:bookmarkEnd w:id="15"/>
    <w:bookmarkEnd w:id="16"/>
    <w:bookmarkStart w:id="20" w:name="what-can-go-wrong"/>
    <w:p>
      <w:pPr>
        <w:pStyle w:val="Heading4"/>
      </w:pPr>
      <w:r>
        <w:t xml:space="preserve">What can go wrong</w:t>
      </w:r>
    </w:p>
    <w:bookmarkStart w:id="17" w:name="the-measurement-trap."/>
    <w:p>
      <w:pPr>
        <w:pStyle w:val="Heading5"/>
      </w:pPr>
      <w:r>
        <w:t xml:space="preserve">The measurement trap.</w:t>
      </w:r>
    </w:p>
    <w:p>
      <w:pPr>
        <w:pStyle w:val="FirstParagraph"/>
      </w:pPr>
      <w:r>
        <w:t xml:space="preserve">Defining and assessing competencies at scale</w:t>
      </w:r>
      <w:r>
        <w:t xml:space="preserve"> </w:t>
      </w:r>
      <w:r>
        <w:t xml:space="preserve">proves far more complex than replacing credit hours with learning outcomes.</w:t>
      </w:r>
      <w:r>
        <w:t xml:space="preserve"> </w:t>
      </w:r>
      <w:r>
        <w:t xml:space="preserve">When competencies are tied narrowly to current employer needs –</w:t>
      </w:r>
      <w:r>
        <w:t xml:space="preserve"> </w:t>
      </w:r>
      <w:r>
        <w:t xml:space="preserve">as CBE advocates often recommend –</w:t>
      </w:r>
      <w:r>
        <w:t xml:space="preserve"> </w:t>
      </w:r>
      <w:r>
        <w:t xml:space="preserve">they fail to provide the transferable, adaptable foundations</w:t>
      </w:r>
      <w:r>
        <w:t xml:space="preserve"> </w:t>
      </w:r>
      <w:r>
        <w:t xml:space="preserve">learners need for uncertain futures.</w:t>
      </w:r>
    </w:p>
    <w:p>
      <w:pPr>
        <w:pStyle w:val="BodyText"/>
      </w:pPr>
      <w:r>
        <w:t xml:space="preserve">When institutions try to assess underpinning knowledge</w:t>
      </w:r>
      <w:r>
        <w:t xml:space="preserve"> </w:t>
      </w:r>
      <w:r>
        <w:t xml:space="preserve">separately from performance,</w:t>
      </w:r>
      <w:r>
        <w:t xml:space="preserve"> </w:t>
      </w:r>
      <w:r>
        <w:t xml:space="preserve">assessment becomes overloaded and cumbersome –</w:t>
      </w:r>
      <w:r>
        <w:t xml:space="preserve"> </w:t>
      </w:r>
      <w:r>
        <w:t xml:space="preserve">undermining the very efficiency CBE promises.</w:t>
      </w:r>
      <w:r>
        <w:t xml:space="preserve"> </w:t>
      </w:r>
      <w:r>
        <w:t xml:space="preserve">Some CBE programs embedded in digital instructional software</w:t>
      </w:r>
      <w:r>
        <w:t xml:space="preserve"> </w:t>
      </w:r>
      <w:r>
        <w:t xml:space="preserve">deem students</w:t>
      </w:r>
      <w:r>
        <w:t xml:space="preserve"> </w:t>
      </w:r>
      <w:r>
        <w:t xml:space="preserve">“proficient”</w:t>
      </w:r>
      <w:r>
        <w:t xml:space="preserve"> </w:t>
      </w:r>
      <w:r>
        <w:t xml:space="preserve">at 80% pass rates,</w:t>
      </w:r>
      <w:r>
        <w:t xml:space="preserve"> </w:t>
      </w:r>
      <w:r>
        <w:t xml:space="preserve">effectively reinforcing lower standards</w:t>
      </w:r>
      <w:r>
        <w:t xml:space="preserve"> </w:t>
      </w:r>
      <w:r>
        <w:t xml:space="preserve">and allowing knowledge gaps to accumulate.</w:t>
      </w:r>
    </w:p>
    <w:p>
      <w:pPr>
        <w:pStyle w:val="BodyText"/>
      </w:pPr>
      <w:r>
        <w:t xml:space="preserve">Without coherent design,</w:t>
      </w:r>
      <w:r>
        <w:t xml:space="preserve"> </w:t>
      </w:r>
      <w:r>
        <w:t xml:space="preserve">CBE can feel like a collection of disconnected modules</w:t>
      </w:r>
      <w:r>
        <w:t xml:space="preserve"> </w:t>
      </w:r>
      <w:r>
        <w:t xml:space="preserve">rather than an integrated educational experience,</w:t>
      </w:r>
      <w:r>
        <w:t xml:space="preserve"> </w:t>
      </w:r>
      <w:r>
        <w:t xml:space="preserve">sacrificing the interdisciplinary synthesis and critical reasoning</w:t>
      </w:r>
      <w:r>
        <w:t xml:space="preserve"> </w:t>
      </w:r>
      <w:r>
        <w:t xml:space="preserve">that traditional curricula – at their best – cultivate.</w:t>
      </w:r>
    </w:p>
    <w:bookmarkEnd w:id="17"/>
    <w:bookmarkStart w:id="18" w:name="the-accreditation-battle."/>
    <w:p>
      <w:pPr>
        <w:pStyle w:val="Heading5"/>
      </w:pPr>
      <w:r>
        <w:t xml:space="preserve">The accreditation battle.</w:t>
      </w:r>
    </w:p>
    <w:p>
      <w:pPr>
        <w:pStyle w:val="FirstParagraph"/>
      </w:pPr>
      <w:r>
        <w:t xml:space="preserve">WGU’s 2017 federal audit exposed how CBE models</w:t>
      </w:r>
      <w:r>
        <w:t xml:space="preserve"> </w:t>
      </w:r>
      <w:r>
        <w:t xml:space="preserve">collide with legacy regulatory frameworks.</w:t>
      </w:r>
      <w:r>
        <w:t xml:space="preserve"> </w:t>
      </w:r>
      <w:r>
        <w:t xml:space="preserve">The Office of the Inspector General argued</w:t>
      </w:r>
      <w:r>
        <w:t xml:space="preserve"> </w:t>
      </w:r>
      <w:r>
        <w:t xml:space="preserve">that WGU’s self-paced, mentor-supported courses</w:t>
      </w:r>
      <w:r>
        <w:t xml:space="preserve"> </w:t>
      </w:r>
      <w:r>
        <w:t xml:space="preserve">constituted</w:t>
      </w:r>
      <w:r>
        <w:t xml:space="preserve"> </w:t>
      </w:r>
      <w:r>
        <w:t xml:space="preserve">“correspondence education”</w:t>
      </w:r>
      <w:r>
        <w:t xml:space="preserve"> </w:t>
      </w:r>
      <w:r>
        <w:t xml:space="preserve">rather than distance education,</w:t>
      </w:r>
      <w:r>
        <w:t xml:space="preserve"> </w:t>
      </w:r>
      <w:r>
        <w:t xml:space="preserve">recommending the university repay $713 million in federal financial aid.</w:t>
      </w:r>
    </w:p>
    <w:p>
      <w:pPr>
        <w:pStyle w:val="BodyText"/>
      </w:pPr>
      <w:r>
        <w:t xml:space="preserve">The Department of Education ultimately rejected the most extreme findings,</w:t>
      </w:r>
      <w:r>
        <w:t xml:space="preserve"> </w:t>
      </w:r>
      <w:r>
        <w:t xml:space="preserve">but the audit created lasting perception risk:</w:t>
      </w:r>
      <w:r>
        <w:t xml:space="preserve"> </w:t>
      </w:r>
      <w:r>
        <w:t xml:space="preserve">prospective students questioned degree value and financial aid eligibility.</w:t>
      </w:r>
    </w:p>
    <w:p>
      <w:pPr>
        <w:pStyle w:val="BodyText"/>
      </w:pPr>
      <w:r>
        <w:t xml:space="preserve">The underlying tension persists:</w:t>
      </w:r>
      <w:r>
        <w:t xml:space="preserve"> </w:t>
      </w:r>
      <w:r>
        <w:t xml:space="preserve">many accrediting bodies base standards on measurable metrics</w:t>
      </w:r>
      <w:r>
        <w:t xml:space="preserve"> </w:t>
      </w:r>
      <w:r>
        <w:t xml:space="preserve">tied to traditional time-based structures,</w:t>
      </w:r>
      <w:r>
        <w:t xml:space="preserve"> </w:t>
      </w:r>
      <w:r>
        <w:t xml:space="preserve">making competency-based programs difficult to quantify and slow to gain approval.</w:t>
      </w:r>
    </w:p>
    <w:p>
      <w:pPr>
        <w:pStyle w:val="BodyText"/>
      </w:pPr>
      <w:r>
        <w:t xml:space="preserve">WGU’s model – contracting course content from various sources,</w:t>
      </w:r>
      <w:r>
        <w:t xml:space="preserve"> </w:t>
      </w:r>
      <w:r>
        <w:t xml:space="preserve">employing mentors rather than traditional instructors –</w:t>
      </w:r>
      <w:r>
        <w:t xml:space="preserve"> </w:t>
      </w:r>
      <w:r>
        <w:t xml:space="preserve">triggered debates about whether such structures</w:t>
      </w:r>
      <w:r>
        <w:t xml:space="preserve"> </w:t>
      </w:r>
      <w:r>
        <w:t xml:space="preserve">meet accreditation standards for faculty governance</w:t>
      </w:r>
      <w:r>
        <w:t xml:space="preserve"> </w:t>
      </w:r>
      <w:r>
        <w:t xml:space="preserve">of curriculum and academic quality.</w:t>
      </w:r>
    </w:p>
    <w:p>
      <w:pPr>
        <w:pStyle w:val="BodyText"/>
      </w:pPr>
      <w:r>
        <w:t xml:space="preserve">For smaller or newer CBE programs,</w:t>
      </w:r>
      <w:r>
        <w:t xml:space="preserve"> </w:t>
      </w:r>
      <w:r>
        <w:t xml:space="preserve">these battles absorb resources and create existential uncertainty.</w:t>
      </w:r>
    </w:p>
    <w:bookmarkEnd w:id="18"/>
    <w:bookmarkStart w:id="19" w:name="not-for-all-learners."/>
    <w:p>
      <w:pPr>
        <w:pStyle w:val="Heading5"/>
      </w:pPr>
      <w:r>
        <w:t xml:space="preserve">Not for all learners.</w:t>
      </w:r>
    </w:p>
    <w:p>
      <w:pPr>
        <w:pStyle w:val="FirstParagraph"/>
      </w:pPr>
      <w:r>
        <w:t xml:space="preserve">CBE’s self-paced, individually focused model</w:t>
      </w:r>
      <w:r>
        <w:t xml:space="preserve"> </w:t>
      </w:r>
      <w:r>
        <w:t xml:space="preserve">privileges learners who are already self-directed,</w:t>
      </w:r>
      <w:r>
        <w:t xml:space="preserve"> </w:t>
      </w:r>
      <w:r>
        <w:t xml:space="preserve">digitally literate, and capable of sustained motivation</w:t>
      </w:r>
      <w:r>
        <w:t xml:space="preserve"> </w:t>
      </w:r>
      <w:r>
        <w:t xml:space="preserve">without social scaffolding.</w:t>
      </w:r>
    </w:p>
    <w:p>
      <w:pPr>
        <w:pStyle w:val="BodyText"/>
      </w:pPr>
      <w:r>
        <w:t xml:space="preserve">It sidelines the importance of social learning, peer interaction,</w:t>
      </w:r>
      <w:r>
        <w:t xml:space="preserve"> </w:t>
      </w:r>
      <w:r>
        <w:t xml:space="preserve">and the developmental role of structured deadlines and cohort progression –</w:t>
      </w:r>
      <w:r>
        <w:t xml:space="preserve"> </w:t>
      </w:r>
      <w:r>
        <w:t xml:space="preserve">supports that benefit many students,</w:t>
      </w:r>
      <w:r>
        <w:t xml:space="preserve"> </w:t>
      </w:r>
      <w:r>
        <w:t xml:space="preserve">particularly those from under-resourced backgrounds.</w:t>
      </w:r>
    </w:p>
    <w:p>
      <w:pPr>
        <w:pStyle w:val="BodyText"/>
      </w:pPr>
      <w:r>
        <w:t xml:space="preserve">Some CBE providers exploit the</w:t>
      </w:r>
      <w:r>
        <w:t xml:space="preserve"> </w:t>
      </w:r>
      <w:r>
        <w:t xml:space="preserve">“competency-based”</w:t>
      </w:r>
      <w:r>
        <w:t xml:space="preserve"> </w:t>
      </w:r>
      <w:r>
        <w:t xml:space="preserve">branding</w:t>
      </w:r>
      <w:r>
        <w:t xml:space="preserve"> </w:t>
      </w:r>
      <w:r>
        <w:t xml:space="preserve">to promote programs of dubious educational value,</w:t>
      </w:r>
      <w:r>
        <w:t xml:space="preserve"> </w:t>
      </w:r>
      <w:r>
        <w:t xml:space="preserve">further eroding public trust in the model as a whole.</w:t>
      </w:r>
    </w:p>
    <w:bookmarkEnd w:id="19"/>
    <w:bookmarkEnd w:id="20"/>
    <w:bookmarkEnd w:id="21"/>
    <w:bookmarkEnd w:id="22"/>
    <w:bookmarkStart w:id="39" w:name="global-campus-free-models"/>
    <w:p>
      <w:pPr>
        <w:pStyle w:val="Heading2"/>
      </w:pPr>
      <w:r>
        <w:t xml:space="preserve">2. Global Campus-Free Models</w:t>
      </w:r>
    </w:p>
    <w:bookmarkStart w:id="38" w:name="minerva-university"/>
    <w:p>
      <w:pPr>
        <w:pStyle w:val="Heading3"/>
      </w:pPr>
      <w:r>
        <w:t xml:space="preserve">Minerva University</w:t>
      </w:r>
    </w:p>
    <w:bookmarkStart w:id="23" w:name="what-it-is-1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Minerva University operates without a traditional campus.</w:t>
      </w:r>
      <w:r>
        <w:t xml:space="preserve"> </w:t>
      </w:r>
      <w:r>
        <w:t xml:space="preserve">Instead, students rotate through global cities –</w:t>
      </w:r>
      <w:r>
        <w:t xml:space="preserve"> </w:t>
      </w:r>
      <w:r>
        <w:t xml:space="preserve">San Francisco, Berlin, Buenos Aires, Seoul, Taipei –</w:t>
      </w:r>
      <w:r>
        <w:t xml:space="preserve"> </w:t>
      </w:r>
      <w:r>
        <w:t xml:space="preserve">over four years, immersing themselves in diverse</w:t>
      </w:r>
      <w:r>
        <w:t xml:space="preserve"> </w:t>
      </w:r>
      <w:r>
        <w:t xml:space="preserve">cultural, economic, and policy contexts.</w:t>
      </w:r>
    </w:p>
    <w:p>
      <w:pPr>
        <w:pStyle w:val="BodyText"/>
      </w:pPr>
      <w:r>
        <w:t xml:space="preserve">All classes are conducted as small, fully active-learning seminars</w:t>
      </w:r>
      <w:r>
        <w:t xml:space="preserve"> </w:t>
      </w:r>
      <w:r>
        <w:t xml:space="preserve">via a proprietary digital platform; there are no lectures.</w:t>
      </w:r>
      <w:r>
        <w:t xml:space="preserve"> </w:t>
      </w:r>
      <w:r>
        <w:t xml:space="preserve">Minerva’s curriculum is skills-focused and competency-based,</w:t>
      </w:r>
      <w:r>
        <w:t xml:space="preserve"> </w:t>
      </w:r>
      <w:r>
        <w:t xml:space="preserve">mapping every course to granular, measurable learning outcomes –</w:t>
      </w:r>
      <w:r>
        <w:t xml:space="preserve"> </w:t>
      </w:r>
      <w:r>
        <w:t xml:space="preserve">data analysis, argumentation quality, ethical reasoning –</w:t>
      </w:r>
      <w:r>
        <w:t xml:space="preserve"> </w:t>
      </w:r>
      <w:r>
        <w:t xml:space="preserve">which are reinforced iteratively across disciplines.</w:t>
      </w:r>
    </w:p>
    <w:p>
      <w:pPr>
        <w:pStyle w:val="BodyText"/>
      </w:pPr>
      <w:r>
        <w:t xml:space="preserve">Students apply classroom knowledge to real-world challenges</w:t>
      </w:r>
      <w:r>
        <w:t xml:space="preserve"> </w:t>
      </w:r>
      <w:r>
        <w:t xml:space="preserve">through local internships, community projects,</w:t>
      </w:r>
      <w:r>
        <w:t xml:space="preserve"> </w:t>
      </w:r>
      <w:r>
        <w:t xml:space="preserve">and field research in each city.</w:t>
      </w:r>
    </w:p>
    <w:bookmarkEnd w:id="23"/>
    <w:bookmarkStart w:id="28" w:name="why-it-looks-promising-1"/>
    <w:p>
      <w:pPr>
        <w:pStyle w:val="Heading4"/>
      </w:pPr>
      <w:r>
        <w:t xml:space="preserve">Why it looks promising</w:t>
      </w:r>
    </w:p>
    <w:bookmarkStart w:id="24" w:name="Xf01d2713ce6b5bafb441927146e21b55f871241"/>
    <w:p>
      <w:pPr>
        <w:pStyle w:val="Heading5"/>
      </w:pPr>
      <w:r>
        <w:t xml:space="preserve">Active learning replaces passive listening.</w:t>
      </w:r>
    </w:p>
    <w:p>
      <w:pPr>
        <w:pStyle w:val="FirstParagraph"/>
      </w:pPr>
      <w:r>
        <w:t xml:space="preserve">Every class session requires student participation;</w:t>
      </w:r>
      <w:r>
        <w:t xml:space="preserve"> </w:t>
      </w:r>
      <w:r>
        <w:t xml:space="preserve">the platform tracks engagement and performance in real time.</w:t>
      </w:r>
      <w:r>
        <w:t xml:space="preserve"> </w:t>
      </w:r>
      <w:r>
        <w:t xml:space="preserve">There is no place to hide in a Minerva seminar.</w:t>
      </w:r>
    </w:p>
    <w:bookmarkEnd w:id="24"/>
    <w:bookmarkStart w:id="25" w:name="global-immersion-builds-adaptability."/>
    <w:p>
      <w:pPr>
        <w:pStyle w:val="Heading5"/>
      </w:pPr>
      <w:r>
        <w:t xml:space="preserve">Global immersion builds adaptability.</w:t>
      </w:r>
    </w:p>
    <w:p>
      <w:pPr>
        <w:pStyle w:val="FirstParagraph"/>
      </w:pPr>
      <w:r>
        <w:t xml:space="preserve">Living and working in multiple countries over four years</w:t>
      </w:r>
      <w:r>
        <w:t xml:space="preserve"> </w:t>
      </w:r>
      <w:r>
        <w:t xml:space="preserve">exposes students to different institutional, cultural,</w:t>
      </w:r>
      <w:r>
        <w:t xml:space="preserve"> </w:t>
      </w:r>
      <w:r>
        <w:t xml:space="preserve">and economic contexts –</w:t>
      </w:r>
      <w:r>
        <w:t xml:space="preserve"> </w:t>
      </w:r>
      <w:r>
        <w:t xml:space="preserve">a form of preparation that residential campuses</w:t>
      </w:r>
      <w:r>
        <w:t xml:space="preserve"> </w:t>
      </w:r>
      <w:r>
        <w:t xml:space="preserve">in a single location cannot match.</w:t>
      </w:r>
    </w:p>
    <w:bookmarkEnd w:id="25"/>
    <w:bookmarkStart w:id="26" w:name="lower-sticker-price-than-elite-peers."/>
    <w:p>
      <w:pPr>
        <w:pStyle w:val="Heading5"/>
      </w:pPr>
      <w:r>
        <w:t xml:space="preserve">Lower sticker price than elite peers.</w:t>
      </w:r>
    </w:p>
    <w:p>
      <w:pPr>
        <w:pStyle w:val="FirstParagraph"/>
      </w:pPr>
      <w:r>
        <w:t xml:space="preserve">Tuition is set at approximately $10,000 per year,</w:t>
      </w:r>
      <w:r>
        <w:t xml:space="preserve"> </w:t>
      </w:r>
      <w:r>
        <w:t xml:space="preserve">less than one-third of Harvard’s.</w:t>
      </w:r>
      <w:r>
        <w:t xml:space="preserve"> </w:t>
      </w:r>
      <w:r>
        <w:t xml:space="preserve">The absence of a physical campus, tenure-track faculty,</w:t>
      </w:r>
      <w:r>
        <w:t xml:space="preserve"> </w:t>
      </w:r>
      <w:r>
        <w:t xml:space="preserve">and research infrastructure enables this cost structure.</w:t>
      </w:r>
    </w:p>
    <w:bookmarkEnd w:id="26"/>
    <w:bookmarkStart w:id="27" w:name="measurable-learning-gains-internal-data."/>
    <w:p>
      <w:pPr>
        <w:pStyle w:val="Heading5"/>
      </w:pPr>
      <w:r>
        <w:t xml:space="preserve">Measurable learning gains (internal data).</w:t>
      </w:r>
    </w:p>
    <w:p>
      <w:pPr>
        <w:pStyle w:val="FirstParagraph"/>
      </w:pPr>
      <w:r>
        <w:t xml:space="preserve">Internal studies report at least a 50% improvement</w:t>
      </w:r>
      <w:r>
        <w:t xml:space="preserve"> </w:t>
      </w:r>
      <w:r>
        <w:t xml:space="preserve">in student learning over three years using active pedagogy,</w:t>
      </w:r>
      <w:r>
        <w:t xml:space="preserve"> </w:t>
      </w:r>
      <w:r>
        <w:t xml:space="preserve">compared to a 92% knowledge-loss rate within six months</w:t>
      </w:r>
      <w:r>
        <w:t xml:space="preserve"> </w:t>
      </w:r>
      <w:r>
        <w:t xml:space="preserve">for traditional lecture-based methods.</w:t>
      </w:r>
    </w:p>
    <w:bookmarkEnd w:id="27"/>
    <w:bookmarkEnd w:id="28"/>
    <w:bookmarkStart w:id="32" w:name="what-we-know-works-1"/>
    <w:p>
      <w:pPr>
        <w:pStyle w:val="Heading4"/>
      </w:pPr>
      <w:r>
        <w:t xml:space="preserve">What we know works</w:t>
      </w:r>
    </w:p>
    <w:bookmarkStart w:id="29" w:name="internal-longitudinal-study-vendor-data"/>
    <w:p>
      <w:pPr>
        <w:pStyle w:val="Heading5"/>
      </w:pPr>
      <w:r>
        <w:t xml:space="preserve">Internal longitudinal study (vendor data)</w:t>
      </w:r>
    </w:p>
    <w:p>
      <w:pPr>
        <w:pStyle w:val="FirstParagraph"/>
      </w:pPr>
      <w:r>
        <w:t xml:space="preserve">Minerva’s own research shows at least 50% improvement</w:t>
      </w:r>
      <w:r>
        <w:t xml:space="preserve"> </w:t>
      </w:r>
      <w:r>
        <w:t xml:space="preserve">in student learning outcomes over three years</w:t>
      </w:r>
      <w:r>
        <w:t xml:space="preserve"> </w:t>
      </w:r>
      <w:r>
        <w:t xml:space="preserve">using its active-learning pedagogy.</w:t>
      </w:r>
      <w:r>
        <w:t xml:space="preserve"> </w:t>
      </w:r>
      <w:r>
        <w:t xml:space="preserve">The comparison baseline – a 92% knowledge-loss rate</w:t>
      </w:r>
      <w:r>
        <w:t xml:space="preserve"> </w:t>
      </w:r>
      <w:r>
        <w:t xml:space="preserve">for traditional lecture methods – comes from independent</w:t>
      </w:r>
      <w:r>
        <w:t xml:space="preserve"> </w:t>
      </w:r>
      <w:r>
        <w:t xml:space="preserve">cognitive science research on retention curves.</w:t>
      </w:r>
    </w:p>
    <w:bookmarkEnd w:id="29"/>
    <w:bookmarkStart w:id="30" w:name="pedagogical-design-independent-research"/>
    <w:p>
      <w:pPr>
        <w:pStyle w:val="Heading5"/>
      </w:pPr>
      <w:r>
        <w:t xml:space="preserve">Pedagogical design (independent research)</w:t>
      </w:r>
    </w:p>
    <w:p>
      <w:pPr>
        <w:pStyle w:val="FirstParagraph"/>
      </w:pPr>
      <w:r>
        <w:t xml:space="preserve">Active learning’s superiority over lectures is well-established</w:t>
      </w:r>
      <w:r>
        <w:t xml:space="preserve"> </w:t>
      </w:r>
      <w:r>
        <w:t xml:space="preserve">in the broader education literature,</w:t>
      </w:r>
      <w:r>
        <w:t xml:space="preserve"> </w:t>
      </w:r>
      <w:r>
        <w:t xml:space="preserve">with multiple meta-analyses confirming the effect.</w:t>
      </w:r>
      <w:r>
        <w:t xml:space="preserve"> </w:t>
      </w:r>
      <w:r>
        <w:t xml:space="preserve">Minerva’s contribution is implementing this at institutional scale,</w:t>
      </w:r>
      <w:r>
        <w:t xml:space="preserve"> </w:t>
      </w:r>
      <w:r>
        <w:t xml:space="preserve">not discovering the underlying principle.</w:t>
      </w:r>
    </w:p>
    <w:bookmarkEnd w:id="30"/>
    <w:bookmarkStart w:id="31" w:name="Xb1370911baccc67fa268ee10642d6bda7d89672"/>
    <w:p>
      <w:pPr>
        <w:pStyle w:val="Heading5"/>
      </w:pPr>
      <w:r>
        <w:t xml:space="preserve">Graduate trajectories (vendor/institutional data)</w:t>
      </w:r>
    </w:p>
    <w:p>
      <w:pPr>
        <w:pStyle w:val="FirstParagraph"/>
      </w:pPr>
      <w:r>
        <w:t xml:space="preserve">Minerva reports strong graduate placement outcomes,</w:t>
      </w:r>
      <w:r>
        <w:t xml:space="preserve"> </w:t>
      </w:r>
      <w:r>
        <w:t xml:space="preserve">but the institution is young and cohorts are small.</w:t>
      </w:r>
      <w:r>
        <w:t xml:space="preserve"> </w:t>
      </w:r>
      <w:r>
        <w:t xml:space="preserve">Long-term, independent outcome data does not yet exist.</w:t>
      </w:r>
    </w:p>
    <w:bookmarkEnd w:id="31"/>
    <w:bookmarkEnd w:id="32"/>
    <w:bookmarkStart w:id="37" w:name="what-can-go-wrong-1"/>
    <w:p>
      <w:pPr>
        <w:pStyle w:val="Heading4"/>
      </w:pPr>
      <w:r>
        <w:t xml:space="preserve">What can go wrong</w:t>
      </w:r>
    </w:p>
    <w:bookmarkStart w:id="33" w:name="Xd05bf158b89c81d6bfe7e2bc8067c54617286e0"/>
    <w:p>
      <w:pPr>
        <w:pStyle w:val="Heading5"/>
      </w:pPr>
      <w:r>
        <w:t xml:space="preserve">The cost barrier is real despite the marketing.</w:t>
      </w:r>
    </w:p>
    <w:p>
      <w:pPr>
        <w:pStyle w:val="FirstParagraph"/>
      </w:pPr>
      <w:r>
        <w:t xml:space="preserve">While tuition is $10,000 annually,</w:t>
      </w:r>
      <w:r>
        <w:t xml:space="preserve"> </w:t>
      </w:r>
      <w:r>
        <w:t xml:space="preserve">total costs – tuition, room, board,</w:t>
      </w:r>
      <w:r>
        <w:t xml:space="preserve"> </w:t>
      </w:r>
      <w:r>
        <w:t xml:space="preserve">and living expenses across seven global cities –</w:t>
      </w:r>
      <w:r>
        <w:t xml:space="preserve"> </w:t>
      </w:r>
      <w:r>
        <w:t xml:space="preserve">reach approximately $29,000 per year.</w:t>
      </w:r>
      <w:r>
        <w:t xml:space="preserve"> </w:t>
      </w:r>
      <w:r>
        <w:t xml:space="preserve">This places Minerva out of reach for many qualified students,</w:t>
      </w:r>
      <w:r>
        <w:t xml:space="preserve"> </w:t>
      </w:r>
      <w:r>
        <w:t xml:space="preserve">particularly those from the Global South.</w:t>
      </w:r>
      <w:r>
        <w:t xml:space="preserve"> </w:t>
      </w:r>
      <w:r>
        <w:t xml:space="preserve">The model advertises affordability</w:t>
      </w:r>
      <w:r>
        <w:t xml:space="preserve"> </w:t>
      </w:r>
      <w:r>
        <w:t xml:space="preserve">but delivers a price point that,</w:t>
      </w:r>
      <w:r>
        <w:t xml:space="preserve"> </w:t>
      </w:r>
      <w:r>
        <w:t xml:space="preserve">while lower than Harvard,</w:t>
      </w:r>
      <w:r>
        <w:t xml:space="preserve"> </w:t>
      </w:r>
      <w:r>
        <w:t xml:space="preserve">still exceeds what most families worldwide can manage.</w:t>
      </w:r>
    </w:p>
    <w:bookmarkEnd w:id="33"/>
    <w:bookmarkStart w:id="34" w:name="X6fc33fee3de744c4a52bfccb10164cceabc3389"/>
    <w:p>
      <w:pPr>
        <w:pStyle w:val="Heading5"/>
      </w:pPr>
      <w:r>
        <w:t xml:space="preserve">Elite selectivity is maintained, not eliminated.</w:t>
      </w:r>
    </w:p>
    <w:p>
      <w:pPr>
        <w:pStyle w:val="FirstParagraph"/>
      </w:pPr>
      <w:r>
        <w:t xml:space="preserve">Minerva targets the</w:t>
      </w:r>
      <w:r>
        <w:t xml:space="preserve"> </w:t>
      </w:r>
      <w:r>
        <w:t xml:space="preserve">“best students”</w:t>
      </w:r>
      <w:r>
        <w:t xml:space="preserve"> </w:t>
      </w:r>
      <w:r>
        <w:t xml:space="preserve">and positions itself as a meritocratic alternative</w:t>
      </w:r>
      <w:r>
        <w:t xml:space="preserve"> </w:t>
      </w:r>
      <w:r>
        <w:t xml:space="preserve">to artificially scarce elite institutions.</w:t>
      </w:r>
      <w:r>
        <w:t xml:space="preserve"> </w:t>
      </w:r>
      <w:r>
        <w:t xml:space="preserve">But</w:t>
      </w:r>
      <w:r>
        <w:t xml:space="preserve"> </w:t>
      </w:r>
      <w:r>
        <w:t xml:space="preserve">“qualified”</w:t>
      </w:r>
      <w:r>
        <w:t xml:space="preserve"> </w:t>
      </w:r>
      <w:r>
        <w:t xml:space="preserve">is defined by academic preparation,</w:t>
      </w:r>
      <w:r>
        <w:t xml:space="preserve"> </w:t>
      </w:r>
      <w:r>
        <w:t xml:space="preserve">English fluency, and the capacity to navigate</w:t>
      </w:r>
      <w:r>
        <w:t xml:space="preserve"> </w:t>
      </w:r>
      <w:r>
        <w:t xml:space="preserve">intensive, small-seminar active-learning pedagogy.</w:t>
      </w:r>
    </w:p>
    <w:p>
      <w:pPr>
        <w:pStyle w:val="BodyText"/>
      </w:pPr>
      <w:r>
        <w:t xml:space="preserve">Admissions are need-blind,</w:t>
      </w:r>
      <w:r>
        <w:t xml:space="preserve"> </w:t>
      </w:r>
      <w:r>
        <w:t xml:space="preserve">but the model does not address the systemic barriers –</w:t>
      </w:r>
      <w:r>
        <w:t xml:space="preserve"> </w:t>
      </w:r>
      <w:r>
        <w:t xml:space="preserve">under-resourced secondary schools, lack of college counseling,</w:t>
      </w:r>
      <w:r>
        <w:t xml:space="preserve"> </w:t>
      </w:r>
      <w:r>
        <w:t xml:space="preserve">digital divides – that prevent talented learners</w:t>
      </w:r>
      <w:r>
        <w:t xml:space="preserve"> </w:t>
      </w:r>
      <w:r>
        <w:t xml:space="preserve">from lower-income or marginalized backgrounds</w:t>
      </w:r>
      <w:r>
        <w:t xml:space="preserve"> </w:t>
      </w:r>
      <w:r>
        <w:t xml:space="preserve">from becoming</w:t>
      </w:r>
      <w:r>
        <w:t xml:space="preserve"> </w:t>
      </w:r>
      <w:r>
        <w:t xml:space="preserve">“qualified”</w:t>
      </w:r>
      <w:r>
        <w:t xml:space="preserve"> </w:t>
      </w:r>
      <w:r>
        <w:t xml:space="preserve">in the first place.</w:t>
      </w:r>
      <w:r>
        <w:t xml:space="preserve"> </w:t>
      </w:r>
      <w:r>
        <w:t xml:space="preserve">Critics question whether Minerva genuinely expands access</w:t>
      </w:r>
      <w:r>
        <w:t xml:space="preserve"> </w:t>
      </w:r>
      <w:r>
        <w:t xml:space="preserve">or simply creates a new tier of selectivity</w:t>
      </w:r>
      <w:r>
        <w:t xml:space="preserve"> </w:t>
      </w:r>
      <w:r>
        <w:t xml:space="preserve">at a slightly lower price point.</w:t>
      </w:r>
    </w:p>
    <w:bookmarkEnd w:id="34"/>
    <w:bookmarkStart w:id="35" w:name="institutional-sustainability-questions."/>
    <w:p>
      <w:pPr>
        <w:pStyle w:val="Heading5"/>
      </w:pPr>
      <w:r>
        <w:t xml:space="preserve">Institutional sustainability questions.</w:t>
      </w:r>
    </w:p>
    <w:p>
      <w:pPr>
        <w:pStyle w:val="FirstParagraph"/>
      </w:pPr>
      <w:r>
        <w:t xml:space="preserve">The absence of tenure and research programs,</w:t>
      </w:r>
      <w:r>
        <w:t xml:space="preserve"> </w:t>
      </w:r>
      <w:r>
        <w:t xml:space="preserve">while enabling cost savings,</w:t>
      </w:r>
      <w:r>
        <w:t xml:space="preserve"> </w:t>
      </w:r>
      <w:r>
        <w:t xml:space="preserve">raises questions about long-term intellectual depth,</w:t>
      </w:r>
      <w:r>
        <w:t xml:space="preserve"> </w:t>
      </w:r>
      <w:r>
        <w:t xml:space="preserve">faculty governance, and whether the model can sustain itself</w:t>
      </w:r>
      <w:r>
        <w:t xml:space="preserve"> </w:t>
      </w:r>
      <w:r>
        <w:t xml:space="preserve">without the revenue diversification –</w:t>
      </w:r>
      <w:r>
        <w:t xml:space="preserve"> </w:t>
      </w:r>
      <w:r>
        <w:t xml:space="preserve">endowments, research grants, alumni giving tied to campus identity –</w:t>
      </w:r>
      <w:r>
        <w:t xml:space="preserve"> </w:t>
      </w:r>
      <w:r>
        <w:t xml:space="preserve">that traditional universities rely on.</w:t>
      </w:r>
    </w:p>
    <w:bookmarkEnd w:id="35"/>
    <w:bookmarkStart w:id="36" w:name="evidence-is-largely-internal."/>
    <w:p>
      <w:pPr>
        <w:pStyle w:val="Heading5"/>
      </w:pPr>
      <w:r>
        <w:t xml:space="preserve">Evidence is largely internal.</w:t>
      </w:r>
    </w:p>
    <w:p>
      <w:pPr>
        <w:pStyle w:val="FirstParagraph"/>
      </w:pPr>
      <w:r>
        <w:t xml:space="preserve">The learning-gains data comes from Minerva’s own studies.</w:t>
      </w:r>
      <w:r>
        <w:t xml:space="preserve"> </w:t>
      </w:r>
      <w:r>
        <w:t xml:space="preserve">Independent, peer-reviewed validation of the model’s</w:t>
      </w:r>
      <w:r>
        <w:t xml:space="preserve"> </w:t>
      </w:r>
      <w:r>
        <w:t xml:space="preserve">long-term outcomes – career trajectories, civic engagement,</w:t>
      </w:r>
      <w:r>
        <w:t xml:space="preserve"> </w:t>
      </w:r>
      <w:r>
        <w:t xml:space="preserve">intellectual development over decades –</w:t>
      </w:r>
      <w:r>
        <w:t xml:space="preserve"> </w:t>
      </w:r>
      <w:r>
        <w:t xml:space="preserve">does not yet exist at scale.</w:t>
      </w:r>
    </w:p>
    <w:bookmarkEnd w:id="36"/>
    <w:bookmarkEnd w:id="37"/>
    <w:bookmarkEnd w:id="38"/>
    <w:bookmarkEnd w:id="39"/>
    <w:bookmarkStart w:id="56" w:name="peer-driven-teacher-free-models"/>
    <w:p>
      <w:pPr>
        <w:pStyle w:val="Heading2"/>
      </w:pPr>
      <w:r>
        <w:t xml:space="preserve">3. Peer-Driven, Teacher-Free Models</w:t>
      </w:r>
    </w:p>
    <w:bookmarkStart w:id="55" w:name="school-ecole-42"/>
    <w:p>
      <w:pPr>
        <w:pStyle w:val="Heading3"/>
      </w:pPr>
      <w:r>
        <w:t xml:space="preserve">42 School (Ecole 42)</w:t>
      </w:r>
    </w:p>
    <w:bookmarkStart w:id="40" w:name="what-it-is-2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42 School, originally founded in Paris,</w:t>
      </w:r>
      <w:r>
        <w:t xml:space="preserve"> </w:t>
      </w:r>
      <w:r>
        <w:t xml:space="preserve">now operates a global network of 54 campuses across 31 countries.</w:t>
      </w:r>
      <w:r>
        <w:t xml:space="preserve"> </w:t>
      </w:r>
      <w:r>
        <w:t xml:space="preserve">It eliminates teachers, classes, and tuition fees entirely.</w:t>
      </w:r>
    </w:p>
    <w:p>
      <w:pPr>
        <w:pStyle w:val="BodyText"/>
      </w:pPr>
      <w:r>
        <w:t xml:space="preserve">Students learn by completing real-world coding</w:t>
      </w:r>
      <w:r>
        <w:t xml:space="preserve"> </w:t>
      </w:r>
      <w:r>
        <w:t xml:space="preserve">and software-engineering projects,</w:t>
      </w:r>
      <w:r>
        <w:t xml:space="preserve"> </w:t>
      </w:r>
      <w:r>
        <w:t xml:space="preserve">accessing freely available internet resources</w:t>
      </w:r>
      <w:r>
        <w:t xml:space="preserve"> </w:t>
      </w:r>
      <w:r>
        <w:t xml:space="preserve">and peer support in open-plan computing labs.</w:t>
      </w:r>
      <w:r>
        <w:t xml:space="preserve"> </w:t>
      </w:r>
      <w:r>
        <w:t xml:space="preserve">Peer-to-peer learning is formalized:</w:t>
      </w:r>
      <w:r>
        <w:t xml:space="preserve"> </w:t>
      </w:r>
      <w:r>
        <w:t xml:space="preserve">a randomly assigned fellow student marks each project,</w:t>
      </w:r>
      <w:r>
        <w:t xml:space="preserve"> </w:t>
      </w:r>
      <w:r>
        <w:t xml:space="preserve">and learners advance through 21 levels</w:t>
      </w:r>
      <w:r>
        <w:t xml:space="preserve"> </w:t>
      </w:r>
      <w:r>
        <w:t xml:space="preserve">by demonstrating competencies in a gamified progression structure.</w:t>
      </w:r>
    </w:p>
    <w:p>
      <w:pPr>
        <w:pStyle w:val="BodyText"/>
      </w:pPr>
      <w:r>
        <w:t xml:space="preserve">Graduation typically takes three to five years</w:t>
      </w:r>
      <w:r>
        <w:t xml:space="preserve"> </w:t>
      </w:r>
      <w:r>
        <w:t xml:space="preserve">and awards a certificate rather than a formal degree.</w:t>
      </w:r>
      <w:r>
        <w:t xml:space="preserve"> </w:t>
      </w:r>
      <w:r>
        <w:t xml:space="preserve">The model is supported by corporate partnerships</w:t>
      </w:r>
      <w:r>
        <w:t xml:space="preserve"> </w:t>
      </w:r>
      <w:r>
        <w:t xml:space="preserve">and governments seeking to address digital-talent shortages.</w:t>
      </w:r>
    </w:p>
    <w:bookmarkEnd w:id="40"/>
    <w:bookmarkStart w:id="45" w:name="why-it-looks-promising-2"/>
    <w:p>
      <w:pPr>
        <w:pStyle w:val="Heading4"/>
      </w:pPr>
      <w:r>
        <w:t xml:space="preserve">Why it looks promising</w:t>
      </w:r>
    </w:p>
    <w:bookmarkStart w:id="41" w:name="X6a61096a5534a0543e02e9947e8f2ce2d21681c"/>
    <w:p>
      <w:pPr>
        <w:pStyle w:val="Heading5"/>
      </w:pPr>
      <w:r>
        <w:t xml:space="preserve">Zero tuition removes financial barriers to entry.</w:t>
      </w:r>
    </w:p>
    <w:p>
      <w:pPr>
        <w:pStyle w:val="FirstParagraph"/>
      </w:pPr>
      <w:r>
        <w:t xml:space="preserve">Unlike virtually every other higher education model,</w:t>
      </w:r>
      <w:r>
        <w:t xml:space="preserve"> </w:t>
      </w:r>
      <w:r>
        <w:t xml:space="preserve">42 charges nothing.</w:t>
      </w:r>
      <w:r>
        <w:t xml:space="preserve"> </w:t>
      </w:r>
      <w:r>
        <w:t xml:space="preserve">Corporate sponsors and government funding cover costs,</w:t>
      </w:r>
      <w:r>
        <w:t xml:space="preserve"> </w:t>
      </w:r>
      <w:r>
        <w:t xml:space="preserve">removing the debt burden that shapes (and distorts)</w:t>
      </w:r>
      <w:r>
        <w:t xml:space="preserve"> </w:t>
      </w:r>
      <w:r>
        <w:t xml:space="preserve">educational choices for millions of students.</w:t>
      </w:r>
    </w:p>
    <w:bookmarkEnd w:id="41"/>
    <w:bookmarkStart w:id="42" w:name="Xcfe7c51c53b45fd0c8f956336c72e9d2eeb2ada"/>
    <w:p>
      <w:pPr>
        <w:pStyle w:val="Heading5"/>
      </w:pPr>
      <w:r>
        <w:t xml:space="preserve">Self-direction and peer accountability mirror real workplaces.</w:t>
      </w:r>
    </w:p>
    <w:p>
      <w:pPr>
        <w:pStyle w:val="FirstParagraph"/>
      </w:pPr>
      <w:r>
        <w:t xml:space="preserve">The absence of teachers forces students</w:t>
      </w:r>
      <w:r>
        <w:t xml:space="preserve"> </w:t>
      </w:r>
      <w:r>
        <w:t xml:space="preserve">to develop the exact skills employers say they want:</w:t>
      </w:r>
      <w:r>
        <w:t xml:space="preserve"> </w:t>
      </w:r>
      <w:r>
        <w:t xml:space="preserve">independent problem-solving, resourcefulness,</w:t>
      </w:r>
      <w:r>
        <w:t xml:space="preserve"> </w:t>
      </w:r>
      <w:r>
        <w:t xml:space="preserve">collaboration under ambiguity.</w:t>
      </w:r>
    </w:p>
    <w:bookmarkEnd w:id="42"/>
    <w:bookmarkStart w:id="43" w:name="employers-value-the-graduates."/>
    <w:p>
      <w:pPr>
        <w:pStyle w:val="Heading5"/>
      </w:pPr>
      <w:r>
        <w:t xml:space="preserve">Employers value the graduates.</w:t>
      </w:r>
    </w:p>
    <w:p>
      <w:pPr>
        <w:pStyle w:val="FirstParagraph"/>
      </w:pPr>
      <w:r>
        <w:t xml:space="preserve">Companies report that 42 graduates</w:t>
      </w:r>
      <w:r>
        <w:t xml:space="preserve"> </w:t>
      </w:r>
      <w:r>
        <w:t xml:space="preserve">are more adept at independent problem-solving</w:t>
      </w:r>
      <w:r>
        <w:t xml:space="preserve"> </w:t>
      </w:r>
      <w:r>
        <w:t xml:space="preserve">and less reliant on supervisor direction</w:t>
      </w:r>
      <w:r>
        <w:t xml:space="preserve"> </w:t>
      </w:r>
      <w:r>
        <w:t xml:space="preserve">than graduates of conventional programs.</w:t>
      </w:r>
      <w:r>
        <w:t xml:space="preserve"> </w:t>
      </w:r>
      <w:r>
        <w:t xml:space="preserve">The model produces workers who can function</w:t>
      </w:r>
      <w:r>
        <w:t xml:space="preserve"> </w:t>
      </w:r>
      <w:r>
        <w:t xml:space="preserve">without being told what to do.</w:t>
      </w:r>
    </w:p>
    <w:bookmarkEnd w:id="43"/>
    <w:bookmarkStart w:id="44" w:name="rapid-global-scaling."/>
    <w:p>
      <w:pPr>
        <w:pStyle w:val="Heading5"/>
      </w:pPr>
      <w:r>
        <w:t xml:space="preserve">Rapid global scaling.</w:t>
      </w:r>
    </w:p>
    <w:p>
      <w:pPr>
        <w:pStyle w:val="FirstParagraph"/>
      </w:pPr>
      <w:r>
        <w:t xml:space="preserve">From one campus in Paris,</w:t>
      </w:r>
      <w:r>
        <w:t xml:space="preserve"> </w:t>
      </w:r>
      <w:r>
        <w:t xml:space="preserve">42 has expanded to 54 campuses in 31 countries</w:t>
      </w:r>
      <w:r>
        <w:t xml:space="preserve"> </w:t>
      </w:r>
      <w:r>
        <w:t xml:space="preserve">in roughly a decade –</w:t>
      </w:r>
      <w:r>
        <w:t xml:space="preserve"> </w:t>
      </w:r>
      <w:r>
        <w:t xml:space="preserve">a pace of institutional replication</w:t>
      </w:r>
      <w:r>
        <w:t xml:space="preserve"> </w:t>
      </w:r>
      <w:r>
        <w:t xml:space="preserve">that traditional universities cannot match.</w:t>
      </w:r>
    </w:p>
    <w:bookmarkEnd w:id="44"/>
    <w:bookmarkEnd w:id="45"/>
    <w:bookmarkStart w:id="49" w:name="what-we-know-works-2"/>
    <w:p>
      <w:pPr>
        <w:pStyle w:val="Heading4"/>
      </w:pPr>
      <w:r>
        <w:t xml:space="preserve">What we know works</w:t>
      </w:r>
    </w:p>
    <w:bookmarkStart w:id="46" w:name="employer-feedback-informal-industry-data"/>
    <w:p>
      <w:pPr>
        <w:pStyle w:val="Heading5"/>
      </w:pPr>
      <w:r>
        <w:t xml:space="preserve">Employer feedback (informal industry data):</w:t>
      </w:r>
    </w:p>
    <w:p>
      <w:pPr>
        <w:pStyle w:val="FirstParagraph"/>
      </w:pPr>
      <w:r>
        <w:t xml:space="preserve">Companies hiring 42 graduates consistently report</w:t>
      </w:r>
      <w:r>
        <w:t xml:space="preserve"> </w:t>
      </w:r>
      <w:r>
        <w:t xml:space="preserve">stronger independent problem-solving skills</w:t>
      </w:r>
      <w:r>
        <w:t xml:space="preserve"> </w:t>
      </w:r>
      <w:r>
        <w:t xml:space="preserve">and lower reliance on supervisor direction.</w:t>
      </w:r>
      <w:r>
        <w:t xml:space="preserve"> </w:t>
      </w:r>
      <w:r>
        <w:t xml:space="preserve">This is informal industry feedback, not a controlled study,</w:t>
      </w:r>
      <w:r>
        <w:t xml:space="preserve"> </w:t>
      </w:r>
      <w:r>
        <w:t xml:space="preserve">but it is consistent across multiple employers and countries.</w:t>
      </w:r>
    </w:p>
    <w:bookmarkEnd w:id="46"/>
    <w:bookmarkStart w:id="47" w:name="scaling-record-observational"/>
    <w:p>
      <w:pPr>
        <w:pStyle w:val="Heading5"/>
      </w:pPr>
      <w:r>
        <w:t xml:space="preserve">Scaling record (observational)</w:t>
      </w:r>
    </w:p>
    <w:p>
      <w:pPr>
        <w:pStyle w:val="FirstParagraph"/>
      </w:pPr>
      <w:r>
        <w:t xml:space="preserve">The expansion from 1 campus to 54 across 31 countries</w:t>
      </w:r>
      <w:r>
        <w:t xml:space="preserve"> </w:t>
      </w:r>
      <w:r>
        <w:t xml:space="preserve">demonstrates replicability of the model.</w:t>
      </w:r>
      <w:r>
        <w:t xml:space="preserve"> </w:t>
      </w:r>
      <w:r>
        <w:t xml:space="preserve">However, outcome data across campuses</w:t>
      </w:r>
      <w:r>
        <w:t xml:space="preserve"> </w:t>
      </w:r>
      <w:r>
        <w:t xml:space="preserve">is not publicly reported in standardized form.</w:t>
      </w:r>
    </w:p>
    <w:bookmarkEnd w:id="47"/>
    <w:bookmarkStart w:id="48" w:name="Xb42c8ae2e2e3be44f9d9d1ba9552988852e2961"/>
    <w:p>
      <w:pPr>
        <w:pStyle w:val="Heading5"/>
      </w:pPr>
      <w:r>
        <w:t xml:space="preserve">Selection process outcomes (institutional data)</w:t>
      </w:r>
    </w:p>
    <w:p>
      <w:pPr>
        <w:pStyle w:val="FirstParagraph"/>
      </w:pPr>
      <w:r>
        <w:t xml:space="preserve">The piscine process successfully identifies learners</w:t>
      </w:r>
      <w:r>
        <w:t xml:space="preserve"> </w:t>
      </w:r>
      <w:r>
        <w:t xml:space="preserve">who will persist through the program.</w:t>
      </w:r>
      <w:r>
        <w:t xml:space="preserve"> </w:t>
      </w:r>
      <w:r>
        <w:t xml:space="preserve">Dropout data during and after the piscine</w:t>
      </w:r>
      <w:r>
        <w:t xml:space="preserve"> </w:t>
      </w:r>
      <w:r>
        <w:t xml:space="preserve">is not publicly available in disaggregated form.</w:t>
      </w:r>
    </w:p>
    <w:bookmarkEnd w:id="48"/>
    <w:bookmarkEnd w:id="49"/>
    <w:bookmarkStart w:id="54" w:name="what-can-go-wrong-2"/>
    <w:p>
      <w:pPr>
        <w:pStyle w:val="Heading4"/>
      </w:pPr>
      <w:r>
        <w:t xml:space="preserve">What can go wrong</w:t>
      </w:r>
    </w:p>
    <w:bookmarkStart w:id="50" w:name="selection-bias-is-the-model-not-a-bug."/>
    <w:p>
      <w:pPr>
        <w:pStyle w:val="Heading5"/>
      </w:pPr>
      <w:r>
        <w:t xml:space="preserve">Selection bias is the model, not a bug.</w:t>
      </w:r>
    </w:p>
    <w:p>
      <w:pPr>
        <w:pStyle w:val="FirstParagraph"/>
      </w:pPr>
      <w:r>
        <w:t xml:space="preserve">42’s intensive month-long</w:t>
      </w:r>
      <w:r>
        <w:t xml:space="preserve"> </w:t>
      </w:r>
      <w:r>
        <w:t xml:space="preserve">“piscine”</w:t>
      </w:r>
      <w:r>
        <w:t xml:space="preserve"> </w:t>
      </w:r>
      <w:r>
        <w:t xml:space="preserve">(French for</w:t>
      </w:r>
      <w:r>
        <w:t xml:space="preserve"> </w:t>
      </w:r>
      <w:r>
        <w:t xml:space="preserve">“swimming pool”</w:t>
      </w:r>
      <w:r>
        <w:t xml:space="preserve">)</w:t>
      </w:r>
      <w:r>
        <w:t xml:space="preserve"> </w:t>
      </w:r>
      <w:r>
        <w:t xml:space="preserve">selection process requires applicants to navigate</w:t>
      </w:r>
      <w:r>
        <w:t xml:space="preserve"> </w:t>
      </w:r>
      <w:r>
        <w:t xml:space="preserve">close collaboration, peer feedback,</w:t>
      </w:r>
      <w:r>
        <w:t xml:space="preserve"> </w:t>
      </w:r>
      <w:r>
        <w:t xml:space="preserve">and high-pressure problem-solving for weeks before admission.</w:t>
      </w:r>
      <w:r>
        <w:t xml:space="preserve"> </w:t>
      </w:r>
      <w:r>
        <w:t xml:space="preserve">Those who struggle with interpersonal dynamics</w:t>
      </w:r>
      <w:r>
        <w:t xml:space="preserve"> </w:t>
      </w:r>
      <w:r>
        <w:t xml:space="preserve">or need more explicit instruction drop out during selection.</w:t>
      </w:r>
    </w:p>
    <w:p>
      <w:pPr>
        <w:pStyle w:val="BodyText"/>
      </w:pPr>
      <w:r>
        <w:t xml:space="preserve">The model is designed for</w:t>
      </w:r>
      <w:r>
        <w:t xml:space="preserve"> </w:t>
      </w:r>
      <w:r>
        <w:t xml:space="preserve">“resourceful, self-directed learners”</w:t>
      </w:r>
      <w:r>
        <w:t xml:space="preserve"> </w:t>
      </w:r>
      <w:r>
        <w:t xml:space="preserve">–</w:t>
      </w:r>
      <w:r>
        <w:t xml:space="preserve"> </w:t>
      </w:r>
      <w:r>
        <w:t xml:space="preserve">it does not develop these traits in learners who lack them.</w:t>
      </w:r>
      <w:r>
        <w:t xml:space="preserve"> </w:t>
      </w:r>
      <w:r>
        <w:t xml:space="preserve">This means 42’s impressive outcomes are partly a function</w:t>
      </w:r>
      <w:r>
        <w:t xml:space="preserve"> </w:t>
      </w:r>
      <w:r>
        <w:t xml:space="preserve">of who gets in, not just what happens inside.</w:t>
      </w:r>
    </w:p>
    <w:bookmarkEnd w:id="50"/>
    <w:bookmarkStart w:id="51" w:name="no-mentorship-means-no-safety-net."/>
    <w:p>
      <w:pPr>
        <w:pStyle w:val="Heading5"/>
      </w:pPr>
      <w:r>
        <w:t xml:space="preserve">No mentorship means no safety net.</w:t>
      </w:r>
    </w:p>
    <w:p>
      <w:pPr>
        <w:pStyle w:val="FirstParagraph"/>
      </w:pPr>
      <w:r>
        <w:t xml:space="preserve">With no teachers and no structured guidance,</w:t>
      </w:r>
      <w:r>
        <w:t xml:space="preserve"> </w:t>
      </w:r>
      <w:r>
        <w:t xml:space="preserve">learning quality depends entirely on the knowledge</w:t>
      </w:r>
      <w:r>
        <w:t xml:space="preserve"> </w:t>
      </w:r>
      <w:r>
        <w:t xml:space="preserve">and generosity of peers.</w:t>
      </w:r>
      <w:r>
        <w:t xml:space="preserve"> </w:t>
      </w:r>
      <w:r>
        <w:t xml:space="preserve">When peer expertise is insufficient –</w:t>
      </w:r>
      <w:r>
        <w:t xml:space="preserve"> </w:t>
      </w:r>
      <w:r>
        <w:t xml:space="preserve">a common problem in advanced or niche topics –</w:t>
      </w:r>
      <w:r>
        <w:t xml:space="preserve"> </w:t>
      </w:r>
      <w:r>
        <w:t xml:space="preserve">or when interpersonal conflicts arise,</w:t>
      </w:r>
      <w:r>
        <w:t xml:space="preserve"> </w:t>
      </w:r>
      <w:r>
        <w:t xml:space="preserve">students lack recourse to authoritative support.</w:t>
      </w:r>
    </w:p>
    <w:p>
      <w:pPr>
        <w:pStyle w:val="BodyText"/>
      </w:pPr>
      <w:r>
        <w:t xml:space="preserve">The absence of mentorship is particularly risky</w:t>
      </w:r>
      <w:r>
        <w:t xml:space="preserve"> </w:t>
      </w:r>
      <w:r>
        <w:t xml:space="preserve">for students from backgrounds where academic</w:t>
      </w:r>
      <w:r>
        <w:t xml:space="preserve"> </w:t>
      </w:r>
      <w:r>
        <w:t xml:space="preserve">and professional networks are thin:</w:t>
      </w:r>
      <w:r>
        <w:t xml:space="preserve"> </w:t>
      </w:r>
      <w:r>
        <w:t xml:space="preserve">the very populations that most need guidance</w:t>
      </w:r>
      <w:r>
        <w:t xml:space="preserve"> </w:t>
      </w:r>
      <w:r>
        <w:t xml:space="preserve">receive the least.</w:t>
      </w:r>
    </w:p>
    <w:bookmarkEnd w:id="51"/>
    <w:bookmarkStart w:id="52" w:name="who-thrives-versus-who-struggles."/>
    <w:p>
      <w:pPr>
        <w:pStyle w:val="Heading5"/>
      </w:pPr>
      <w:r>
        <w:t xml:space="preserve">Who thrives versus who struggles.</w:t>
      </w:r>
    </w:p>
    <w:p>
      <w:pPr>
        <w:pStyle w:val="FirstParagraph"/>
      </w:pPr>
      <w:r>
        <w:t xml:space="preserve">The model works for learners who already possess</w:t>
      </w:r>
      <w:r>
        <w:t xml:space="preserve"> </w:t>
      </w:r>
      <w:r>
        <w:t xml:space="preserve">high intrinsic motivation, digital fluency,</w:t>
      </w:r>
      <w:r>
        <w:t xml:space="preserve"> </w:t>
      </w:r>
      <w:r>
        <w:t xml:space="preserve">and collaborative capacity.</w:t>
      </w:r>
      <w:r>
        <w:t xml:space="preserve"> </w:t>
      </w:r>
      <w:r>
        <w:t xml:space="preserve">It does not serve populations requiring developmental support,</w:t>
      </w:r>
      <w:r>
        <w:t xml:space="preserve"> </w:t>
      </w:r>
      <w:r>
        <w:t xml:space="preserve">remedial education, or socio-emotional services.</w:t>
      </w:r>
    </w:p>
    <w:p>
      <w:pPr>
        <w:pStyle w:val="BodyText"/>
      </w:pPr>
      <w:r>
        <w:t xml:space="preserve">42 scales horizontally – more campuses –</w:t>
      </w:r>
      <w:r>
        <w:t xml:space="preserve"> </w:t>
      </w:r>
      <w:r>
        <w:t xml:space="preserve">but it does not scale inclusively to serve broader populations.</w:t>
      </w:r>
      <w:r>
        <w:t xml:space="preserve"> </w:t>
      </w:r>
      <w:r>
        <w:t xml:space="preserve">The model is a powerful solution for a specific demographic;</w:t>
      </w:r>
      <w:r>
        <w:t xml:space="preserve"> </w:t>
      </w:r>
      <w:r>
        <w:t xml:space="preserve">it is not a replacement for the diverse functions of a university.</w:t>
      </w:r>
    </w:p>
    <w:bookmarkEnd w:id="52"/>
    <w:bookmarkStart w:id="53" w:name="no-degree-limited-portability."/>
    <w:p>
      <w:pPr>
        <w:pStyle w:val="Heading5"/>
      </w:pPr>
      <w:r>
        <w:t xml:space="preserve">No degree, limited portability.</w:t>
      </w:r>
    </w:p>
    <w:p>
      <w:pPr>
        <w:pStyle w:val="FirstParagraph"/>
      </w:pPr>
      <w:r>
        <w:t xml:space="preserve">Graduation awards a certificate,</w:t>
      </w:r>
      <w:r>
        <w:t xml:space="preserve"> </w:t>
      </w:r>
      <w:r>
        <w:t xml:space="preserve">not a degree recognized within national qualifications frameworks.</w:t>
      </w:r>
      <w:r>
        <w:t xml:space="preserve"> </w:t>
      </w:r>
      <w:r>
        <w:t xml:space="preserve">In labor markets and countries where degree requirements remain standard</w:t>
      </w:r>
      <w:r>
        <w:t xml:space="preserve"> </w:t>
      </w:r>
      <w:r>
        <w:t xml:space="preserve">for hiring, immigration, or professional licensing,</w:t>
      </w:r>
      <w:r>
        <w:t xml:space="preserve"> </w:t>
      </w:r>
      <w:r>
        <w:t xml:space="preserve">42 graduates face structural disadvantages</w:t>
      </w:r>
      <w:r>
        <w:t xml:space="preserve"> </w:t>
      </w:r>
      <w:r>
        <w:t xml:space="preserve">regardless of their actual competence.</w:t>
      </w:r>
    </w:p>
    <w:bookmarkEnd w:id="53"/>
    <w:bookmarkEnd w:id="54"/>
    <w:bookmarkEnd w:id="55"/>
    <w:bookmarkEnd w:id="56"/>
    <w:bookmarkStart w:id="72" w:name="employer-sponsored-learning-ecosystems"/>
    <w:p>
      <w:pPr>
        <w:pStyle w:val="Heading2"/>
      </w:pPr>
      <w:r>
        <w:t xml:space="preserve">4. Employer-Sponsored Learning Ecosystems</w:t>
      </w:r>
    </w:p>
    <w:bookmarkStart w:id="71" w:name="guild-education"/>
    <w:p>
      <w:pPr>
        <w:pStyle w:val="Heading3"/>
      </w:pPr>
      <w:r>
        <w:t xml:space="preserve">Guild Education</w:t>
      </w:r>
    </w:p>
    <w:bookmarkStart w:id="57" w:name="what-it-is-3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Guild Education disrupts traditional tuition-reimbursement models</w:t>
      </w:r>
      <w:r>
        <w:t xml:space="preserve"> </w:t>
      </w:r>
      <w:r>
        <w:t xml:space="preserve">by facilitating upfront, employer-paid tuition for frontline workers.</w:t>
      </w:r>
      <w:r>
        <w:t xml:space="preserve"> </w:t>
      </w:r>
      <w:r>
        <w:t xml:space="preserve">Rather than the old model –</w:t>
      </w:r>
      <w:r>
        <w:t xml:space="preserve"> </w:t>
      </w:r>
      <w:r>
        <w:t xml:space="preserve">where employees pay tuition, submit receipts,</w:t>
      </w:r>
      <w:r>
        <w:t xml:space="preserve"> </w:t>
      </w:r>
      <w:r>
        <w:t xml:space="preserve">and hope for partial reimbursement –</w:t>
      </w:r>
      <w:r>
        <w:t xml:space="preserve"> </w:t>
      </w:r>
      <w:r>
        <w:t xml:space="preserve">Guild curates a marketplace of vetted degree programs and certificates</w:t>
      </w:r>
      <w:r>
        <w:t xml:space="preserve"> </w:t>
      </w:r>
      <w:r>
        <w:t xml:space="preserve">from university and industry partners,</w:t>
      </w:r>
      <w:r>
        <w:t xml:space="preserve"> </w:t>
      </w:r>
      <w:r>
        <w:t xml:space="preserve">connects employees to offerings aligned</w:t>
      </w:r>
      <w:r>
        <w:t xml:space="preserve"> </w:t>
      </w:r>
      <w:r>
        <w:t xml:space="preserve">with their employer’s strategic needs,</w:t>
      </w:r>
      <w:r>
        <w:t xml:space="preserve"> </w:t>
      </w:r>
      <w:r>
        <w:t xml:space="preserve">and manages payment flows so workers incur no debt.</w:t>
      </w:r>
    </w:p>
    <w:p>
      <w:pPr>
        <w:pStyle w:val="BodyText"/>
      </w:pPr>
      <w:r>
        <w:t xml:space="preserve">Over six million employees accessed Guild in the past year.</w:t>
      </w:r>
      <w:r>
        <w:t xml:space="preserve"> </w:t>
      </w:r>
      <w:r>
        <w:t xml:space="preserve">The model operates as a business-to-business (B2B) platform:</w:t>
      </w:r>
      <w:r>
        <w:t xml:space="preserve"> </w:t>
      </w:r>
      <w:r>
        <w:t xml:space="preserve">employers are the clients, not individual learners.</w:t>
      </w:r>
    </w:p>
    <w:bookmarkEnd w:id="57"/>
    <w:bookmarkStart w:id="62" w:name="why-it-looks-promising-3"/>
    <w:p>
      <w:pPr>
        <w:pStyle w:val="Heading4"/>
      </w:pPr>
      <w:r>
        <w:t xml:space="preserve">Why it looks promising</w:t>
      </w:r>
    </w:p>
    <w:bookmarkStart w:id="58" w:name="eliminates-debt-for-frontline-workers."/>
    <w:p>
      <w:pPr>
        <w:pStyle w:val="Heading5"/>
      </w:pPr>
      <w:r>
        <w:t xml:space="preserve">Eliminates debt for frontline workers.</w:t>
      </w:r>
    </w:p>
    <w:p>
      <w:pPr>
        <w:pStyle w:val="FirstParagraph"/>
      </w:pPr>
      <w:r>
        <w:t xml:space="preserve">Workers in retail, food service, and healthcare –</w:t>
      </w:r>
      <w:r>
        <w:t xml:space="preserve"> </w:t>
      </w:r>
      <w:r>
        <w:t xml:space="preserve">populations that traditional universities often fail to serve –</w:t>
      </w:r>
      <w:r>
        <w:t xml:space="preserve"> </w:t>
      </w:r>
      <w:r>
        <w:t xml:space="preserve">can earn credentials without borrowing money.</w:t>
      </w:r>
      <w:r>
        <w:t xml:space="preserve"> </w:t>
      </w:r>
      <w:r>
        <w:t xml:space="preserve">The employer pays upfront,</w:t>
      </w:r>
      <w:r>
        <w:t xml:space="preserve"> </w:t>
      </w:r>
      <w:r>
        <w:t xml:space="preserve">removing the single largest barrier to adult education.</w:t>
      </w:r>
    </w:p>
    <w:bookmarkEnd w:id="58"/>
    <w:bookmarkStart w:id="59" w:name="measurable-career-impact."/>
    <w:p>
      <w:pPr>
        <w:pStyle w:val="Heading5"/>
      </w:pPr>
      <w:r>
        <w:t xml:space="preserve">Measurable career impact.</w:t>
      </w:r>
    </w:p>
    <w:p>
      <w:pPr>
        <w:pStyle w:val="FirstParagraph"/>
      </w:pPr>
      <w:r>
        <w:t xml:space="preserve">Guild participants are 2.6 times more likely</w:t>
      </w:r>
      <w:r>
        <w:t xml:space="preserve"> </w:t>
      </w:r>
      <w:r>
        <w:t xml:space="preserve">to experience internal mobility and earn wage increases</w:t>
      </w:r>
      <w:r>
        <w:t xml:space="preserve"> </w:t>
      </w:r>
      <w:r>
        <w:t xml:space="preserve">compared to non-participants.</w:t>
      </w:r>
      <w:r>
        <w:t xml:space="preserve"> </w:t>
      </w:r>
      <w:r>
        <w:t xml:space="preserve">Chipotle reported that crew members enrolled in Guild programs</w:t>
      </w:r>
      <w:r>
        <w:t xml:space="preserve"> </w:t>
      </w:r>
      <w:r>
        <w:t xml:space="preserve">are six times more likely to advance into management roles.</w:t>
      </w:r>
    </w:p>
    <w:bookmarkEnd w:id="59"/>
    <w:bookmarkStart w:id="60" w:name="high-retention-signals-mutual-value."/>
    <w:p>
      <w:pPr>
        <w:pStyle w:val="Heading5"/>
      </w:pPr>
      <w:r>
        <w:t xml:space="preserve">High retention signals mutual value.</w:t>
      </w:r>
    </w:p>
    <w:p>
      <w:pPr>
        <w:pStyle w:val="FirstParagraph"/>
      </w:pPr>
      <w:r>
        <w:t xml:space="preserve">Chipotle reports that Guild enrollees</w:t>
      </w:r>
      <w:r>
        <w:t xml:space="preserve"> </w:t>
      </w:r>
      <w:r>
        <w:t xml:space="preserve">have 89% retention rates after nine months</w:t>
      </w:r>
      <w:r>
        <w:t xml:space="preserve"> </w:t>
      </w:r>
      <w:r>
        <w:t xml:space="preserve">and are nearly twice as likely to be promoted.</w:t>
      </w:r>
      <w:r>
        <w:t xml:space="preserve"> </w:t>
      </w:r>
      <w:r>
        <w:t xml:space="preserve">Internal job mobility increases by 3.5 times.</w:t>
      </w:r>
      <w:r>
        <w:t xml:space="preserve"> </w:t>
      </w:r>
      <w:r>
        <w:t xml:space="preserve">Both employers and employees appear to benefit.</w:t>
      </w:r>
    </w:p>
    <w:bookmarkEnd w:id="60"/>
    <w:bookmarkStart w:id="61" w:name="addresses-both-sides-of-the-skills-gap."/>
    <w:p>
      <w:pPr>
        <w:pStyle w:val="Heading5"/>
      </w:pPr>
      <w:r>
        <w:t xml:space="preserve">Addresses both sides of the skills gap.</w:t>
      </w:r>
    </w:p>
    <w:p>
      <w:pPr>
        <w:pStyle w:val="FirstParagraph"/>
      </w:pPr>
      <w:r>
        <w:t xml:space="preserve">Employers secure a more capable, loyal workforce;</w:t>
      </w:r>
      <w:r>
        <w:t xml:space="preserve"> </w:t>
      </w:r>
      <w:r>
        <w:t xml:space="preserve">employees gain credentials and career progression</w:t>
      </w:r>
      <w:r>
        <w:t xml:space="preserve"> </w:t>
      </w:r>
      <w:r>
        <w:t xml:space="preserve">without upfront financial barriers.</w:t>
      </w:r>
    </w:p>
    <w:bookmarkEnd w:id="61"/>
    <w:bookmarkEnd w:id="62"/>
    <w:bookmarkStart w:id="66" w:name="what-we-know-works-3"/>
    <w:p>
      <w:pPr>
        <w:pStyle w:val="Heading4"/>
      </w:pPr>
      <w:r>
        <w:t xml:space="preserve">What we know works</w:t>
      </w:r>
    </w:p>
    <w:bookmarkStart w:id="63" w:name="Xfac96664fbd98f7b73d65aee0fac2eb2f08ae5b"/>
    <w:p>
      <w:pPr>
        <w:pStyle w:val="Heading5"/>
      </w:pPr>
      <w:r>
        <w:t xml:space="preserve">Employer outcome data (vendor/client reports)</w:t>
      </w:r>
    </w:p>
    <w:p>
      <w:pPr>
        <w:pStyle w:val="FirstParagraph"/>
      </w:pPr>
      <w:r>
        <w:t xml:space="preserve">Guild’s published numbers – 2.6x internal mobility,</w:t>
      </w:r>
      <w:r>
        <w:t xml:space="preserve"> </w:t>
      </w:r>
      <w:r>
        <w:t xml:space="preserve">Chipotle’s 6x management advancement rate,</w:t>
      </w:r>
      <w:r>
        <w:t xml:space="preserve"> </w:t>
      </w:r>
      <w:r>
        <w:t xml:space="preserve">89% nine-month retention –</w:t>
      </w:r>
      <w:r>
        <w:t xml:space="preserve"> </w:t>
      </w:r>
      <w:r>
        <w:t xml:space="preserve">come from Guild and its corporate clients.</w:t>
      </w:r>
      <w:r>
        <w:t xml:space="preserve"> </w:t>
      </w:r>
      <w:r>
        <w:t xml:space="preserve">These are vendor and client reports, not independent studies.</w:t>
      </w:r>
      <w:r>
        <w:t xml:space="preserve"> </w:t>
      </w:r>
      <w:r>
        <w:t xml:space="preserve">The numbers are impressive but produced by parties</w:t>
      </w:r>
      <w:r>
        <w:t xml:space="preserve"> </w:t>
      </w:r>
      <w:r>
        <w:t xml:space="preserve">with clear incentives to report positive results.</w:t>
      </w:r>
    </w:p>
    <w:bookmarkEnd w:id="63"/>
    <w:bookmarkStart w:id="64" w:name="scale-of-reach-vendor-data"/>
    <w:p>
      <w:pPr>
        <w:pStyle w:val="Heading5"/>
      </w:pPr>
      <w:r>
        <w:t xml:space="preserve">Scale of reach (vendor data)</w:t>
      </w:r>
    </w:p>
    <w:p>
      <w:pPr>
        <w:pStyle w:val="FirstParagraph"/>
      </w:pPr>
      <w:r>
        <w:t xml:space="preserve">Over six million employees accessed Guild in the past year.</w:t>
      </w:r>
      <w:r>
        <w:t xml:space="preserve"> </w:t>
      </w:r>
      <w:r>
        <w:t xml:space="preserve">This demonstrates market demand and employer willingness to invest,</w:t>
      </w:r>
      <w:r>
        <w:t xml:space="preserve"> </w:t>
      </w:r>
      <w:r>
        <w:t xml:space="preserve">though it does not by itself demonstrate learning effectiveness.</w:t>
      </w:r>
    </w:p>
    <w:bookmarkEnd w:id="64"/>
    <w:bookmarkStart w:id="65" w:name="no-independent-analysis"/>
    <w:p>
      <w:pPr>
        <w:pStyle w:val="Heading5"/>
      </w:pPr>
      <w:r>
        <w:t xml:space="preserve">No independent analysis</w:t>
      </w:r>
    </w:p>
    <w:p>
      <w:pPr>
        <w:pStyle w:val="FirstParagraph"/>
      </w:pPr>
      <w:r>
        <w:t xml:space="preserve">No independent meta-analysis or controlled study</w:t>
      </w:r>
      <w:r>
        <w:t xml:space="preserve"> </w:t>
      </w:r>
      <w:r>
        <w:t xml:space="preserve">of Guild’s model has been published.</w:t>
      </w:r>
      <w:r>
        <w:t xml:space="preserve"> </w:t>
      </w:r>
      <w:r>
        <w:t xml:space="preserve">The model is relatively new and proprietary,</w:t>
      </w:r>
      <w:r>
        <w:t xml:space="preserve"> </w:t>
      </w:r>
      <w:r>
        <w:t xml:space="preserve">making independent evaluation difficult.</w:t>
      </w:r>
    </w:p>
    <w:bookmarkEnd w:id="65"/>
    <w:bookmarkEnd w:id="66"/>
    <w:bookmarkStart w:id="70" w:name="what-can-go-wrong-3"/>
    <w:p>
      <w:pPr>
        <w:pStyle w:val="Heading4"/>
      </w:pPr>
      <w:r>
        <w:t xml:space="preserve">What can go wrong</w:t>
      </w:r>
    </w:p>
    <w:bookmarkStart w:id="67" w:name="corporate-capture-of-curriculum."/>
    <w:p>
      <w:pPr>
        <w:pStyle w:val="Heading5"/>
      </w:pPr>
      <w:r>
        <w:t xml:space="preserve">Corporate capture of curriculum.</w:t>
      </w:r>
    </w:p>
    <w:p>
      <w:pPr>
        <w:pStyle w:val="FirstParagraph"/>
      </w:pPr>
      <w:r>
        <w:t xml:space="preserve">Guild curates which programs employers fund,</w:t>
      </w:r>
      <w:r>
        <w:t xml:space="preserve"> </w:t>
      </w:r>
      <w:r>
        <w:t xml:space="preserve">and employers decide which offerings to support</w:t>
      </w:r>
      <w:r>
        <w:t xml:space="preserve"> </w:t>
      </w:r>
      <w:r>
        <w:t xml:space="preserve">and which employees to enroll.</w:t>
      </w:r>
      <w:r>
        <w:t xml:space="preserve"> </w:t>
      </w:r>
      <w:r>
        <w:t xml:space="preserve">Over 80% of degree and certificate learners</w:t>
      </w:r>
      <w:r>
        <w:t xml:space="preserve"> </w:t>
      </w:r>
      <w:r>
        <w:t xml:space="preserve">enroll in business-aligned programs</w:t>
      </w:r>
      <w:r>
        <w:t xml:space="preserve"> </w:t>
      </w:r>
      <w:r>
        <w:t xml:space="preserve">selected to meet employers’ strategic workforce needs.</w:t>
      </w:r>
    </w:p>
    <w:p>
      <w:pPr>
        <w:pStyle w:val="BodyText"/>
      </w:pPr>
      <w:r>
        <w:t xml:space="preserve">This ensures relevance to the employer</w:t>
      </w:r>
      <w:r>
        <w:t xml:space="preserve"> </w:t>
      </w:r>
      <w:r>
        <w:t xml:space="preserve">but narrows educational offerings</w:t>
      </w:r>
      <w:r>
        <w:t xml:space="preserve"> </w:t>
      </w:r>
      <w:r>
        <w:t xml:space="preserve">toward instrumental, skills-focused training</w:t>
      </w:r>
      <w:r>
        <w:t xml:space="preserve"> </w:t>
      </w:r>
      <w:r>
        <w:t xml:space="preserve">at the expense of liberal arts, critical inquiry,</w:t>
      </w:r>
      <w:r>
        <w:t xml:space="preserve"> </w:t>
      </w:r>
      <w:r>
        <w:t xml:space="preserve">and public-good missions.</w:t>
      </w:r>
      <w:r>
        <w:t xml:space="preserve"> </w:t>
      </w:r>
      <w:r>
        <w:t xml:space="preserve">Universities dependent on Guild partnerships</w:t>
      </w:r>
      <w:r>
        <w:t xml:space="preserve"> </w:t>
      </w:r>
      <w:r>
        <w:t xml:space="preserve">may face pressure to design programs</w:t>
      </w:r>
      <w:r>
        <w:t xml:space="preserve"> </w:t>
      </w:r>
      <w:r>
        <w:t xml:space="preserve">that prioritize employer satisfaction</w:t>
      </w:r>
      <w:r>
        <w:t xml:space="preserve"> </w:t>
      </w:r>
      <w:r>
        <w:t xml:space="preserve">over intellectual rigor, disciplinary integrity,</w:t>
      </w:r>
      <w:r>
        <w:t xml:space="preserve"> </w:t>
      </w:r>
      <w:r>
        <w:t xml:space="preserve">or student-centered pedagogy –</w:t>
      </w:r>
      <w:r>
        <w:t xml:space="preserve"> </w:t>
      </w:r>
      <w:r>
        <w:t xml:space="preserve">a dynamic that risks transforming universities</w:t>
      </w:r>
      <w:r>
        <w:t xml:space="preserve"> </w:t>
      </w:r>
      <w:r>
        <w:t xml:space="preserve">from sites of broad human development</w:t>
      </w:r>
      <w:r>
        <w:t xml:space="preserve"> </w:t>
      </w:r>
      <w:r>
        <w:t xml:space="preserve">into corporate training arms.</w:t>
      </w:r>
    </w:p>
    <w:bookmarkEnd w:id="67"/>
    <w:bookmarkStart w:id="68" w:name="worker-lock-in."/>
    <w:p>
      <w:pPr>
        <w:pStyle w:val="Heading5"/>
      </w:pPr>
      <w:r>
        <w:t xml:space="preserve">Worker lock-in.</w:t>
      </w:r>
    </w:p>
    <w:p>
      <w:pPr>
        <w:pStyle w:val="FirstParagraph"/>
      </w:pPr>
      <w:r>
        <w:t xml:space="preserve">Guild’s business model succeeds partly because it increases retention:</w:t>
      </w:r>
      <w:r>
        <w:t xml:space="preserve"> </w:t>
      </w:r>
      <w:r>
        <w:t xml:space="preserve">participants are 2.6 times more likely</w:t>
      </w:r>
      <w:r>
        <w:t xml:space="preserve"> </w:t>
      </w:r>
      <w:r>
        <w:t xml:space="preserve">to remain with their employer.</w:t>
      </w:r>
      <w:r>
        <w:t xml:space="preserve"> </w:t>
      </w:r>
      <w:r>
        <w:t xml:space="preserve">While employees gain credentials and wage increases,</w:t>
      </w:r>
      <w:r>
        <w:t xml:space="preserve"> </w:t>
      </w:r>
      <w:r>
        <w:t xml:space="preserve">they do so within a closed ecosystem</w:t>
      </w:r>
      <w:r>
        <w:t xml:space="preserve"> </w:t>
      </w:r>
      <w:r>
        <w:t xml:space="preserve">that incentivizes staying rather than exploring</w:t>
      </w:r>
      <w:r>
        <w:t xml:space="preserve"> </w:t>
      </w:r>
      <w:r>
        <w:t xml:space="preserve">external opportunities.</w:t>
      </w:r>
    </w:p>
    <w:p>
      <w:pPr>
        <w:pStyle w:val="BodyText"/>
      </w:pPr>
      <w:r>
        <w:t xml:space="preserve">Workers who leave their employer before completing programs</w:t>
      </w:r>
      <w:r>
        <w:t xml:space="preserve"> </w:t>
      </w:r>
      <w:r>
        <w:t xml:space="preserve">may forfeit progress or face financial penalties,</w:t>
      </w:r>
      <w:r>
        <w:t xml:space="preserve"> </w:t>
      </w:r>
      <w:r>
        <w:t xml:space="preserve">creating economic lock-in.</w:t>
      </w:r>
      <w:r>
        <w:t xml:space="preserve"> </w:t>
      </w:r>
      <w:r>
        <w:t xml:space="preserve">From an individual standpoint, Guild provides opportunity;</w:t>
      </w:r>
      <w:r>
        <w:t xml:space="preserve"> </w:t>
      </w:r>
      <w:r>
        <w:t xml:space="preserve">from a labor-market standpoint,</w:t>
      </w:r>
      <w:r>
        <w:t xml:space="preserve"> </w:t>
      </w:r>
      <w:r>
        <w:t xml:space="preserve">it may reduce worker bargaining power</w:t>
      </w:r>
      <w:r>
        <w:t xml:space="preserve"> </w:t>
      </w:r>
      <w:r>
        <w:t xml:space="preserve">by tying educational benefits to continued employment</w:t>
      </w:r>
      <w:r>
        <w:t xml:space="preserve"> </w:t>
      </w:r>
      <w:r>
        <w:t xml:space="preserve">and limiting the portability of skills and credentials</w:t>
      </w:r>
      <w:r>
        <w:t xml:space="preserve"> </w:t>
      </w:r>
      <w:r>
        <w:t xml:space="preserve">outside the employer’s network.</w:t>
      </w:r>
    </w:p>
    <w:bookmarkEnd w:id="68"/>
    <w:bookmarkStart w:id="69" w:name="who-decides-what-you-learn"/>
    <w:p>
      <w:pPr>
        <w:pStyle w:val="Heading5"/>
      </w:pPr>
      <w:r>
        <w:t xml:space="preserve">Who decides what you learn?</w:t>
      </w:r>
    </w:p>
    <w:p>
      <w:pPr>
        <w:pStyle w:val="FirstParagraph"/>
      </w:pPr>
      <w:r>
        <w:t xml:space="preserve">Unlike traditional financial aid or tuition reimbursement,</w:t>
      </w:r>
      <w:r>
        <w:t xml:space="preserve"> </w:t>
      </w:r>
      <w:r>
        <w:t xml:space="preserve">Guild’s B2B model places employers – not learners –</w:t>
      </w:r>
      <w:r>
        <w:t xml:space="preserve"> </w:t>
      </w:r>
      <w:r>
        <w:t xml:space="preserve">at the center of decision-making.</w:t>
      </w:r>
      <w:r>
        <w:t xml:space="preserve"> </w:t>
      </w:r>
      <w:r>
        <w:t xml:space="preserve">Employees choose from a curated set of offerings</w:t>
      </w:r>
      <w:r>
        <w:t xml:space="preserve"> </w:t>
      </w:r>
      <w:r>
        <w:t xml:space="preserve">rather than open access to all higher education options,</w:t>
      </w:r>
      <w:r>
        <w:t xml:space="preserve"> </w:t>
      </w:r>
      <w:r>
        <w:t xml:space="preserve">restricting autonomy and potentially directing learners</w:t>
      </w:r>
      <w:r>
        <w:t xml:space="preserve"> </w:t>
      </w:r>
      <w:r>
        <w:t xml:space="preserve">toward credentials that serve employer needs</w:t>
      </w:r>
      <w:r>
        <w:t xml:space="preserve"> </w:t>
      </w:r>
      <w:r>
        <w:t xml:space="preserve">more than individual aspirations</w:t>
      </w:r>
      <w:r>
        <w:t xml:space="preserve"> </w:t>
      </w:r>
      <w:r>
        <w:t xml:space="preserve">or long-term career flexibility.</w:t>
      </w:r>
    </w:p>
    <w:p>
      <w:pPr>
        <w:pStyle w:val="BodyText"/>
      </w:pPr>
      <w:r>
        <w:t xml:space="preserve">The question is whether employer-sponsored education</w:t>
      </w:r>
      <w:r>
        <w:t xml:space="preserve"> </w:t>
      </w:r>
      <w:r>
        <w:t xml:space="preserve">is a second chance or a gilded cage.</w:t>
      </w:r>
    </w:p>
    <w:bookmarkEnd w:id="69"/>
    <w:bookmarkEnd w:id="70"/>
    <w:bookmarkEnd w:id="71"/>
    <w:bookmarkEnd w:id="72"/>
    <w:bookmarkStart w:id="89" w:name="european-university-alliances"/>
    <w:p>
      <w:pPr>
        <w:pStyle w:val="Heading2"/>
      </w:pPr>
      <w:r>
        <w:t xml:space="preserve">5. European University Alliances</w:t>
      </w:r>
    </w:p>
    <w:bookmarkStart w:id="88" w:name="Xe333795fd46e869418e6fa736412ab63190fc8c"/>
    <w:p>
      <w:pPr>
        <w:pStyle w:val="Heading3"/>
      </w:pPr>
      <w:r>
        <w:t xml:space="preserve">ECIU, CHARM-EU, and the European Universities Initiative</w:t>
      </w:r>
    </w:p>
    <w:bookmarkStart w:id="73" w:name="what-it-is-4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The European Universities Initiative (EUI),</w:t>
      </w:r>
      <w:r>
        <w:t xml:space="preserve"> </w:t>
      </w:r>
      <w:r>
        <w:t xml:space="preserve">launched in 2017 and now comprising over 60 alliances,</w:t>
      </w:r>
      <w:r>
        <w:t xml:space="preserve"> </w:t>
      </w:r>
      <w:r>
        <w:t xml:space="preserve">represents a bold experiment in transnational,</w:t>
      </w:r>
      <w:r>
        <w:t xml:space="preserve"> </w:t>
      </w:r>
      <w:r>
        <w:t xml:space="preserve">integrated higher education.</w:t>
      </w:r>
      <w:r>
        <w:t xml:space="preserve"> </w:t>
      </w:r>
      <w:r>
        <w:t xml:space="preserve">Alliances such as ECIU</w:t>
      </w:r>
      <w:r>
        <w:t xml:space="preserve"> </w:t>
      </w:r>
      <w:r>
        <w:t xml:space="preserve">(European Consortium of Innovative Universities)</w:t>
      </w:r>
      <w:r>
        <w:t xml:space="preserve"> </w:t>
      </w:r>
      <w:r>
        <w:t xml:space="preserve">and CHARM-EU</w:t>
      </w:r>
      <w:r>
        <w:t xml:space="preserve"> </w:t>
      </w:r>
      <w:r>
        <w:t xml:space="preserve">(Challenge-Driven, Accessible, Research-Based, Mobile European University)</w:t>
      </w:r>
      <w:r>
        <w:t xml:space="preserve"> </w:t>
      </w:r>
      <w:r>
        <w:t xml:space="preserve">jointly develop curricula, award micro-credentials or full joint degrees,</w:t>
      </w:r>
      <w:r>
        <w:t xml:space="preserve"> </w:t>
      </w:r>
      <w:r>
        <w:t xml:space="preserve">and offer students seamless mobility and recognition</w:t>
      </w:r>
      <w:r>
        <w:t xml:space="preserve"> </w:t>
      </w:r>
      <w:r>
        <w:t xml:space="preserve">across partner institutions.</w:t>
      </w:r>
    </w:p>
    <w:p>
      <w:pPr>
        <w:pStyle w:val="BodyText"/>
      </w:pPr>
      <w:r>
        <w:t xml:space="preserve">ECIU became the first European University Alliance</w:t>
      </w:r>
      <w:r>
        <w:t xml:space="preserve"> </w:t>
      </w:r>
      <w:r>
        <w:t xml:space="preserve">to issue jointly recognized, blockchain-secured digital micro-credentials</w:t>
      </w:r>
      <w:r>
        <w:t xml:space="preserve"> </w:t>
      </w:r>
      <w:r>
        <w:t xml:space="preserve">using the Europass wallet in 2023,</w:t>
      </w:r>
      <w:r>
        <w:t xml:space="preserve"> </w:t>
      </w:r>
      <w:r>
        <w:t xml:space="preserve">establishing a template for distributed credentialing</w:t>
      </w:r>
      <w:r>
        <w:t xml:space="preserve"> </w:t>
      </w:r>
      <w:r>
        <w:t xml:space="preserve">across its 14 partner institutions.</w:t>
      </w:r>
      <w:r>
        <w:t xml:space="preserve"> </w:t>
      </w:r>
      <w:r>
        <w:t xml:space="preserve">ECIU structures its entire educational offering</w:t>
      </w:r>
      <w:r>
        <w:t xml:space="preserve"> </w:t>
      </w:r>
      <w:r>
        <w:t xml:space="preserve">around learner-selected</w:t>
      </w:r>
      <w:r>
        <w:t xml:space="preserve"> </w:t>
      </w:r>
      <w:r>
        <w:t xml:space="preserve">“challenges”</w:t>
      </w:r>
      <w:r>
        <w:t xml:space="preserve"> </w:t>
      </w:r>
      <w:r>
        <w:t xml:space="preserve">co-designed with societal partners –</w:t>
      </w:r>
      <w:r>
        <w:t xml:space="preserve"> </w:t>
      </w:r>
      <w:r>
        <w:t xml:space="preserve">companies, municipalities, NGOs.</w:t>
      </w:r>
      <w:r>
        <w:t xml:space="preserve"> </w:t>
      </w:r>
      <w:r>
        <w:t xml:space="preserve">Students form interdisciplinary teams,</w:t>
      </w:r>
      <w:r>
        <w:t xml:space="preserve"> </w:t>
      </w:r>
      <w:r>
        <w:t xml:space="preserve">define problems within challenge areas,</w:t>
      </w:r>
      <w:r>
        <w:t xml:space="preserve"> </w:t>
      </w:r>
      <w:r>
        <w:t xml:space="preserve">investigate solutions using domain-appropriate knowledge,</w:t>
      </w:r>
      <w:r>
        <w:t xml:space="preserve"> </w:t>
      </w:r>
      <w:r>
        <w:t xml:space="preserve">and deliver actionable outputs:</w:t>
      </w:r>
      <w:r>
        <w:t xml:space="preserve"> </w:t>
      </w:r>
      <w:r>
        <w:t xml:space="preserve">prototypes, advisory reports, proof of concept.</w:t>
      </w:r>
      <w:r>
        <w:t xml:space="preserve"> </w:t>
      </w:r>
      <w:r>
        <w:t xml:space="preserve">Faculty shift from lecturers to coaches.</w:t>
      </w:r>
    </w:p>
    <w:p>
      <w:pPr>
        <w:pStyle w:val="BodyText"/>
      </w:pPr>
      <w:r>
        <w:t xml:space="preserve">CHARM-EU offers a fully joint master’s degree,</w:t>
      </w:r>
      <w:r>
        <w:t xml:space="preserve"> </w:t>
      </w:r>
      <w:r>
        <w:t xml:space="preserve">the first of its kind in Europe,</w:t>
      </w:r>
      <w:r>
        <w:t xml:space="preserve"> </w:t>
      </w:r>
      <w:r>
        <w:t xml:space="preserve">with curriculum co-created and delivered</w:t>
      </w:r>
      <w:r>
        <w:t xml:space="preserve"> </w:t>
      </w:r>
      <w:r>
        <w:t xml:space="preserve">across nine partner universities.</w:t>
      </w:r>
      <w:r>
        <w:t xml:space="preserve"> </w:t>
      </w:r>
      <w:r>
        <w:t xml:space="preserve">Every module is jointly designed to ensure coherent integration</w:t>
      </w:r>
      <w:r>
        <w:t xml:space="preserve"> </w:t>
      </w:r>
      <w:r>
        <w:t xml:space="preserve">of theory, disciplines, and dissertation projects.</w:t>
      </w:r>
    </w:p>
    <w:p>
      <w:pPr>
        <w:pStyle w:val="BodyText"/>
      </w:pPr>
      <w:r>
        <w:t xml:space="preserve">The European Commission is advancing</w:t>
      </w:r>
      <w:r>
        <w:t xml:space="preserve"> </w:t>
      </w:r>
      <w:r>
        <w:t xml:space="preserve">a joint European degree label to be rolled out from mid-2026,</w:t>
      </w:r>
      <w:r>
        <w:t xml:space="preserve"> </w:t>
      </w:r>
      <w:r>
        <w:t xml:space="preserve">enabling automatic recognition of jointly awarded programs</w:t>
      </w:r>
      <w:r>
        <w:t xml:space="preserve"> </w:t>
      </w:r>
      <w:r>
        <w:t xml:space="preserve">everywhere in the EU.</w:t>
      </w:r>
    </w:p>
    <w:bookmarkEnd w:id="73"/>
    <w:bookmarkStart w:id="78" w:name="why-it-looks-promising-4"/>
    <w:p>
      <w:pPr>
        <w:pStyle w:val="Heading4"/>
      </w:pPr>
      <w:r>
        <w:t xml:space="preserve">Why it looks promising</w:t>
      </w:r>
    </w:p>
    <w:bookmarkStart w:id="74" w:name="Xb2a7c20f2bc8399e1270bf0ef784b94558d8dc9"/>
    <w:p>
      <w:pPr>
        <w:pStyle w:val="Heading5"/>
      </w:pPr>
      <w:r>
        <w:t xml:space="preserve">Micro-credentials with cross-border recognition.</w:t>
      </w:r>
    </w:p>
    <w:p>
      <w:pPr>
        <w:pStyle w:val="FirstParagraph"/>
      </w:pPr>
      <w:r>
        <w:t xml:space="preserve">Micro-credentials – typically 4-6 ECTS in size –</w:t>
      </w:r>
      <w:r>
        <w:t xml:space="preserve"> </w:t>
      </w:r>
      <w:r>
        <w:t xml:space="preserve">certify specific competencies</w:t>
      </w:r>
      <w:r>
        <w:t xml:space="preserve"> </w:t>
      </w:r>
      <w:r>
        <w:t xml:space="preserve">and can stack toward larger qualifications or stand alone.</w:t>
      </w:r>
      <w:r>
        <w:t xml:space="preserve"> </w:t>
      </w:r>
      <w:r>
        <w:t xml:space="preserve">ECIU’s blockchain-secured credentials,</w:t>
      </w:r>
      <w:r>
        <w:t xml:space="preserve"> </w:t>
      </w:r>
      <w:r>
        <w:t xml:space="preserve">issued through the Europass wallet,</w:t>
      </w:r>
      <w:r>
        <w:t xml:space="preserve"> </w:t>
      </w:r>
      <w:r>
        <w:t xml:space="preserve">offer a model for portable, verifiable, learner-owned recognition</w:t>
      </w:r>
      <w:r>
        <w:t xml:space="preserve"> </w:t>
      </w:r>
      <w:r>
        <w:t xml:space="preserve">that works across 14 institutions and multiple countries.</w:t>
      </w:r>
    </w:p>
    <w:bookmarkEnd w:id="74"/>
    <w:bookmarkStart w:id="75" w:name="Xafcedc8f11989d5805da5b30fb81a2220f3453c"/>
    <w:p>
      <w:pPr>
        <w:pStyle w:val="Heading5"/>
      </w:pPr>
      <w:r>
        <w:t xml:space="preserve">Challenge-based learning at institutional scale.</w:t>
      </w:r>
    </w:p>
    <w:p>
      <w:pPr>
        <w:pStyle w:val="FirstParagraph"/>
      </w:pPr>
      <w:r>
        <w:t xml:space="preserve">ECIU structures learning around authentic societal problems</w:t>
      </w:r>
      <w:r>
        <w:t xml:space="preserve"> </w:t>
      </w:r>
      <w:r>
        <w:t xml:space="preserve">co-designed with external partners,</w:t>
      </w:r>
      <w:r>
        <w:t xml:space="preserve"> </w:t>
      </w:r>
      <w:r>
        <w:t xml:space="preserve">shifting pedagogy from lectures to interdisciplinary team projects</w:t>
      </w:r>
      <w:r>
        <w:t xml:space="preserve"> </w:t>
      </w:r>
      <w:r>
        <w:t xml:space="preserve">with real deliverables.</w:t>
      </w:r>
      <w:r>
        <w:t xml:space="preserve"> </w:t>
      </w:r>
      <w:r>
        <w:t xml:space="preserve">Tilburg University’s Digital Interventions Incubator exemplifies this:</w:t>
      </w:r>
      <w:r>
        <w:t xml:space="preserve"> </w:t>
      </w:r>
      <w:r>
        <w:t xml:space="preserve">students develop virtual-reality tools for children</w:t>
      </w:r>
      <w:r>
        <w:t xml:space="preserve"> </w:t>
      </w:r>
      <w:r>
        <w:t xml:space="preserve">with neurodevelopmental disorders</w:t>
      </w:r>
      <w:r>
        <w:t xml:space="preserve"> </w:t>
      </w:r>
      <w:r>
        <w:t xml:space="preserve">or augmented-reality apps to encourage physical activity in patients,</w:t>
      </w:r>
      <w:r>
        <w:t xml:space="preserve"> </w:t>
      </w:r>
      <w:r>
        <w:t xml:space="preserve">working directly with clinical partners.</w:t>
      </w:r>
    </w:p>
    <w:bookmarkEnd w:id="75"/>
    <w:bookmarkStart w:id="76" w:name="X96cc45fb00477f2ef96b2bc90a6fdc960f6a99d"/>
    <w:p>
      <w:pPr>
        <w:pStyle w:val="Heading5"/>
      </w:pPr>
      <w:r>
        <w:t xml:space="preserve">Joint degrees eliminate institutional silos.</w:t>
      </w:r>
    </w:p>
    <w:p>
      <w:pPr>
        <w:pStyle w:val="FirstParagraph"/>
      </w:pPr>
      <w:r>
        <w:t xml:space="preserve">CHARM-EU’s jointly designed master’s degree</w:t>
      </w:r>
      <w:r>
        <w:t xml:space="preserve"> </w:t>
      </w:r>
      <w:r>
        <w:t xml:space="preserve">integrates theory, disciplines, and dissertation projects</w:t>
      </w:r>
      <w:r>
        <w:t xml:space="preserve"> </w:t>
      </w:r>
      <w:r>
        <w:t xml:space="preserve">across nine universities,</w:t>
      </w:r>
      <w:r>
        <w:t xml:space="preserve"> </w:t>
      </w:r>
      <w:r>
        <w:t xml:space="preserve">offering students a genuinely transnational educational experience</w:t>
      </w:r>
      <w:r>
        <w:t xml:space="preserve"> </w:t>
      </w:r>
      <w:r>
        <w:t xml:space="preserve">rather than a patchwork of exchange semesters.</w:t>
      </w:r>
    </w:p>
    <w:bookmarkEnd w:id="76"/>
    <w:bookmarkStart w:id="77" w:name="innovation-labs-embed-experimentation."/>
    <w:p>
      <w:pPr>
        <w:pStyle w:val="Heading5"/>
      </w:pPr>
      <w:r>
        <w:t xml:space="preserve">Innovation labs embed experimentation.</w:t>
      </w:r>
    </w:p>
    <w:p>
      <w:pPr>
        <w:pStyle w:val="FirstParagraph"/>
      </w:pPr>
      <w:r>
        <w:t xml:space="preserve">ECIU established Innovation of Education Labs at each campus –</w:t>
      </w:r>
      <w:r>
        <w:t xml:space="preserve"> </w:t>
      </w:r>
      <w:r>
        <w:t xml:space="preserve">physical and virtual spaces where faculty experiment</w:t>
      </w:r>
      <w:r>
        <w:t xml:space="preserve"> </w:t>
      </w:r>
      <w:r>
        <w:t xml:space="preserve">with AI-supported competence recommendations,</w:t>
      </w:r>
      <w:r>
        <w:t xml:space="preserve"> </w:t>
      </w:r>
      <w:r>
        <w:t xml:space="preserve">challenge-based pedagogy, and digital tools.</w:t>
      </w:r>
    </w:p>
    <w:bookmarkEnd w:id="77"/>
    <w:bookmarkEnd w:id="78"/>
    <w:bookmarkStart w:id="82" w:name="what-we-know-works-4"/>
    <w:p>
      <w:pPr>
        <w:pStyle w:val="Heading4"/>
      </w:pPr>
      <w:r>
        <w:t xml:space="preserve">What we know works</w:t>
      </w:r>
    </w:p>
    <w:bookmarkStart w:id="79" w:name="Xba74155b0a316216c61c1efe4c679cf3ff5fdaf"/>
    <w:p>
      <w:pPr>
        <w:pStyle w:val="Heading5"/>
      </w:pPr>
      <w:r>
        <w:t xml:space="preserve">Micro-credential infrastructure (pilot/institutional data)</w:t>
      </w:r>
    </w:p>
    <w:p>
      <w:pPr>
        <w:pStyle w:val="FirstParagraph"/>
      </w:pPr>
      <w:r>
        <w:t xml:space="preserve">ECIU’s blockchain-secured credentials using the Europass wallet</w:t>
      </w:r>
      <w:r>
        <w:t xml:space="preserve"> </w:t>
      </w:r>
      <w:r>
        <w:t xml:space="preserve">represent the first working implementation</w:t>
      </w:r>
      <w:r>
        <w:t xml:space="preserve"> </w:t>
      </w:r>
      <w:r>
        <w:t xml:space="preserve">of cross-border digital micro-credentialing in European higher education.</w:t>
      </w:r>
      <w:r>
        <w:t xml:space="preserve"> </w:t>
      </w:r>
      <w:r>
        <w:t xml:space="preserve">This is a successful infrastructure pilot, not yet a proven system at scale.</w:t>
      </w:r>
    </w:p>
    <w:bookmarkEnd w:id="79"/>
    <w:bookmarkStart w:id="80" w:name="X1d03f57a546fe08b9e2678d14884056636da8f3"/>
    <w:p>
      <w:pPr>
        <w:pStyle w:val="Heading5"/>
      </w:pPr>
      <w:r>
        <w:t xml:space="preserve">Challenge-based learning outcomes (pilot studies)</w:t>
      </w:r>
    </w:p>
    <w:p>
      <w:pPr>
        <w:pStyle w:val="FirstParagraph"/>
      </w:pPr>
      <w:r>
        <w:t xml:space="preserve">Utrecht University’s Da Vinci honors program,</w:t>
      </w:r>
      <w:r>
        <w:t xml:space="preserve"> </w:t>
      </w:r>
      <w:r>
        <w:t xml:space="preserve">integrating challenge-based learning with design thinking,</w:t>
      </w:r>
      <w:r>
        <w:t xml:space="preserve"> </w:t>
      </w:r>
      <w:r>
        <w:t xml:space="preserve">reports cultivating competencies including stakeholder engagement,</w:t>
      </w:r>
      <w:r>
        <w:t xml:space="preserve"> </w:t>
      </w:r>
      <w:r>
        <w:t xml:space="preserve">empathy, navigating uncertainty, and integrative problem-solving.</w:t>
      </w:r>
      <w:r>
        <w:t xml:space="preserve"> </w:t>
      </w:r>
      <w:r>
        <w:t xml:space="preserve">These are pilot-level observations from specific programs.</w:t>
      </w:r>
    </w:p>
    <w:bookmarkEnd w:id="80"/>
    <w:bookmarkStart w:id="81" w:name="Xacdccbe3e6807e206f8ba8d390ae4279638f987"/>
    <w:p>
      <w:pPr>
        <w:pStyle w:val="Heading5"/>
      </w:pPr>
      <w:r>
        <w:t xml:space="preserve">Joint degree implementation (institutional data)</w:t>
      </w:r>
    </w:p>
    <w:p>
      <w:pPr>
        <w:pStyle w:val="FirstParagraph"/>
      </w:pPr>
      <w:r>
        <w:t xml:space="preserve">CHARM-EU’s joint master’s degree is operational</w:t>
      </w:r>
      <w:r>
        <w:t xml:space="preserve"> </w:t>
      </w:r>
      <w:r>
        <w:t xml:space="preserve">across nine partner universities.</w:t>
      </w:r>
      <w:r>
        <w:t xml:space="preserve"> </w:t>
      </w:r>
      <w:r>
        <w:t xml:space="preserve">This demonstrates institutional and regulatory feasibility</w:t>
      </w:r>
      <w:r>
        <w:t xml:space="preserve"> </w:t>
      </w:r>
      <w:r>
        <w:t xml:space="preserve">but does not yet have outcome data</w:t>
      </w:r>
      <w:r>
        <w:t xml:space="preserve"> </w:t>
      </w:r>
      <w:r>
        <w:t xml:space="preserve">comparing graduates to those of conventional programs.</w:t>
      </w:r>
    </w:p>
    <w:bookmarkEnd w:id="81"/>
    <w:bookmarkEnd w:id="82"/>
    <w:bookmarkStart w:id="87" w:name="what-can-go-wrong-4"/>
    <w:p>
      <w:pPr>
        <w:pStyle w:val="Heading4"/>
      </w:pPr>
      <w:r>
        <w:t xml:space="preserve">What can go wrong</w:t>
      </w:r>
    </w:p>
    <w:bookmarkStart w:id="83" w:name="the-matthew-effect-the-rich-get-richer."/>
    <w:p>
      <w:pPr>
        <w:pStyle w:val="Heading5"/>
      </w:pPr>
      <w:r>
        <w:t xml:space="preserve">The Matthew effect: the rich get richer.</w:t>
      </w:r>
    </w:p>
    <w:p>
      <w:pPr>
        <w:pStyle w:val="FirstParagraph"/>
      </w:pPr>
      <w:r>
        <w:t xml:space="preserve">Over 75% of EUI member institutions</w:t>
      </w:r>
      <w:r>
        <w:t xml:space="preserve"> </w:t>
      </w:r>
      <w:r>
        <w:t xml:space="preserve">rank among the top 500 globally,</w:t>
      </w:r>
      <w:r>
        <w:t xml:space="preserve"> </w:t>
      </w:r>
      <w:r>
        <w:t xml:space="preserve">and most alliances build on pre-existing partnerships.</w:t>
      </w:r>
      <w:r>
        <w:t xml:space="preserve"> </w:t>
      </w:r>
      <w:r>
        <w:t xml:space="preserve">Institutions with international networks,</w:t>
      </w:r>
      <w:r>
        <w:t xml:space="preserve"> </w:t>
      </w:r>
      <w:r>
        <w:t xml:space="preserve">co-funding capacity, and strong reputations</w:t>
      </w:r>
      <w:r>
        <w:t xml:space="preserve"> </w:t>
      </w:r>
      <w:r>
        <w:t xml:space="preserve">secured alliance membership;</w:t>
      </w:r>
      <w:r>
        <w:t xml:space="preserve"> </w:t>
      </w:r>
      <w:r>
        <w:t xml:space="preserve">those without – particularly demand-absorbing lower-tier universities</w:t>
      </w:r>
      <w:r>
        <w:t xml:space="preserve"> </w:t>
      </w:r>
      <w:r>
        <w:t xml:space="preserve">in Central and Eastern Europe –</w:t>
      </w:r>
      <w:r>
        <w:t xml:space="preserve"> </w:t>
      </w:r>
      <w:r>
        <w:t xml:space="preserve">were disproportionately excluded.</w:t>
      </w:r>
    </w:p>
    <w:p>
      <w:pPr>
        <w:pStyle w:val="BodyText"/>
      </w:pPr>
      <w:r>
        <w:t xml:space="preserve">The partial reallocation of Erasmus+ and Horizon Europe funds</w:t>
      </w:r>
      <w:r>
        <w:t xml:space="preserve"> </w:t>
      </w:r>
      <w:r>
        <w:t xml:space="preserve">to predominantly Western European universities</w:t>
      </w:r>
      <w:r>
        <w:t xml:space="preserve"> </w:t>
      </w:r>
      <w:r>
        <w:t xml:space="preserve">consolidates their competitive advantages.</w:t>
      </w:r>
      <w:r>
        <w:t xml:space="preserve"> </w:t>
      </w:r>
      <w:r>
        <w:t xml:space="preserve">Scholars describe this as the Initiative’s</w:t>
      </w:r>
      <w:r>
        <w:t xml:space="preserve"> </w:t>
      </w:r>
      <w:r>
        <w:t xml:space="preserve">“Matthew effect”</w:t>
      </w:r>
      <w:r>
        <w:t xml:space="preserve">:</w:t>
      </w:r>
      <w:r>
        <w:t xml:space="preserve"> </w:t>
      </w:r>
      <w:r>
        <w:t xml:space="preserve">the system designed to foster cooperation</w:t>
      </w:r>
      <w:r>
        <w:t xml:space="preserve"> </w:t>
      </w:r>
      <w:r>
        <w:t xml:space="preserve">instead reproduces existing hierarchies.</w:t>
      </w:r>
    </w:p>
    <w:bookmarkEnd w:id="83"/>
    <w:bookmarkStart w:id="84" w:name="west-east-stratification-deepens."/>
    <w:p>
      <w:pPr>
        <w:pStyle w:val="Heading5"/>
      </w:pPr>
      <w:r>
        <w:t xml:space="preserve">West-east stratification deepens.</w:t>
      </w:r>
    </w:p>
    <w:p>
      <w:pPr>
        <w:pStyle w:val="FirstParagraph"/>
      </w:pPr>
      <w:r>
        <w:t xml:space="preserve">Geographic coverage, resource asymmetries,</w:t>
      </w:r>
      <w:r>
        <w:t xml:space="preserve"> </w:t>
      </w:r>
      <w:r>
        <w:t xml:space="preserve">and opportunity costs create structural barriers.</w:t>
      </w:r>
      <w:r>
        <w:t xml:space="preserve"> </w:t>
      </w:r>
      <w:r>
        <w:t xml:space="preserve">Smaller institutions in countries</w:t>
      </w:r>
      <w:r>
        <w:t xml:space="preserve"> </w:t>
      </w:r>
      <w:r>
        <w:t xml:space="preserve">with limited national support for internationalization</w:t>
      </w:r>
      <w:r>
        <w:t xml:space="preserve"> </w:t>
      </w:r>
      <w:r>
        <w:t xml:space="preserve">face higher relative costs to participate –</w:t>
      </w:r>
      <w:r>
        <w:t xml:space="preserve"> </w:t>
      </w:r>
      <w:r>
        <w:t xml:space="preserve">staff time, travel, co-funding requirements –</w:t>
      </w:r>
      <w:r>
        <w:t xml:space="preserve"> </w:t>
      </w:r>
      <w:r>
        <w:t xml:space="preserve">while receiving proportionally smaller benefits.</w:t>
      </w:r>
    </w:p>
    <w:p>
      <w:pPr>
        <w:pStyle w:val="BodyText"/>
      </w:pPr>
      <w:r>
        <w:t xml:space="preserve">The Initiative services the agendas of excellence and competitiveness</w:t>
      </w:r>
      <w:r>
        <w:t xml:space="preserve"> </w:t>
      </w:r>
      <w:r>
        <w:t xml:space="preserve">more than inclusion and cooperation,</w:t>
      </w:r>
      <w:r>
        <w:t xml:space="preserve"> </w:t>
      </w:r>
      <w:r>
        <w:t xml:space="preserve">contrasting with other European Commission strategies</w:t>
      </w:r>
      <w:r>
        <w:t xml:space="preserve"> </w:t>
      </w:r>
      <w:r>
        <w:t xml:space="preserve">(such as Teaming and Twinning)</w:t>
      </w:r>
      <w:r>
        <w:t xml:space="preserve"> </w:t>
      </w:r>
      <w:r>
        <w:t xml:space="preserve">that explicitly target peripheral regions</w:t>
      </w:r>
      <w:r>
        <w:t xml:space="preserve"> </w:t>
      </w:r>
      <w:r>
        <w:t xml:space="preserve">and less-resourced universities.</w:t>
      </w:r>
      <w:r>
        <w:t xml:space="preserve"> </w:t>
      </w:r>
      <w:r>
        <w:t xml:space="preserve">Institutions positioned higher in the European landscape</w:t>
      </w:r>
      <w:r>
        <w:t xml:space="preserve"> </w:t>
      </w:r>
      <w:r>
        <w:t xml:space="preserve">leverage alliances to enhance their own competitiveness,</w:t>
      </w:r>
      <w:r>
        <w:t xml:space="preserve"> </w:t>
      </w:r>
      <w:r>
        <w:t xml:space="preserve">further stratifying the sector</w:t>
      </w:r>
      <w:r>
        <w:t xml:space="preserve"> </w:t>
      </w:r>
      <w:r>
        <w:t xml:space="preserve">between participating and non-participating universities.</w:t>
      </w:r>
    </w:p>
    <w:bookmarkEnd w:id="84"/>
    <w:bookmarkStart w:id="85" w:name="X9a8a884618b3ae293c26d4d25864437c78c60b9"/>
    <w:p>
      <w:pPr>
        <w:pStyle w:val="Heading5"/>
      </w:pPr>
      <w:r>
        <w:t xml:space="preserve">ECTS challenges and credential fragmentation.</w:t>
      </w:r>
    </w:p>
    <w:p>
      <w:pPr>
        <w:pStyle w:val="FirstParagraph"/>
      </w:pPr>
      <w:r>
        <w:t xml:space="preserve">The promise of</w:t>
      </w:r>
      <w:r>
        <w:t xml:space="preserve"> </w:t>
      </w:r>
      <w:r>
        <w:t xml:space="preserve">“stackability”</w:t>
      </w:r>
      <w:r>
        <w:t xml:space="preserve"> </w:t>
      </w:r>
      <w:r>
        <w:t xml:space="preserve">–</w:t>
      </w:r>
      <w:r>
        <w:t xml:space="preserve"> </w:t>
      </w:r>
      <w:r>
        <w:t xml:space="preserve">earning micro-credentials that accumulate toward degrees –</w:t>
      </w:r>
      <w:r>
        <w:t xml:space="preserve"> </w:t>
      </w:r>
      <w:r>
        <w:t xml:space="preserve">often fails in execution.</w:t>
      </w:r>
      <w:r>
        <w:t xml:space="preserve"> </w:t>
      </w:r>
      <w:r>
        <w:t xml:space="preserve">Without thoughtful curricular design,</w:t>
      </w:r>
      <w:r>
        <w:t xml:space="preserve"> </w:t>
      </w:r>
      <w:r>
        <w:t xml:space="preserve">stackable credentials become disjointed modules</w:t>
      </w:r>
      <w:r>
        <w:t xml:space="preserve"> </w:t>
      </w:r>
      <w:r>
        <w:t xml:space="preserve">lacking coherent progression or interdisciplinary integration.</w:t>
      </w:r>
    </w:p>
    <w:p>
      <w:pPr>
        <w:pStyle w:val="BodyText"/>
      </w:pPr>
      <w:r>
        <w:t xml:space="preserve">Credit transfer between institutions remains complex</w:t>
      </w:r>
      <w:r>
        <w:t xml:space="preserve"> </w:t>
      </w:r>
      <w:r>
        <w:t xml:space="preserve">despite blockchain and open-badge infrastructure:</w:t>
      </w:r>
      <w:r>
        <w:t xml:space="preserve"> </w:t>
      </w:r>
      <w:r>
        <w:t xml:space="preserve">most systems lack the credit equivalency frameworks</w:t>
      </w:r>
      <w:r>
        <w:t xml:space="preserve"> </w:t>
      </w:r>
      <w:r>
        <w:t xml:space="preserve">and transparent metadata required for true portability.</w:t>
      </w:r>
      <w:r>
        <w:t xml:space="preserve"> </w:t>
      </w:r>
      <w:r>
        <w:t xml:space="preserve">National frameworks diverge:</w:t>
      </w:r>
      <w:r>
        <w:t xml:space="preserve"> </w:t>
      </w:r>
      <w:r>
        <w:t xml:space="preserve">some countries embed micro-credentials</w:t>
      </w:r>
      <w:r>
        <w:t xml:space="preserve"> </w:t>
      </w:r>
      <w:r>
        <w:t xml:space="preserve">within national qualifications frameworks</w:t>
      </w:r>
      <w:r>
        <w:t xml:space="preserve"> </w:t>
      </w:r>
      <w:r>
        <w:t xml:space="preserve">and link them to established quality assurance,</w:t>
      </w:r>
      <w:r>
        <w:t xml:space="preserve"> </w:t>
      </w:r>
      <w:r>
        <w:t xml:space="preserve">while others treat them as unregulated continuing-education offerings.</w:t>
      </w:r>
      <w:r>
        <w:t xml:space="preserve"> </w:t>
      </w:r>
      <w:r>
        <w:t xml:space="preserve">The result is a patchwork</w:t>
      </w:r>
      <w:r>
        <w:t xml:space="preserve"> </w:t>
      </w:r>
      <w:r>
        <w:t xml:space="preserve">where recognition depends more on geography than on learning.</w:t>
      </w:r>
    </w:p>
    <w:bookmarkEnd w:id="85"/>
    <w:bookmarkStart w:id="86" w:name="Xa0d1cefe3559843a2b8dfb3831f2e2b39912cc7"/>
    <w:p>
      <w:pPr>
        <w:pStyle w:val="Heading5"/>
      </w:pPr>
      <w:r>
        <w:t xml:space="preserve">Employer confusion about micro-credentials.</w:t>
      </w:r>
    </w:p>
    <w:p>
      <w:pPr>
        <w:pStyle w:val="FirstParagraph"/>
      </w:pPr>
      <w:r>
        <w:t xml:space="preserve">When job applicants present non-degree credentials,</w:t>
      </w:r>
      <w:r>
        <w:t xml:space="preserve"> </w:t>
      </w:r>
      <w:r>
        <w:t xml:space="preserve">close to half of employers (46%) cannot assess program quality,</w:t>
      </w:r>
      <w:r>
        <w:t xml:space="preserve"> </w:t>
      </w:r>
      <w:r>
        <w:t xml:space="preserve">and 42% cannot judge the skills and competencies acquired.</w:t>
      </w:r>
      <w:r>
        <w:t xml:space="preserve"> </w:t>
      </w:r>
      <w:r>
        <w:t xml:space="preserve">A systematic review found that 80% of employers</w:t>
      </w:r>
      <w:r>
        <w:t xml:space="preserve"> </w:t>
      </w:r>
      <w:r>
        <w:t xml:space="preserve">cite consistency as their primary concern.</w:t>
      </w:r>
      <w:r>
        <w:t xml:space="preserve"> </w:t>
      </w:r>
      <w:r>
        <w:t xml:space="preserve">Authenticity worries follow:</w:t>
      </w:r>
      <w:r>
        <w:t xml:space="preserve"> </w:t>
      </w:r>
      <w:r>
        <w:t xml:space="preserve">38% of studies report employer concern about fraudulent credentials</w:t>
      </w:r>
      <w:r>
        <w:t xml:space="preserve"> </w:t>
      </w:r>
      <w:r>
        <w:t xml:space="preserve">due to the sheer variety and lack of verification infrastructure.</w:t>
      </w:r>
    </w:p>
    <w:p>
      <w:pPr>
        <w:pStyle w:val="BodyText"/>
      </w:pPr>
      <w:r>
        <w:t xml:space="preserve">The United States alone is now home to</w:t>
      </w:r>
      <w:r>
        <w:t xml:space="preserve"> </w:t>
      </w:r>
      <w:r>
        <w:t xml:space="preserve">over one million unique educational credentials,</w:t>
      </w:r>
      <w:r>
        <w:t xml:space="preserve"> </w:t>
      </w:r>
      <w:r>
        <w:t xml:space="preserve">a threefold increase since 2018.</w:t>
      </w:r>
      <w:r>
        <w:t xml:space="preserve"> </w:t>
      </w:r>
      <w:r>
        <w:t xml:space="preserve">When credentials proliferate faster</w:t>
      </w:r>
      <w:r>
        <w:t xml:space="preserve"> </w:t>
      </w:r>
      <w:r>
        <w:t xml:space="preserve">than quality assurance mechanisms can keep pace,</w:t>
      </w:r>
      <w:r>
        <w:t xml:space="preserve"> </w:t>
      </w:r>
      <w:r>
        <w:t xml:space="preserve">the result is noise, not signal.</w:t>
      </w:r>
    </w:p>
    <w:p>
      <w:pPr>
        <w:pStyle w:val="BodyText"/>
      </w:pPr>
      <w:r>
        <w:t xml:space="preserve">Learners report that 40% do not know where to start</w:t>
      </w:r>
      <w:r>
        <w:t xml:space="preserve"> </w:t>
      </w:r>
      <w:r>
        <w:t xml:space="preserve">in the digital credential landscape,</w:t>
      </w:r>
      <w:r>
        <w:t xml:space="preserve"> </w:t>
      </w:r>
      <w:r>
        <w:t xml:space="preserve">and 60% worry that costs will be out of reach.</w:t>
      </w:r>
      <w:r>
        <w:t xml:space="preserve"> </w:t>
      </w:r>
      <w:r>
        <w:t xml:space="preserve">Government financial aid rarely covers micro-credentials,</w:t>
      </w:r>
      <w:r>
        <w:t xml:space="preserve"> </w:t>
      </w:r>
      <w:r>
        <w:t xml:space="preserve">creating a 23% barrier to adoption according to the literature.</w:t>
      </w:r>
      <w:r>
        <w:t xml:space="preserve"> </w:t>
      </w:r>
      <w:r>
        <w:t xml:space="preserve">Narrow knowledge attainment is another documented risk:</w:t>
      </w:r>
      <w:r>
        <w:t xml:space="preserve"> </w:t>
      </w:r>
      <w:r>
        <w:t xml:space="preserve">43% of the literature reviewed notes that micro-credentials</w:t>
      </w:r>
      <w:r>
        <w:t xml:space="preserve"> </w:t>
      </w:r>
      <w:r>
        <w:t xml:space="preserve">deliver competencies limited to one specific niche of a job scope,</w:t>
      </w:r>
      <w:r>
        <w:t xml:space="preserve"> </w:t>
      </w:r>
      <w:r>
        <w:t xml:space="preserve">restricting career mobility and adaptability.</w:t>
      </w:r>
    </w:p>
    <w:bookmarkEnd w:id="86"/>
    <w:bookmarkEnd w:id="87"/>
    <w:bookmarkEnd w:id="88"/>
    <w:bookmarkEnd w:id="89"/>
    <w:bookmarkStart w:id="93" w:name="Xd10382c578e1e7f572a1060238aff2f55a921f5"/>
    <w:p>
      <w:pPr>
        <w:pStyle w:val="Heading2"/>
      </w:pPr>
      <w:r>
        <w:t xml:space="preserve">Core Design Principles: What the Models Share</w:t>
      </w:r>
    </w:p>
    <w:p>
      <w:pPr>
        <w:pStyle w:val="FirstParagraph"/>
      </w:pPr>
      <w:r>
        <w:t xml:space="preserve">Beneath the surface differences,</w:t>
      </w:r>
      <w:r>
        <w:t xml:space="preserve"> </w:t>
      </w:r>
      <w:r>
        <w:t xml:space="preserve">the most effective innovations converge on three principles</w:t>
      </w:r>
      <w:r>
        <w:t xml:space="preserve"> </w:t>
      </w:r>
      <w:r>
        <w:t xml:space="preserve">that invert traditional academic assumptions.</w:t>
      </w:r>
      <w:r>
        <w:t xml:space="preserve"> </w:t>
      </w:r>
      <w:r>
        <w:t xml:space="preserve">These principles are not tied to any single model;</w:t>
      </w:r>
      <w:r>
        <w:t xml:space="preserve"> </w:t>
      </w:r>
      <w:r>
        <w:t xml:space="preserve">they appear, in various forms,</w:t>
      </w:r>
      <w:r>
        <w:t xml:space="preserve"> </w:t>
      </w:r>
      <w:r>
        <w:t xml:space="preserve">across the archetypes described above.</w:t>
      </w:r>
    </w:p>
    <w:bookmarkStart w:id="90" w:name="Xcc57756d4fb48c83dedcfd8d3d2a2bd98a35c7f"/>
    <w:p>
      <w:pPr>
        <w:pStyle w:val="Heading3"/>
      </w:pPr>
      <w:r>
        <w:t xml:space="preserve">From knowledge transmission to capability building</w:t>
      </w:r>
    </w:p>
    <w:p>
      <w:pPr>
        <w:pStyle w:val="FirstParagraph"/>
      </w:pPr>
      <w:r>
        <w:t xml:space="preserve">AI’s ability to generate, summarize, and deliver content</w:t>
      </w:r>
      <w:r>
        <w:t xml:space="preserve"> </w:t>
      </w:r>
      <w:r>
        <w:t xml:space="preserve">renders traditional lecture-based dissemination less defensible.</w:t>
      </w:r>
      <w:r>
        <w:t xml:space="preserve"> </w:t>
      </w:r>
      <w:r>
        <w:t xml:space="preserve">If a student can get a clear explanation of any concept</w:t>
      </w:r>
      <w:r>
        <w:t xml:space="preserve"> </w:t>
      </w:r>
      <w:r>
        <w:t xml:space="preserve">from an AI tutor at 2 a.m.,</w:t>
      </w:r>
      <w:r>
        <w:t xml:space="preserve"> </w:t>
      </w:r>
      <w:r>
        <w:t xml:space="preserve">the value of a professor reading slides aloud</w:t>
      </w:r>
      <w:r>
        <w:t xml:space="preserve"> </w:t>
      </w:r>
      <w:r>
        <w:t xml:space="preserve">in a 300-seat auditorium drops to near zero.</w:t>
      </w:r>
    </w:p>
    <w:p>
      <w:pPr>
        <w:pStyle w:val="BodyText"/>
      </w:pPr>
      <w:r>
        <w:t xml:space="preserve">The universities that are adapting –</w:t>
      </w:r>
      <w:r>
        <w:t xml:space="preserve"> </w:t>
      </w:r>
      <w:r>
        <w:t xml:space="preserve">Minerva, ECIU, SNHU –</w:t>
      </w:r>
      <w:r>
        <w:t xml:space="preserve"> </w:t>
      </w:r>
      <w:r>
        <w:t xml:space="preserve">are pivoting toward cultivating judgment, critical thinking,</w:t>
      </w:r>
      <w:r>
        <w:t xml:space="preserve"> </w:t>
      </w:r>
      <w:r>
        <w:t xml:space="preserve">relational understanding, and ethical reasoning:</w:t>
      </w:r>
      <w:r>
        <w:t xml:space="preserve"> </w:t>
      </w:r>
      <w:r>
        <w:t xml:space="preserve">capacities that machines cannot replicate.</w:t>
      </w:r>
      <w:r>
        <w:t xml:space="preserve"> </w:t>
      </w:r>
      <w:r>
        <w:t xml:space="preserve">This shift demands pedagogies that emphasize active learning,</w:t>
      </w:r>
      <w:r>
        <w:t xml:space="preserve"> </w:t>
      </w:r>
      <w:r>
        <w:t xml:space="preserve">authentic problem-solving, and reflective practice.</w:t>
      </w:r>
    </w:p>
    <w:p>
      <w:pPr>
        <w:pStyle w:val="BodyText"/>
      </w:pPr>
      <w:r>
        <w:t xml:space="preserve">GenAI also exposes how curricula and assessments</w:t>
      </w:r>
      <w:r>
        <w:t xml:space="preserve"> </w:t>
      </w:r>
      <w:r>
        <w:t xml:space="preserve">have drifted from deeper purposes of higher learning</w:t>
      </w:r>
      <w:r>
        <w:t xml:space="preserve"> </w:t>
      </w:r>
      <w:r>
        <w:t xml:space="preserve">toward performance and reproduction.</w:t>
      </w:r>
      <w:r>
        <w:t xml:space="preserve"> </w:t>
      </w:r>
      <w:r>
        <w:t xml:space="preserve">Institutions responding strategically</w:t>
      </w:r>
      <w:r>
        <w:t xml:space="preserve"> </w:t>
      </w:r>
      <w:r>
        <w:t xml:space="preserve">are redesigning assignments to be AI-resistant –</w:t>
      </w:r>
      <w:r>
        <w:t xml:space="preserve"> </w:t>
      </w:r>
      <w:r>
        <w:t xml:space="preserve">emphasizing process, collaboration, and context-specific reasoning –</w:t>
      </w:r>
      <w:r>
        <w:t xml:space="preserve"> </w:t>
      </w:r>
      <w:r>
        <w:t xml:space="preserve">and integrating critical AI literacy into curricula</w:t>
      </w:r>
      <w:r>
        <w:t xml:space="preserve"> </w:t>
      </w:r>
      <w:r>
        <w:t xml:space="preserve">so students understand algorithmic bias, data privacy,</w:t>
      </w:r>
      <w:r>
        <w:t xml:space="preserve"> </w:t>
      </w:r>
      <w:r>
        <w:t xml:space="preserve">and the epistemological limits of datafication.</w:t>
      </w:r>
    </w:p>
    <w:p>
      <w:pPr>
        <w:pStyle w:val="BodyText"/>
      </w:pPr>
      <w:r>
        <w:t xml:space="preserve">But there is a risk embedded in this shift:</w:t>
      </w:r>
      <w:r>
        <w:t xml:space="preserve"> </w:t>
      </w:r>
      <w:r>
        <w:t xml:space="preserve">over-reliance on AI threatens to degrade</w:t>
      </w:r>
      <w:r>
        <w:t xml:space="preserve"> </w:t>
      </w:r>
      <w:r>
        <w:t xml:space="preserve">the very capacities universities claim to build.</w:t>
      </w:r>
      <w:r>
        <w:t xml:space="preserve"> </w:t>
      </w:r>
      <w:r>
        <w:t xml:space="preserve">Generative AI presents information with confidence,</w:t>
      </w:r>
      <w:r>
        <w:t xml:space="preserve"> </w:t>
      </w:r>
      <w:r>
        <w:t xml:space="preserve">including hallucinations,</w:t>
      </w:r>
      <w:r>
        <w:t xml:space="preserve"> </w:t>
      </w:r>
      <w:r>
        <w:t xml:space="preserve">leading users to accept outputs uncritically.</w:t>
      </w:r>
      <w:r>
        <w:t xml:space="preserve"> </w:t>
      </w:r>
      <w:r>
        <w:t xml:space="preserve">Management educators warn that if students</w:t>
      </w:r>
      <w:r>
        <w:t xml:space="preserve"> </w:t>
      </w:r>
      <w:r>
        <w:t xml:space="preserve">do not learn to critically engage with AI –</w:t>
      </w:r>
      <w:r>
        <w:t xml:space="preserve"> </w:t>
      </w:r>
      <w:r>
        <w:t xml:space="preserve">questioning its sources, biases, and limits –</w:t>
      </w:r>
      <w:r>
        <w:t xml:space="preserve"> </w:t>
      </w:r>
      <w:r>
        <w:t xml:space="preserve">they will carry uncritical acceptance into professional contexts.</w:t>
      </w:r>
      <w:r>
        <w:t xml:space="preserve"> </w:t>
      </w:r>
      <w:r>
        <w:t xml:space="preserve">A 2021 study found that 80% of AI systems in education</w:t>
      </w:r>
      <w:r>
        <w:t xml:space="preserve"> </w:t>
      </w:r>
      <w:r>
        <w:t xml:space="preserve">showed some form of bias when not properly audited.</w:t>
      </w:r>
      <w:r>
        <w:t xml:space="preserve"> </w:t>
      </w:r>
      <w:r>
        <w:t xml:space="preserve">The tools are powerful, but they are not neutral.</w:t>
      </w:r>
    </w:p>
    <w:bookmarkEnd w:id="90"/>
    <w:bookmarkStart w:id="91" w:name="continuous-curriculum-renewal"/>
    <w:p>
      <w:pPr>
        <w:pStyle w:val="Heading3"/>
      </w:pPr>
      <w:r>
        <w:t xml:space="preserve">Continuous curriculum renewal</w:t>
      </w:r>
    </w:p>
    <w:p>
      <w:pPr>
        <w:pStyle w:val="FirstParagraph"/>
      </w:pPr>
      <w:r>
        <w:t xml:space="preserve">Traditional curriculum review cycles –</w:t>
      </w:r>
      <w:r>
        <w:t xml:space="preserve"> </w:t>
      </w:r>
      <w:r>
        <w:t xml:space="preserve">three to five years or longer –</w:t>
      </w:r>
      <w:r>
        <w:t xml:space="preserve"> </w:t>
      </w:r>
      <w:r>
        <w:t xml:space="preserve">cannot keep pace with labor-market and technological change.</w:t>
      </w:r>
      <w:r>
        <w:t xml:space="preserve"> </w:t>
      </w:r>
      <w:r>
        <w:t xml:space="preserve">A living curriculum treats program design</w:t>
      </w:r>
      <w:r>
        <w:t xml:space="preserve"> </w:t>
      </w:r>
      <w:r>
        <w:t xml:space="preserve">as continuously reviewed,</w:t>
      </w:r>
      <w:r>
        <w:t xml:space="preserve"> </w:t>
      </w:r>
      <w:r>
        <w:t xml:space="preserve">informed by disciplinary developments, employer feedback,</w:t>
      </w:r>
      <w:r>
        <w:t xml:space="preserve"> </w:t>
      </w:r>
      <w:r>
        <w:t xml:space="preserve">student experience, and societal challenges.</w:t>
      </w:r>
    </w:p>
    <w:p>
      <w:pPr>
        <w:pStyle w:val="BodyText"/>
      </w:pPr>
      <w:r>
        <w:t xml:space="preserve">The Quintuple Helix model provides a framework</w:t>
      </w:r>
      <w:r>
        <w:t xml:space="preserve"> </w:t>
      </w:r>
      <w:r>
        <w:t xml:space="preserve">for this ongoing dialogue,</w:t>
      </w:r>
      <w:r>
        <w:t xml:space="preserve"> </w:t>
      </w:r>
      <w:r>
        <w:t xml:space="preserve">bringing together academia, industry, government,</w:t>
      </w:r>
      <w:r>
        <w:t xml:space="preserve"> </w:t>
      </w:r>
      <w:r>
        <w:t xml:space="preserve">civil society, and environmental considerations</w:t>
      </w:r>
      <w:r>
        <w:t xml:space="preserve"> </w:t>
      </w:r>
      <w:r>
        <w:t xml:space="preserve">to co-design relevant, adaptive learning pathways.</w:t>
      </w:r>
    </w:p>
    <w:p>
      <w:pPr>
        <w:pStyle w:val="BodyText"/>
      </w:pPr>
      <w:r>
        <w:t xml:space="preserve">In practice, this means moving from periodic committee reviews</w:t>
      </w:r>
      <w:r>
        <w:t xml:space="preserve"> </w:t>
      </w:r>
      <w:r>
        <w:t xml:space="preserve">to real-time feedback loops.</w:t>
      </w:r>
      <w:r>
        <w:t xml:space="preserve"> </w:t>
      </w:r>
      <w:r>
        <w:t xml:space="preserve">ECIU’s Innovation of Education Labs –</w:t>
      </w:r>
      <w:r>
        <w:t xml:space="preserve"> </w:t>
      </w:r>
      <w:r>
        <w:t xml:space="preserve">physical and virtual spaces at each partner campus –</w:t>
      </w:r>
      <w:r>
        <w:t xml:space="preserve"> </w:t>
      </w:r>
      <w:r>
        <w:t xml:space="preserve">let faculty experiment with AI-supported competence recommendations,</w:t>
      </w:r>
      <w:r>
        <w:t xml:space="preserve"> </w:t>
      </w:r>
      <w:r>
        <w:t xml:space="preserve">challenge-based pedagogy, and digital tools.</w:t>
      </w:r>
    </w:p>
    <w:p>
      <w:pPr>
        <w:pStyle w:val="BodyText"/>
      </w:pPr>
      <w:r>
        <w:t xml:space="preserve">The challenge is institutional:</w:t>
      </w:r>
      <w:r>
        <w:t xml:space="preserve"> </w:t>
      </w:r>
      <w:r>
        <w:t xml:space="preserve">universities are built for stability, not speed.</w:t>
      </w:r>
      <w:r>
        <w:t xml:space="preserve"> </w:t>
      </w:r>
      <w:r>
        <w:t xml:space="preserve">Governance structures, accreditation cycles,</w:t>
      </w:r>
      <w:r>
        <w:t xml:space="preserve"> </w:t>
      </w:r>
      <w:r>
        <w:t xml:space="preserve">and faculty incentives all favor the status quo.</w:t>
      </w:r>
      <w:r>
        <w:t xml:space="preserve"> </w:t>
      </w:r>
      <w:r>
        <w:t xml:space="preserve">Continuous renewal requires not just new tools</w:t>
      </w:r>
      <w:r>
        <w:t xml:space="preserve"> </w:t>
      </w:r>
      <w:r>
        <w:t xml:space="preserve">but new organizational cultures.</w:t>
      </w:r>
    </w:p>
    <w:bookmarkEnd w:id="91"/>
    <w:bookmarkStart w:id="92" w:name="hybrid-human-ai-mentoring"/>
    <w:p>
      <w:pPr>
        <w:pStyle w:val="Heading3"/>
      </w:pPr>
      <w:r>
        <w:t xml:space="preserve">Hybrid human-AI mentoring</w:t>
      </w:r>
    </w:p>
    <w:p>
      <w:pPr>
        <w:pStyle w:val="FirstParagraph"/>
      </w:pPr>
      <w:r>
        <w:t xml:space="preserve">AI-powered career guidance and mentoring systems</w:t>
      </w:r>
      <w:r>
        <w:t xml:space="preserve"> </w:t>
      </w:r>
      <w:r>
        <w:t xml:space="preserve">analyze academic records, interests, skills,</w:t>
      </w:r>
      <w:r>
        <w:t xml:space="preserve"> </w:t>
      </w:r>
      <w:r>
        <w:t xml:space="preserve">and labor-market trends</w:t>
      </w:r>
      <w:r>
        <w:t xml:space="preserve"> </w:t>
      </w:r>
      <w:r>
        <w:t xml:space="preserve">to recommend personalized pathways.</w:t>
      </w:r>
      <w:r>
        <w:t xml:space="preserve"> </w:t>
      </w:r>
      <w:r>
        <w:t xml:space="preserve">Platforms provide real-time job-market alignment,</w:t>
      </w:r>
      <w:r>
        <w:t xml:space="preserve"> </w:t>
      </w:r>
      <w:r>
        <w:t xml:space="preserve">virtual internships, and AI tutors available 24/7.</w:t>
      </w:r>
    </w:p>
    <w:p>
      <w:pPr>
        <w:pStyle w:val="BodyText"/>
      </w:pPr>
      <w:r>
        <w:t xml:space="preserve">Research on individual development plans</w:t>
      </w:r>
      <w:r>
        <w:t xml:space="preserve"> </w:t>
      </w:r>
      <w:r>
        <w:t xml:space="preserve">in STEM graduate education has identified two hybrid models:</w:t>
      </w:r>
      <w:r>
        <w:t xml:space="preserve"> </w:t>
      </w:r>
      <w:r>
        <w:rPr>
          <w:b/>
          <w:bCs/>
        </w:rPr>
        <w:t xml:space="preserve">Sequential Integration</w:t>
      </w:r>
      <w:r>
        <w:t xml:space="preserve">, where students consult AI mentors first</w:t>
      </w:r>
      <w:r>
        <w:t xml:space="preserve"> </w:t>
      </w:r>
      <w:r>
        <w:t xml:space="preserve">and human mentors then refine guidance;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Concurrent Collaboration</w:t>
      </w:r>
      <w:r>
        <w:t xml:space="preserve">,</w:t>
      </w:r>
      <w:r>
        <w:t xml:space="preserve"> </w:t>
      </w:r>
      <w:r>
        <w:t xml:space="preserve">where AI and human mentors operate in parallel</w:t>
      </w:r>
      <w:r>
        <w:t xml:space="preserve"> </w:t>
      </w:r>
      <w:r>
        <w:t xml:space="preserve">and students synthesize inputs.</w:t>
      </w:r>
    </w:p>
    <w:p>
      <w:pPr>
        <w:pStyle w:val="BodyText"/>
      </w:pPr>
      <w:r>
        <w:t xml:space="preserve">These models combine AI’s speed and data breadth</w:t>
      </w:r>
      <w:r>
        <w:t xml:space="preserve"> </w:t>
      </w:r>
      <w:r>
        <w:t xml:space="preserve">with human mentors’ empathy, contextual understanding,</w:t>
      </w:r>
      <w:r>
        <w:t xml:space="preserve"> </w:t>
      </w:r>
      <w:r>
        <w:t xml:space="preserve">and ethical judgment.</w:t>
      </w:r>
      <w:r>
        <w:t xml:space="preserve"> </w:t>
      </w:r>
      <w:r>
        <w:t xml:space="preserve">They hold particular promise for underrepresented minorities in STEM,</w:t>
      </w:r>
      <w:r>
        <w:t xml:space="preserve"> </w:t>
      </w:r>
      <w:r>
        <w:t xml:space="preserve">where mentorship gaps are widest.</w:t>
      </w:r>
    </w:p>
    <w:p>
      <w:pPr>
        <w:pStyle w:val="BodyText"/>
      </w:pPr>
      <w:r>
        <w:t xml:space="preserve">But hybrid mentoring only works</w:t>
      </w:r>
      <w:r>
        <w:t xml:space="preserve"> </w:t>
      </w:r>
      <w:r>
        <w:t xml:space="preserve">if the human side is adequately resourced.</w:t>
      </w:r>
      <w:r>
        <w:t xml:space="preserve"> </w:t>
      </w:r>
      <w:r>
        <w:t xml:space="preserve">When universities replace human mentors with AI agents</w:t>
      </w:r>
      <w:r>
        <w:t xml:space="preserve"> </w:t>
      </w:r>
      <w:r>
        <w:t xml:space="preserve">to cut costs rather than to augment support,</w:t>
      </w:r>
      <w:r>
        <w:t xml:space="preserve"> </w:t>
      </w:r>
      <w:r>
        <w:t xml:space="preserve">they risk compounding the isolation and loneliness</w:t>
      </w:r>
      <w:r>
        <w:t xml:space="preserve"> </w:t>
      </w:r>
      <w:r>
        <w:t xml:space="preserve">that already plague higher education.</w:t>
      </w:r>
    </w:p>
    <w:p>
      <w:pPr>
        <w:pStyle w:val="BodyText"/>
      </w:pPr>
      <w:r>
        <w:t xml:space="preserve">A 2023 CDC survey found that nearly half</w:t>
      </w:r>
      <w:r>
        <w:t xml:space="preserve"> </w:t>
      </w:r>
      <w:r>
        <w:t xml:space="preserve">of U.S. high school students felt persistently sad or hopeless,</w:t>
      </w:r>
      <w:r>
        <w:t xml:space="preserve"> </w:t>
      </w:r>
      <w:r>
        <w:t xml:space="preserve">and 45% did not feel close to people at school.</w:t>
      </w:r>
      <w:r>
        <w:t xml:space="preserve"> </w:t>
      </w:r>
      <w:r>
        <w:t xml:space="preserve">Teens and young adults are forming emotional attachments</w:t>
      </w:r>
      <w:r>
        <w:t xml:space="preserve"> </w:t>
      </w:r>
      <w:r>
        <w:t xml:space="preserve">to AI chatbots, sometimes substituting them for human relationships.</w:t>
      </w:r>
      <w:r>
        <w:t xml:space="preserve"> </w:t>
      </w:r>
      <w:r>
        <w:t xml:space="preserve">Mental health professionals report rising social anxiety</w:t>
      </w:r>
      <w:r>
        <w:t xml:space="preserve"> </w:t>
      </w:r>
      <w:r>
        <w:t xml:space="preserve">and loneliness as drivers.</w:t>
      </w:r>
    </w:p>
    <w:p>
      <w:pPr>
        <w:pStyle w:val="BodyText"/>
      </w:pPr>
      <w:r>
        <w:t xml:space="preserve">Universities that automate mentoring</w:t>
      </w:r>
      <w:r>
        <w:t xml:space="preserve"> </w:t>
      </w:r>
      <w:r>
        <w:t xml:space="preserve">without investing in human connection</w:t>
      </w:r>
      <w:r>
        <w:t xml:space="preserve"> </w:t>
      </w:r>
      <w:r>
        <w:t xml:space="preserve">may save money in the short term</w:t>
      </w:r>
      <w:r>
        <w:t xml:space="preserve"> </w:t>
      </w:r>
      <w:r>
        <w:t xml:space="preserve">while deepening the mental-health crisis they claim to address.</w:t>
      </w:r>
    </w:p>
    <w:bookmarkEnd w:id="92"/>
    <w:bookmarkEnd w:id="93"/>
    <w:bookmarkStart w:id="94" w:name="what-this-landscape-tells-us"/>
    <w:p>
      <w:pPr>
        <w:pStyle w:val="Heading2"/>
      </w:pPr>
      <w:r>
        <w:t xml:space="preserve">What This Landscape Tells Us</w:t>
      </w:r>
    </w:p>
    <w:p>
      <w:pPr>
        <w:pStyle w:val="FirstParagraph"/>
      </w:pPr>
      <w:r>
        <w:t xml:space="preserve">Five models, five different bets</w:t>
      </w:r>
      <w:r>
        <w:t xml:space="preserve"> </w:t>
      </w:r>
      <w:r>
        <w:t xml:space="preserve">on what matters most in education.</w:t>
      </w:r>
      <w:r>
        <w:t xml:space="preserve"> </w:t>
      </w:r>
      <w:r>
        <w:t xml:space="preserve">None has cracked the code.</w:t>
      </w:r>
    </w:p>
    <w:p>
      <w:pPr>
        <w:pStyle w:val="BodyText"/>
      </w:pPr>
      <w:r>
        <w:t xml:space="preserve">WGU and SNHU prove that competency-based learning</w:t>
      </w:r>
      <w:r>
        <w:t xml:space="preserve"> </w:t>
      </w:r>
      <w:r>
        <w:t xml:space="preserve">can reach hundreds of thousands of students –</w:t>
      </w:r>
      <w:r>
        <w:t xml:space="preserve"> </w:t>
      </w:r>
      <w:r>
        <w:t xml:space="preserve">but four decades in,</w:t>
      </w:r>
      <w:r>
        <w:t xml:space="preserve"> </w:t>
      </w:r>
      <w:r>
        <w:t xml:space="preserve">the evidence for CBE’s effectiveness remains strikingly thin.</w:t>
      </w:r>
    </w:p>
    <w:p>
      <w:pPr>
        <w:pStyle w:val="BodyText"/>
      </w:pPr>
      <w:r>
        <w:t xml:space="preserve">Minerva shows that active learning and global immersion work –</w:t>
      </w:r>
      <w:r>
        <w:t xml:space="preserve"> </w:t>
      </w:r>
      <w:r>
        <w:t xml:space="preserve">for students who can afford $29,000 a year</w:t>
      </w:r>
      <w:r>
        <w:t xml:space="preserve"> </w:t>
      </w:r>
      <w:r>
        <w:t xml:space="preserve">and navigate intensive seminars in English.</w:t>
      </w:r>
    </w:p>
    <w:p>
      <w:pPr>
        <w:pStyle w:val="BodyText"/>
      </w:pPr>
      <w:r>
        <w:t xml:space="preserve">42 demonstrates that peer-driven, tuition-free coding education</w:t>
      </w:r>
      <w:r>
        <w:t xml:space="preserve"> </w:t>
      </w:r>
      <w:r>
        <w:t xml:space="preserve">produces strong graduates –</w:t>
      </w:r>
      <w:r>
        <w:t xml:space="preserve"> </w:t>
      </w:r>
      <w:r>
        <w:t xml:space="preserve">by selecting for self-directed learners</w:t>
      </w:r>
      <w:r>
        <w:t xml:space="preserve"> </w:t>
      </w:r>
      <w:r>
        <w:t xml:space="preserve">and filtering out everyone else.</w:t>
      </w:r>
    </w:p>
    <w:p>
      <w:pPr>
        <w:pStyle w:val="BodyText"/>
      </w:pPr>
      <w:r>
        <w:t xml:space="preserve">Guild proves that employers will fund education</w:t>
      </w:r>
      <w:r>
        <w:t xml:space="preserve"> </w:t>
      </w:r>
      <w:r>
        <w:t xml:space="preserve">when it serves retention –</w:t>
      </w:r>
      <w:r>
        <w:t xml:space="preserve"> </w:t>
      </w:r>
      <w:r>
        <w:t xml:space="preserve">but the question of who controls the curriculum,</w:t>
      </w:r>
      <w:r>
        <w:t xml:space="preserve"> </w:t>
      </w:r>
      <w:r>
        <w:t xml:space="preserve">and for whose benefit, remains open.</w:t>
      </w:r>
    </w:p>
    <w:p>
      <w:pPr>
        <w:pStyle w:val="BodyText"/>
      </w:pPr>
      <w:r>
        <w:t xml:space="preserve">European alliances show that transnational cooperation</w:t>
      </w:r>
      <w:r>
        <w:t xml:space="preserve"> </w:t>
      </w:r>
      <w:r>
        <w:t xml:space="preserve">and micro-credentials are technically feasible –</w:t>
      </w:r>
      <w:r>
        <w:t xml:space="preserve"> </w:t>
      </w:r>
      <w:r>
        <w:t xml:space="preserve">while inadvertently concentrating resources</w:t>
      </w:r>
      <w:r>
        <w:t xml:space="preserve"> </w:t>
      </w:r>
      <w:r>
        <w:t xml:space="preserve">among already-privileged institutions.</w:t>
      </w:r>
    </w:p>
    <w:p>
      <w:pPr>
        <w:pStyle w:val="BodyText"/>
      </w:pPr>
      <w:r>
        <w:t xml:space="preserve">The pattern is consistent:</w:t>
      </w:r>
      <w:r>
        <w:t xml:space="preserve"> </w:t>
      </w:r>
      <w:r>
        <w:t xml:space="preserve">innovation solves some problems while creating others.</w:t>
      </w:r>
      <w:r>
        <w:t xml:space="preserve"> </w:t>
      </w:r>
      <w:r>
        <w:t xml:space="preserve">The models that expand access often narrow curriculum.</w:t>
      </w:r>
      <w:r>
        <w:t xml:space="preserve"> </w:t>
      </w:r>
      <w:r>
        <w:t xml:space="preserve">The models that deepen learning often restrict who can participate.</w:t>
      </w:r>
      <w:r>
        <w:t xml:space="preserve"> </w:t>
      </w:r>
      <w:r>
        <w:t xml:space="preserve">The models that reduce cost often shift control</w:t>
      </w:r>
      <w:r>
        <w:t xml:space="preserve"> </w:t>
      </w:r>
      <w:r>
        <w:t xml:space="preserve">from learners to employers or algorithms.</w:t>
      </w:r>
    </w:p>
    <w:p>
      <w:pPr>
        <w:pStyle w:val="BodyText"/>
      </w:pPr>
      <w:r>
        <w:t xml:space="preserve">This is not a reason for cynicism.</w:t>
      </w:r>
      <w:r>
        <w:t xml:space="preserve"> </w:t>
      </w:r>
      <w:r>
        <w:t xml:space="preserve">It is a reason for design humility.</w:t>
      </w:r>
      <w:r>
        <w:t xml:space="preserve"> </w:t>
      </w:r>
      <w:r>
        <w:t xml:space="preserve">The next chapter of higher education</w:t>
      </w:r>
      <w:r>
        <w:t xml:space="preserve"> </w:t>
      </w:r>
      <w:r>
        <w:t xml:space="preserve">will not be written by any single model</w:t>
      </w:r>
      <w:r>
        <w:t xml:space="preserve"> </w:t>
      </w:r>
      <w:r>
        <w:t xml:space="preserve">but by the deliberate choices</w:t>
      </w:r>
      <w:r>
        <w:t xml:space="preserve"> </w:t>
      </w:r>
      <w:r>
        <w:t xml:space="preserve">institutions, governments, and learners make</w:t>
      </w:r>
      <w:r>
        <w:t xml:space="preserve"> </w:t>
      </w:r>
      <w:r>
        <w:t xml:space="preserve">about which trade-offs they are willing to accept –</w:t>
      </w:r>
      <w:r>
        <w:t xml:space="preserve"> </w:t>
      </w:r>
      <w:r>
        <w:t xml:space="preserve">and which ones they refuse to tolerate.</w:t>
      </w:r>
    </w:p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2026-01-30T15:53:43Z</dcterms:created>
  <dcterms:modified xsi:type="dcterms:W3CDTF">2026-01-30T15:53:43Z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