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c24f9069ef6bd001edc96c2ef0e13b4dd7aa325"/>
    <w:p>
      <w:pPr>
        <w:pStyle w:val="Heading1"/>
      </w:pPr>
      <w:r>
        <w:t xml:space="preserve">The Stratification Trap: Who Gets Left Behind</w:t>
      </w:r>
    </w:p>
    <w:p>
      <w:pPr>
        <w:pStyle w:val="FirstParagraph"/>
      </w:pPr>
      <w:r>
        <w:t xml:space="preserve">Every innovation in this book – AI tutors, peer-driven coding schools, employer-sponsored degrees, transnational university alliances – promises to widen the door to learning. And every one of them, if built without deliberate safeguards, risks slamming that door on the people who need it most. This chapter moves equity from the margins to the centre of the argument. Not as an afterthought, not as a risk appendix, but as the core design constraint that determines whether any of these models actually delivers on its promise.</w:t>
      </w:r>
    </w:p>
    <w:p>
      <w:pPr>
        <w:pStyle w:val="BodyText"/>
      </w:pPr>
      <w:r>
        <w:t xml:space="preserve">The pattern is consistent and uncomfortable: the same features that make a new model exciting for high-agency, well-resourced learners make it treacherous for everyone else.</w:t>
      </w:r>
    </w:p>
    <w:p>
      <w:pPr>
        <w:pStyle w:val="BodyText"/>
      </w:pPr>
      <w:r>
        <w:t xml:space="preserve">In earlier chapters, we described these models and their potential. Here, we stress-test them with a single question:</w:t>
      </w:r>
      <w:r>
        <w:t xml:space="preserve"> </w:t>
      </w:r>
      <w:r>
        <w:rPr>
          <w:b/>
          <w:bCs/>
        </w:rPr>
        <w:t xml:space="preserve">who benefits, and who is excluded?</w:t>
      </w:r>
      <w:r>
        <w:t xml:space="preserve"> </w:t>
      </w:r>
      <w:r>
        <w:t xml:space="preserve">The answers are not comfortable, but they are necessary. Because if we build the future of education without confronting these questions honestly, we will end up with a system that looks more modern but works the same way the old one did – sorting people by background and calling it merit.</w:t>
      </w:r>
    </w:p>
    <w:bookmarkStart w:id="9" w:name="X2dd60ba3d567c6a7a937781e34bb257615ffcaf"/>
    <w:p>
      <w:pPr>
        <w:pStyle w:val="Heading2"/>
      </w:pPr>
      <w:r>
        <w:t xml:space="preserve">1. When More Opportunity Means More Inequality</w:t>
      </w:r>
    </w:p>
    <w:p>
      <w:pPr>
        <w:pStyle w:val="FirstParagraph"/>
      </w:pPr>
      <w:r>
        <w:t xml:space="preserve">There is a seductive logic to the AI education revolution: if every student on the planet can access a personal tutor that speaks their language, adapts to their pace, and never loses patience, then surely the playing field levels itself.</w:t>
      </w:r>
    </w:p>
    <w:p>
      <w:pPr>
        <w:pStyle w:val="BodyText"/>
      </w:pPr>
      <w:r>
        <w:t xml:space="preserve">Knowledge is no longer scarce. The lecture hall bottleneck disappears. Anyone with a phone and a connection can learn calculus, molecular biology, or contract law from a system that rivals the best human instructors.</w:t>
      </w:r>
    </w:p>
    <w:p>
      <w:pPr>
        <w:pStyle w:val="BodyText"/>
      </w:pPr>
      <w:r>
        <w:t xml:space="preserve">But abundance does not automatically produce equality. It often produces the opposite.</w:t>
      </w:r>
    </w:p>
    <w:p>
      <w:pPr>
        <w:pStyle w:val="BodyText"/>
      </w:pPr>
      <w:r>
        <w:t xml:space="preserve">Consider what happened when the internet first made information freely available. The students who benefited most were those who already knew how to find, filter, and apply information – those with strong reading skills, stable home environments, supportive adults, and the discipline to sit with difficult material.</w:t>
      </w:r>
    </w:p>
    <w:p>
      <w:pPr>
        <w:pStyle w:val="BodyText"/>
      </w:pPr>
      <w:r>
        <w:t xml:space="preserve">Students without those advantages drowned in the noise. The gap widened, not because the technology was bad, but because it rewarded capacities that were unequally distributed in the first place.</w:t>
      </w:r>
    </w:p>
    <w:p>
      <w:pPr>
        <w:pStyle w:val="BodyText"/>
      </w:pPr>
      <w:r>
        <w:t xml:space="preserve">AI tutoring platforms repeat this dynamic at a higher level. When a motivated, well-prepared student uses an AI tutor, they treat it as a thought partner: they ask follow-up questions, challenge the AI’s reasoning, request harder problems, and integrate what they learn into projects.</w:t>
      </w:r>
    </w:p>
    <w:p>
      <w:pPr>
        <w:pStyle w:val="BodyText"/>
      </w:pPr>
      <w:r>
        <w:t xml:space="preserve">When an under-prepared or struggling student encounters the same tool, they may accept surface-level answers, use it to avoid thinking rather than to deepen it, or simply disengage when the novelty wears off.</w:t>
      </w:r>
    </w:p>
    <w:p>
      <w:pPr>
        <w:pStyle w:val="BodyText"/>
      </w:pPr>
      <w:r>
        <w:t xml:space="preserve">The technology is identical. The outcomes diverge because the human inputs – motivation, prior knowledge, self-regulation, and environmental support – are profoundly unequal.</w:t>
      </w:r>
    </w:p>
    <w:p>
      <w:pPr>
        <w:pStyle w:val="BodyText"/>
      </w:pPr>
      <w:r>
        <w:t xml:space="preserve">This is not speculation. We have already seen early versions of this dynamic play out. Massive Open Online Courses (MOOCs) were supposed to democratize education a decade ago. The data tells a different story: completion rates hovered around 5-10%, and the people who did complete courses were overwhelmingly those who already held degrees. The tool was free and open. The benefit flowed upward.</w:t>
      </w:r>
    </w:p>
    <w:p>
      <w:pPr>
        <w:pStyle w:val="BodyText"/>
      </w:pPr>
      <w:r>
        <w:t xml:space="preserve">AI tutoring platforms are far more sophisticated than MOOCs, but the underlying dynamic remains. A tool that requires the user to bring direction, persistence, and critical judgment will systematically advantage those who already have these qualities – and those qualities correlate strongly with socioeconomic background, parental education, and the quality of prior schooling.</w:t>
      </w:r>
    </w:p>
    <w:p>
      <w:pPr>
        <w:pStyle w:val="BodyText"/>
      </w:pPr>
      <w:r>
        <w:t xml:space="preserve">Affordability challenges and high debt burdens already disproportionately affect lower-income and marginalized students, undermining equity and social mobility goals (OECD 2025a). Layering powerful AI tools on top of these existing inequalities without addressing the underlying conditions risks creating a world where the privileged learn faster than ever while everyone else falls further behind.</w:t>
      </w:r>
    </w:p>
    <w:p>
      <w:pPr>
        <w:pStyle w:val="BodyText"/>
      </w:pPr>
      <w:r>
        <w:t xml:space="preserve">This is the paradox at the heart of educational technology:</w:t>
      </w:r>
      <w:r>
        <w:t xml:space="preserve"> </w:t>
      </w:r>
      <w:r>
        <w:rPr>
          <w:b/>
          <w:bCs/>
        </w:rPr>
        <w:t xml:space="preserve">more opportunity, distributed without support, becomes more inequality</w:t>
      </w:r>
      <w:r>
        <w:t xml:space="preserve">.</w:t>
      </w:r>
    </w:p>
    <w:p>
      <w:pPr>
        <w:pStyle w:val="BodyText"/>
      </w:pPr>
      <w:r>
        <w:t xml:space="preserve">The solution is not to withhold the technology. It is to accompany it with the human infrastructure – coaching, mentoring, structured support, mental health services, and community – that turns raw access into genuine learning.</w:t>
      </w:r>
    </w:p>
    <w:p>
      <w:pPr>
        <w:pStyle w:val="BodyText"/>
      </w:pPr>
      <w:r>
        <w:t xml:space="preserve">Without that infrastructure, we are handing everyone a map to a city and pretending that the person without shoes is on equal footing with the person in a car.</w:t>
      </w:r>
    </w:p>
    <w:p>
      <w:pPr>
        <w:pStyle w:val="BodyText"/>
      </w:pPr>
      <w:r>
        <w:t xml:space="preserve">Given these dynamics, we argue that policymakers and university leaders who celebrate</w:t>
      </w:r>
      <w:r>
        <w:t xml:space="preserve"> </w:t>
      </w:r>
      <w:r>
        <w:t xml:space="preserve">“democratized access”</w:t>
      </w:r>
      <w:r>
        <w:t xml:space="preserve"> </w:t>
      </w:r>
      <w:r>
        <w:t xml:space="preserve">to AI learning tools without simultaneously funding the support structures that make access meaningful are, at best, naive. At worst, they are using the language of equity to justify cost-cutting – replacing expensive human teaching with cheap AI delivery and calling it progress.</w:t>
      </w:r>
    </w:p>
    <w:bookmarkEnd w:id="9"/>
    <w:bookmarkStart w:id="10" w:name="the-agency-divide"/>
    <w:p>
      <w:pPr>
        <w:pStyle w:val="Heading2"/>
      </w:pPr>
      <w:r>
        <w:t xml:space="preserve">2. The Agency Divide</w:t>
      </w:r>
    </w:p>
    <w:p>
      <w:pPr>
        <w:pStyle w:val="FirstParagraph"/>
      </w:pPr>
      <w:r>
        <w:t xml:space="preserve">The previous section described the paradox of abundance. This section names the mechanism behind it.</w:t>
      </w:r>
    </w:p>
    <w:p>
      <w:pPr>
        <w:pStyle w:val="BodyText"/>
      </w:pPr>
      <w:r>
        <w:t xml:space="preserve">When learning materials are abundant and free, the scarce resource shifts. It is no longer access to knowledge that separates learners. It is the capacity to use that access productively – what we can call</w:t>
      </w:r>
      <w:r>
        <w:t xml:space="preserve"> </w:t>
      </w:r>
      <w:r>
        <w:rPr>
          <w:i/>
          <w:iCs/>
        </w:rPr>
        <w:t xml:space="preserve">agency</w:t>
      </w:r>
      <w:r>
        <w:t xml:space="preserve">.</w:t>
      </w:r>
    </w:p>
    <w:p>
      <w:pPr>
        <w:pStyle w:val="BodyText"/>
      </w:pPr>
      <w:r>
        <w:t xml:space="preserve">Agency means the discipline to sit down and work when no one is watching. It means the ability to set goals, manage time, tolerate frustration, ask for help, and keep going when a problem resists easy solutions.</w:t>
      </w:r>
    </w:p>
    <w:p>
      <w:pPr>
        <w:pStyle w:val="BodyText"/>
      </w:pPr>
      <w:r>
        <w:t xml:space="preserve">It means knowing the difference between using an AI tutor to accelerate your understanding and using it to generate an essay you never read.</w:t>
      </w:r>
    </w:p>
    <w:p>
      <w:pPr>
        <w:pStyle w:val="BodyText"/>
      </w:pPr>
      <w:r>
        <w:t xml:space="preserve">This shift has profound socioeconomic implications.</w:t>
      </w:r>
    </w:p>
    <w:p>
      <w:pPr>
        <w:pStyle w:val="BodyText"/>
      </w:pPr>
      <w:r>
        <w:t xml:space="preserve">Agency is not a personality trait that people either have or lack. It is built through years of experience, modelling, and support. Children who grow up in stable homes with educated parents, consistent routines, access to books and mentors, and low levels of chronic stress develop self-regulation skills earlier and more robustly.</w:t>
      </w:r>
    </w:p>
    <w:p>
      <w:pPr>
        <w:pStyle w:val="BodyText"/>
      </w:pPr>
      <w:r>
        <w:t xml:space="preserve">Children who grow up in poverty, chaos, or neglect – through no fault of their own – often arrive at higher education with weaker self-regulation, not because they are less capable, but because their environments gave them fewer opportunities to build those muscles.</w:t>
      </w:r>
    </w:p>
    <w:p>
      <w:pPr>
        <w:pStyle w:val="BodyText"/>
      </w:pPr>
      <w:r>
        <w:t xml:space="preserve">The connection to mental health is direct and urgent.</w:t>
      </w:r>
    </w:p>
    <w:p>
      <w:pPr>
        <w:pStyle w:val="BodyText"/>
      </w:pPr>
      <w:r>
        <w:t xml:space="preserve">Student mental health needs have increased sharply, but many institutions lack sufficient capacity and funding for comprehensive wellbeing services (Deloitte 2025).</w:t>
      </w:r>
    </w:p>
    <w:p>
      <w:pPr>
        <w:pStyle w:val="BodyText"/>
      </w:pPr>
      <w:r>
        <w:t xml:space="preserve">A 2023 CDC survey found that nearly half of U.S. high school students felt persistently sad or hopeless, and 45% did not feel close to people at school (AICerts 2025). These are not marginal numbers. They describe a generation arriving at higher education already carrying significant emotional weight – and being handed powerful tools that require exactly the self-direction and resilience they may not yet have developed.</w:t>
      </w:r>
    </w:p>
    <w:p>
      <w:pPr>
        <w:pStyle w:val="BodyText"/>
      </w:pPr>
      <w:r>
        <w:t xml:space="preserve">A student battling depression or anxiety does not lack intelligence. They lack the internal bandwidth that self-directed learning demands.</w:t>
      </w:r>
    </w:p>
    <w:p>
      <w:pPr>
        <w:pStyle w:val="BodyText"/>
      </w:pPr>
      <w:r>
        <w:t xml:space="preserve">When we design educational models that assume agency as a given, we are building for the students who need the least help and excluding the ones who need the most.</w:t>
      </w:r>
    </w:p>
    <w:p>
      <w:pPr>
        <w:pStyle w:val="BodyText"/>
      </w:pPr>
      <w:r>
        <w:t xml:space="preserve">Traditional universities, for all their flaws, provided some of this infrastructure by default: a structured schedule, a physical community, deadlines imposed by instructors, and face-to-face interactions that made it harder for struggling students to become invisible. As education moves toward more flexible, self-paced, AI-mediated models, these built-in support mechanisms disappear. Unless they are deliberately recreated in new forms, the students who relied on them most will be the first to fall through the cracks.</w:t>
      </w:r>
    </w:p>
    <w:p>
      <w:pPr>
        <w:pStyle w:val="BodyText"/>
      </w:pPr>
      <w:r>
        <w:t xml:space="preserve">The agency divide means that when AI makes high-quality education cheaper and more available, it may increase inequality based on</w:t>
      </w:r>
      <w:r>
        <w:t xml:space="preserve"> </w:t>
      </w:r>
      <w:r>
        <w:rPr>
          <w:i/>
          <w:iCs/>
        </w:rPr>
        <w:t xml:space="preserve">agency</w:t>
      </w:r>
      <w:r>
        <w:t xml:space="preserve"> </w:t>
      </w:r>
      <w:r>
        <w:t xml:space="preserve">rather than access. The divide falls between those who use AI to avoid thinking and those who use it as a thought partner to accelerate their learning velocity (Huang 2024).</w:t>
      </w:r>
    </w:p>
    <w:p>
      <w:pPr>
        <w:pStyle w:val="BodyText"/>
      </w:pPr>
      <w:r>
        <w:t xml:space="preserve">Think of it this way: in a world where every student has a personal AI tutor, the student with a stable home, a clear goal, and a parent who asks about their day will use that tutor to master organic chemistry in half the time. The student dealing with food insecurity, an unstable living situation, and untreated anxiety will use the same tutor to get through homework as fast as possible – or not use it at all.</w:t>
      </w:r>
    </w:p>
    <w:p>
      <w:pPr>
        <w:pStyle w:val="BodyText"/>
      </w:pPr>
      <w:r>
        <w:t xml:space="preserve">Both had</w:t>
      </w:r>
      <w:r>
        <w:t xml:space="preserve"> </w:t>
      </w:r>
      <w:r>
        <w:t xml:space="preserve">“access.”</w:t>
      </w:r>
      <w:r>
        <w:t xml:space="preserve"> </w:t>
      </w:r>
      <w:r>
        <w:t xml:space="preserve">Only one had the conditions to convert access into learning.</w:t>
      </w:r>
    </w:p>
    <w:p>
      <w:pPr>
        <w:pStyle w:val="BodyText"/>
      </w:pPr>
      <w:r>
        <w:t xml:space="preserve">This is not an argument against AI in education. It is an argument that AI in education without investment in the human conditions for learning is a recipe for wider gaps dressed up as progress.</w:t>
      </w:r>
    </w:p>
    <w:p>
      <w:pPr>
        <w:pStyle w:val="BlockText"/>
      </w:pPr>
      <w:r>
        <w:rPr>
          <w:b/>
          <w:bCs/>
        </w:rPr>
        <w:t xml:space="preserve">Who Wins / Who Loses? – AI Tutoring Platforms</w:t>
      </w:r>
    </w:p>
    <w:p>
      <w:pPr>
        <w:pStyle w:val="BlockText"/>
      </w:pPr>
      <w:r>
        <w:rPr>
          <w:b/>
          <w:bCs/>
        </w:rPr>
        <w:t xml:space="preserve">Who wins:</w:t>
      </w:r>
      <w:r>
        <w:t xml:space="preserve"> </w:t>
      </w:r>
      <w:r>
        <w:t xml:space="preserve">Self-directed learners with stable environments, strong foundational skills, and the discipline to use AI as a thinking partner. Adults returning to education with clear career goals.</w:t>
      </w:r>
    </w:p>
    <w:p>
      <w:pPr>
        <w:pStyle w:val="BlockText"/>
      </w:pPr>
      <w:r>
        <w:rPr>
          <w:b/>
          <w:bCs/>
        </w:rPr>
        <w:t xml:space="preserve">Who loses:</w:t>
      </w:r>
      <w:r>
        <w:t xml:space="preserve"> </w:t>
      </w:r>
      <w:r>
        <w:t xml:space="preserve">Students from under-resourced backgrounds with weaker self-regulation skills. Teenagers struggling with mental health. First-generation students without role models for independent learning. Anyone who needs a human to notice they are falling behind.</w:t>
      </w:r>
    </w:p>
    <w:bookmarkEnd w:id="10"/>
    <w:bookmarkStart w:id="11" w:name="X10fa5d9d1cf9471484e5a93c410cc388559e88c"/>
    <w:p>
      <w:pPr>
        <w:pStyle w:val="Heading2"/>
      </w:pPr>
      <w:r>
        <w:t xml:space="preserve">3. Why</w:t>
      </w:r>
      <w:r>
        <w:t xml:space="preserve"> </w:t>
      </w:r>
      <w:r>
        <w:t xml:space="preserve">“Self-Directed Learners”</w:t>
      </w:r>
      <w:r>
        <w:t xml:space="preserve"> </w:t>
      </w:r>
      <w:r>
        <w:t xml:space="preserve">Are Often the Already Privileged</w:t>
      </w:r>
    </w:p>
    <w:p>
      <w:pPr>
        <w:pStyle w:val="FirstParagraph"/>
      </w:pPr>
      <w:r>
        <w:t xml:space="preserve">Several of the most celebrated alternative education models share a common design assumption: that learners will take charge of their own education. Peer-driven schools, campus-free global programs, and competency-based online degrees all rely on students who can set their own pace, seek out resources, collaborate without being told to, and persist through ambiguity.</w:t>
      </w:r>
    </w:p>
    <w:p>
      <w:pPr>
        <w:pStyle w:val="BodyText"/>
      </w:pPr>
      <w:r>
        <w:t xml:space="preserve">This sounds empowering. In practice, it filters for privilege.</w:t>
      </w:r>
    </w:p>
    <w:p>
      <w:pPr>
        <w:pStyle w:val="BodyText"/>
      </w:pPr>
      <w:r>
        <w:t xml:space="preserve">The reason is straightforward:</w:t>
      </w:r>
      <w:r>
        <w:t xml:space="preserve"> </w:t>
      </w:r>
      <w:r>
        <w:t xml:space="preserve">“self-directed learning”</w:t>
      </w:r>
      <w:r>
        <w:t xml:space="preserve"> </w:t>
      </w:r>
      <w:r>
        <w:t xml:space="preserve">requires a foundation that is itself socially produced. You need to know how to learn before you can direct your own learning. You need confidence that your efforts will pay off. You need to have seen adults model persistence, curiosity, and self-discipline. These are not innate traits. They are the products of upbringing, schooling, and environment – and they are distributed along familiar lines of class, race, and geography.</w:t>
      </w:r>
    </w:p>
    <w:p>
      <w:pPr>
        <w:pStyle w:val="BlockText"/>
      </w:pPr>
      <w:r>
        <w:rPr>
          <w:b/>
          <w:bCs/>
        </w:rPr>
        <w:t xml:space="preserve">42 School</w:t>
      </w:r>
      <w:r>
        <w:t xml:space="preserve"> </w:t>
      </w:r>
      <w:r>
        <w:t xml:space="preserve">– the tuition-free, teacher-free coding school that has expanded to 54 campuses globally – is a case study in selection bias.</w:t>
      </w:r>
    </w:p>
    <w:p>
      <w:pPr>
        <w:pStyle w:val="FirstParagraph"/>
      </w:pPr>
      <w:r>
        <w:t xml:space="preserve">Its intensive month-long</w:t>
      </w:r>
      <w:r>
        <w:t xml:space="preserve"> </w:t>
      </w:r>
      <w:r>
        <w:t xml:space="preserve">“piscine”</w:t>
      </w:r>
      <w:r>
        <w:t xml:space="preserve"> </w:t>
      </w:r>
      <w:r>
        <w:t xml:space="preserve">selection process requires applicants to navigate close collaboration, peer feedback, and high-pressure problem-solving. Those who struggle with interpersonal dynamics or need more explicit instruction drop out. The model is designed for</w:t>
      </w:r>
      <w:r>
        <w:t xml:space="preserve"> </w:t>
      </w:r>
      <w:r>
        <w:t xml:space="preserve">“resourceful, self-directed learners”</w:t>
      </w:r>
      <w:r>
        <w:t xml:space="preserve">; it is not a solution for populations requiring developmental support, remedial education, or socio-emotional services (BBC 2016).</w:t>
      </w:r>
    </w:p>
    <w:p>
      <w:pPr>
        <w:pStyle w:val="BodyText"/>
      </w:pPr>
      <w:r>
        <w:t xml:space="preserve">Employers confirm that 42 graduates excel at independent problem-solving and are less reliant on supervisor direction. But this success is predicated on filtering: the institution admits learners who already possess high intrinsic motivation, digital fluency, and collaborative capacity. It does not develop these traits in learners who lack them (BBC 2016).</w:t>
      </w:r>
    </w:p>
    <w:p>
      <w:pPr>
        <w:pStyle w:val="BodyText"/>
      </w:pPr>
      <w:r>
        <w:t xml:space="preserve">Without teachers and without structured guidance, learning quality depends entirely on the knowledge and generosity of peers. When peer expertise is insufficient or interpersonal conflicts arise, students have no recourse to authoritative support. The model scales horizontally (more campuses) but does not scale inclusively (serving broader populations) (42KL 2024).</w:t>
      </w:r>
    </w:p>
    <w:p>
      <w:pPr>
        <w:pStyle w:val="BodyText"/>
      </w:pPr>
      <w:r>
        <w:t xml:space="preserve">Put bluntly: 42 School is an excellent institution for people who do not need an institution. For everyone else, it offers a swimming pool with no lifeguard.</w:t>
      </w:r>
    </w:p>
    <w:p>
      <w:pPr>
        <w:pStyle w:val="BodyText"/>
      </w:pPr>
      <w:r>
        <w:t xml:space="preserve">None of this diminishes 42’s achievements for the students it does serve. The point is that celebrating a model as revolutionary while ignoring who it structurally excludes is a form of intellectual dishonesty. If 42 wants to be a niche institution for self-starters, that is legitimate. But it should not be held up as a model for the future of education at large.</w:t>
      </w:r>
    </w:p>
    <w:p>
      <w:pPr>
        <w:pStyle w:val="BlockText"/>
      </w:pPr>
      <w:r>
        <w:rPr>
          <w:b/>
          <w:bCs/>
        </w:rPr>
        <w:t xml:space="preserve">Minerva University</w:t>
      </w:r>
      <w:r>
        <w:t xml:space="preserve"> </w:t>
      </w:r>
      <w:r>
        <w:t xml:space="preserve">offers a different version of the same problem.</w:t>
      </w:r>
    </w:p>
    <w:p>
      <w:pPr>
        <w:pStyle w:val="FirstParagraph"/>
      </w:pPr>
      <w:r>
        <w:t xml:space="preserve">Its global-rotation, fully active-learning model sets tuition at $10,000 annually – less than one-third of Harvard’s. That sounds revolutionary. But total costs (tuition, room, board, living expenses across seven global cities) reach approximately $29,000 per year, placing Minerva out of reach for many qualified students, particularly those from the Global South (Selingo 2014).</w:t>
      </w:r>
    </w:p>
    <w:p>
      <w:pPr>
        <w:pStyle w:val="BodyText"/>
      </w:pPr>
      <w:r>
        <w:t xml:space="preserve">Minerva targets the</w:t>
      </w:r>
      <w:r>
        <w:t xml:space="preserve"> </w:t>
      </w:r>
      <w:r>
        <w:t xml:space="preserve">“best students”</w:t>
      </w:r>
      <w:r>
        <w:t xml:space="preserve"> </w:t>
      </w:r>
      <w:r>
        <w:t xml:space="preserve">and positions itself as meritocratic. Yet</w:t>
      </w:r>
      <w:r>
        <w:t xml:space="preserve"> </w:t>
      </w:r>
      <w:r>
        <w:t xml:space="preserve">“qualified”</w:t>
      </w:r>
      <w:r>
        <w:t xml:space="preserve"> </w:t>
      </w:r>
      <w:r>
        <w:t xml:space="preserve">is defined by academic preparation, English fluency, and the capacity to navigate intensive, small-seminar active-learning pedagogy.</w:t>
      </w:r>
    </w:p>
    <w:p>
      <w:pPr>
        <w:pStyle w:val="BodyText"/>
      </w:pPr>
      <w:r>
        <w:t xml:space="preserve">Admissions are need-blind, but the model does not address systemic barriers – under-resourced secondary schools, lack of college counseling, digital divides – that prevent talented learners from lower-income or marginalized backgrounds from becoming</w:t>
      </w:r>
      <w:r>
        <w:t xml:space="preserve"> </w:t>
      </w:r>
      <w:r>
        <w:t xml:space="preserve">“qualified”</w:t>
      </w:r>
      <w:r>
        <w:t xml:space="preserve"> </w:t>
      </w:r>
      <w:r>
        <w:t xml:space="preserve">in the first place (Deseret News 2013).</w:t>
      </w:r>
    </w:p>
    <w:p>
      <w:pPr>
        <w:pStyle w:val="BodyText"/>
      </w:pPr>
      <w:r>
        <w:t xml:space="preserve">The question is whether Minerva’s $29,000 annual cost genuinely expands access or simply creates a new tier of selectivity at a slightly lower price point. A cheaper version of elite education is still elite education. And marketing it as accessible, when the real barriers are upstream in secondary schooling and family resources, risks obscuring the structural changes that would actually make a difference.</w:t>
      </w:r>
    </w:p>
    <w:p>
      <w:pPr>
        <w:pStyle w:val="BlockText"/>
      </w:pPr>
      <w:r>
        <w:rPr>
          <w:b/>
          <w:bCs/>
        </w:rPr>
        <w:t xml:space="preserve">Competency-based education (CBE)</w:t>
      </w:r>
      <w:r>
        <w:t xml:space="preserve"> </w:t>
      </w:r>
      <w:r>
        <w:t xml:space="preserve">programs like Western Governors University complete the pattern.</w:t>
      </w:r>
    </w:p>
    <w:p>
      <w:pPr>
        <w:pStyle w:val="FirstParagraph"/>
      </w:pPr>
      <w:r>
        <w:t xml:space="preserve">CBE’s self-paced, individually focused model privileges learners who are already self-directed, digitally literate, and capable of sustained motivation without social scaffolding. It ignores the importance of social learning, peer interaction, and the developmental role of structured deadlines and cohort progression that benefit many students, particularly those from under-resourced backgrounds (Bates 2014).</w:t>
      </w:r>
    </w:p>
    <w:p>
      <w:pPr>
        <w:pStyle w:val="BodyText"/>
      </w:pPr>
      <w:r>
        <w:t xml:space="preserve">A staggering conclusion from a 2015 meta-review: despite competency-based approaches emerging in the 1970s,</w:t>
      </w:r>
      <w:r>
        <w:t xml:space="preserve"> </w:t>
      </w:r>
      <w:r>
        <w:t xml:space="preserve">“there is hardly any evidence for the effectiveness of competence-based education”</w:t>
      </w:r>
      <w:r>
        <w:t xml:space="preserve"> </w:t>
      </w:r>
      <w:r>
        <w:t xml:space="preserve">(Morcke, Dornan, and Eika 2013). The models that claim the best results are also the ones with the strongest selection effects – they work well for the students who would likely have succeeded anywhere.</w:t>
      </w:r>
    </w:p>
    <w:p>
      <w:pPr>
        <w:pStyle w:val="BodyText"/>
      </w:pPr>
      <w:r>
        <w:t xml:space="preserve">The uncomfortable truth is that</w:t>
      </w:r>
      <w:r>
        <w:t xml:space="preserve"> </w:t>
      </w:r>
      <w:r>
        <w:t xml:space="preserve">“self-directed learning”</w:t>
      </w:r>
      <w:r>
        <w:t xml:space="preserve"> </w:t>
      </w:r>
      <w:r>
        <w:t xml:space="preserve">is often code for</w:t>
      </w:r>
      <w:r>
        <w:t xml:space="preserve"> </w:t>
      </w:r>
      <w:r>
        <w:t xml:space="preserve">“learning that requires no institutional investment in support.”</w:t>
      </w:r>
      <w:r>
        <w:t xml:space="preserve"> </w:t>
      </w:r>
      <w:r>
        <w:t xml:space="preserve">It shifts responsibility from the institution to the individual, and that shift systematically disadvantages those who need institutions most.</w:t>
      </w:r>
    </w:p>
    <w:p>
      <w:pPr>
        <w:pStyle w:val="BodyText"/>
      </w:pPr>
      <w:r>
        <w:t xml:space="preserve">There is nothing wrong with self-direction as an educational goal. The problem arises when it is treated as an entry requirement rather than a learning outcome. The most equitable approach would be to design models that develop agency in learners who do not yet have it, rather than selecting only those who already do.</w:t>
      </w:r>
    </w:p>
    <w:p>
      <w:pPr>
        <w:pStyle w:val="BodyText"/>
      </w:pPr>
      <w:r>
        <w:t xml:space="preserve">That is more expensive. It is more complicated. And it is the only way these models can honestly claim to be expanding opportunity rather than repackaging privilege.</w:t>
      </w:r>
    </w:p>
    <w:p>
      <w:pPr>
        <w:pStyle w:val="BlockText"/>
      </w:pPr>
      <w:r>
        <w:rPr>
          <w:b/>
          <w:bCs/>
        </w:rPr>
        <w:t xml:space="preserve">Who Wins / Who Loses? – Peer-Driven and Campus-Free Models</w:t>
      </w:r>
    </w:p>
    <w:p>
      <w:pPr>
        <w:pStyle w:val="BlockText"/>
      </w:pPr>
      <w:r>
        <w:rPr>
          <w:b/>
          <w:bCs/>
        </w:rPr>
        <w:t xml:space="preserve">Who wins:</w:t>
      </w:r>
      <w:r>
        <w:t xml:space="preserve"> </w:t>
      </w:r>
      <w:r>
        <w:t xml:space="preserve">Highly motivated, digitally fluent young adults from middle-class or affluent families with strong secondary-school preparation. People who thrive in unstructured environments.</w:t>
      </w:r>
    </w:p>
    <w:p>
      <w:pPr>
        <w:pStyle w:val="BlockText"/>
      </w:pPr>
      <w:r>
        <w:rPr>
          <w:b/>
          <w:bCs/>
        </w:rPr>
        <w:t xml:space="preserve">Who loses:</w:t>
      </w:r>
      <w:r>
        <w:t xml:space="preserve"> </w:t>
      </w:r>
      <w:r>
        <w:t xml:space="preserve">First-generation students who need mentorship. Learners from the Global South facing cost barriers even at</w:t>
      </w:r>
      <w:r>
        <w:t xml:space="preserve"> </w:t>
      </w:r>
      <w:r>
        <w:t xml:space="preserve">“low-cost”</w:t>
      </w:r>
      <w:r>
        <w:t xml:space="preserve"> </w:t>
      </w:r>
      <w:r>
        <w:t xml:space="preserve">institutions. Students who need structured deadlines, explicit instruction, and human guidance to succeed. Anyone without reliable internet, a quiet workspace, or a supportive household.</w:t>
      </w:r>
    </w:p>
    <w:bookmarkEnd w:id="11"/>
    <w:bookmarkStart w:id="12" w:name="when-companies-own-your-learning-path"/>
    <w:p>
      <w:pPr>
        <w:pStyle w:val="Heading2"/>
      </w:pPr>
      <w:r>
        <w:t xml:space="preserve">4. When Companies Own Your Learning Path</w:t>
      </w:r>
    </w:p>
    <w:p>
      <w:pPr>
        <w:pStyle w:val="FirstParagraph"/>
      </w:pPr>
      <w:r>
        <w:t xml:space="preserve">The previous sections examined models where the learner is expected to bring their own agency, motivation, and resources. Now we turn to a model that seems to solve the financial problem entirely: the employer pays.</w:t>
      </w:r>
    </w:p>
    <w:p>
      <w:pPr>
        <w:pStyle w:val="BodyText"/>
      </w:pPr>
      <w:r>
        <w:t xml:space="preserve">Guild Education’s model – employers pay tuition upfront for workforce upskilling – addresses a real financial barrier. Workers who could never afford college get access to degree programs and certificates without taking on personal debt. On the surface, this looks like a pure win for equity.</w:t>
      </w:r>
    </w:p>
    <w:p>
      <w:pPr>
        <w:pStyle w:val="BodyText"/>
      </w:pPr>
      <w:r>
        <w:t xml:space="preserve">Look closer and a different picture emerges.</w:t>
      </w:r>
    </w:p>
    <w:p>
      <w:pPr>
        <w:pStyle w:val="BodyText"/>
      </w:pPr>
      <w:r>
        <w:t xml:space="preserve">Over 80% of degree and certificate learners in Guild’s system enroll in business-aligned programs selected to meet employers’ strategic workforce needs (Contrary Research 2024). Employees choose from a curated set of offerings rather than open access to all higher education options. The employer, not the learner, sits at the centre of decision-making.</w:t>
      </w:r>
    </w:p>
    <w:p>
      <w:pPr>
        <w:pStyle w:val="BodyText"/>
      </w:pPr>
      <w:r>
        <w:t xml:space="preserve">This arrangement creates three interrelated problems that are easy to miss when the headlines focus on</w:t>
      </w:r>
      <w:r>
        <w:t xml:space="preserve"> </w:t>
      </w:r>
      <w:r>
        <w:t xml:space="preserve">“free college for workers.”</w:t>
      </w:r>
    </w:p>
    <w:p>
      <w:pPr>
        <w:numPr>
          <w:ilvl w:val="0"/>
          <w:numId w:val="1001"/>
        </w:numPr>
      </w:pPr>
      <w:r>
        <w:rPr>
          <w:b/>
          <w:bCs/>
        </w:rPr>
        <w:t xml:space="preserve">Curriculum narrowing.</w:t>
      </w:r>
      <w:r>
        <w:t xml:space="preserve"> </w:t>
      </w:r>
      <w:r>
        <w:t xml:space="preserve">This is the most fundamental concern, and it goes beyond individual workers. When corporations fund education, corporations shape education. Programs tilt toward instrumental, skills-focused training at the expense of liberal arts, critical inquiry, and the broader intellectual development that helps people adapt to careers that do not yet exist. Universities dependent on Guild partnerships may face pressure to design programs that prioritize employer satisfaction over intellectual rigor or student-centred pedagogy, risking mission drift that transforms universities from sites of broad human development into corporate training arms (Müller 2017).</w:t>
      </w:r>
    </w:p>
    <w:p>
      <w:pPr>
        <w:numPr>
          <w:ilvl w:val="0"/>
          <w:numId w:val="1001"/>
        </w:numPr>
      </w:pPr>
      <w:r>
        <w:rPr>
          <w:b/>
          <w:bCs/>
        </w:rPr>
        <w:t xml:space="preserve">Worker lock-in.</w:t>
      </w:r>
      <w:r>
        <w:t xml:space="preserve"> </w:t>
      </w:r>
      <w:r>
        <w:t xml:space="preserve">Guild participants are 2.6 times more likely to remain with their company compared to non-participants, and internal job mobility increases by 3.5 times. Chipotle reports that Guild enrollees are nearly twice as likely to be promoted and have 89% retention rates after nine months (PR Newswire 2017).</w:t>
      </w:r>
    </w:p>
    <w:p>
      <w:pPr>
        <w:pStyle w:val="FirstParagraph"/>
      </w:pPr>
      <w:r>
        <w:t xml:space="preserve">From the employer’s perspective, this is excellent return on investment. From the worker’s perspective, it may reduce bargaining power by tying educational benefits to continued employment.</w:t>
      </w:r>
    </w:p>
    <w:p>
      <w:pPr>
        <w:pStyle w:val="BodyText"/>
      </w:pPr>
      <w:r>
        <w:t xml:space="preserve">Workers who leave before completing programs may forfeit progress or face financial penalties, creating a form of economic lock-in (Rogers 2024). The education benefit becomes a golden handcuff – valuable precisely because leaving is costly.</w:t>
      </w:r>
    </w:p>
    <w:p>
      <w:pPr>
        <w:pStyle w:val="Compact"/>
        <w:numPr>
          <w:ilvl w:val="0"/>
          <w:numId w:val="1002"/>
        </w:numPr>
      </w:pPr>
      <w:r>
        <w:rPr>
          <w:b/>
          <w:bCs/>
        </w:rPr>
        <w:t xml:space="preserve">Restricted agency.</w:t>
      </w:r>
      <w:r>
        <w:t xml:space="preserve"> </w:t>
      </w:r>
      <w:r>
        <w:t xml:space="preserve">Unlike traditional financial aid, Guild’s business-to-business model places employers, not learners, at the centre. Employees choose from what their employer makes available, not from the full landscape of higher education. A warehouse worker passionate about philosophy or marine biology will find those options absent from the menu. The learning path is shaped by corporate strategy, not personal aspiration (Contrary Research 2024).</w:t>
      </w:r>
    </w:p>
    <w:p>
      <w:pPr>
        <w:pStyle w:val="FirstParagraph"/>
      </w:pPr>
      <w:r>
        <w:t xml:space="preserve">There is a deeper question here about what education is for.</w:t>
      </w:r>
    </w:p>
    <w:p>
      <w:pPr>
        <w:pStyle w:val="BodyText"/>
      </w:pPr>
      <w:r>
        <w:t xml:space="preserve">If the only education a working-class person can access is the education their employer finds useful, we have not expanded opportunity – we have replaced one gatekeeper (the expensive university) with another (the corporation). The form of exclusion changes, but the power imbalance persists.</w:t>
      </w:r>
    </w:p>
    <w:p>
      <w:pPr>
        <w:pStyle w:val="BodyText"/>
      </w:pPr>
      <w:r>
        <w:t xml:space="preserve">And unlike a university, a corporation has no public mission, no obligation to teach critical thinking, and no incentive to help workers imagine futures beyond their current employer’s needs. A society where education for the wealthy is broad, exploratory, and empowering, while education for workers is narrow, instrumental, and employer-controlled, is not a society that has solved the education problem. It is a society that has repackaged it.</w:t>
      </w:r>
    </w:p>
    <w:p>
      <w:pPr>
        <w:pStyle w:val="BlockText"/>
      </w:pPr>
      <w:r>
        <w:rPr>
          <w:b/>
          <w:bCs/>
        </w:rPr>
        <w:t xml:space="preserve">Who Wins / Who Loses? – Employer-Sponsored Models</w:t>
      </w:r>
    </w:p>
    <w:p>
      <w:pPr>
        <w:pStyle w:val="BlockText"/>
      </w:pPr>
      <w:r>
        <w:rPr>
          <w:b/>
          <w:bCs/>
        </w:rPr>
        <w:t xml:space="preserve">Who wins:</w:t>
      </w:r>
      <w:r>
        <w:t xml:space="preserve"> </w:t>
      </w:r>
      <w:r>
        <w:t xml:space="preserve">Workers in large companies with active Guild partnerships who want credentials aligned with their current career track. Employers who get a more loyal, internally mobile workforce.</w:t>
      </w:r>
    </w:p>
    <w:p>
      <w:pPr>
        <w:pStyle w:val="BlockText"/>
      </w:pPr>
      <w:r>
        <w:rPr>
          <w:b/>
          <w:bCs/>
        </w:rPr>
        <w:t xml:space="preserve">Who loses:</w:t>
      </w:r>
      <w:r>
        <w:t xml:space="preserve"> </w:t>
      </w:r>
      <w:r>
        <w:t xml:space="preserve">Workers who want to study something their employer does not value. Anyone who wants to leave their employer mid-program. Workers at small companies or in the gig economy with no access to employer-sponsored education. The broader public interest in education that serves democracy and citizenship, not just productivity.</w:t>
      </w:r>
    </w:p>
    <w:bookmarkEnd w:id="12"/>
    <w:bookmarkStart w:id="13" w:name="Xddddc3e9c34c9fa687318a11bd190ac7772acbb"/>
    <w:p>
      <w:pPr>
        <w:pStyle w:val="Heading2"/>
      </w:pPr>
      <w:r>
        <w:t xml:space="preserve">5. The Matthew Effect in University Alliances</w:t>
      </w:r>
    </w:p>
    <w:p>
      <w:pPr>
        <w:pStyle w:val="FirstParagraph"/>
      </w:pPr>
      <w:r>
        <w:t xml:space="preserve">So far, this chapter has focused on models that affect individual learners. Now we turn to a structural problem that operates at the institutional level – and that shapes which universities thrive and which fall behind.</w:t>
      </w:r>
    </w:p>
    <w:p>
      <w:pPr>
        <w:pStyle w:val="BodyText"/>
      </w:pPr>
      <w:r>
        <w:t xml:space="preserve">The European Universities Initiative, launched in 2017 and now comprising over 60 alliances, was designed to enhance cooperation across borders and strengthen European higher education as a whole. In practice, it reproduces the pattern scholars call the</w:t>
      </w:r>
      <w:r>
        <w:t xml:space="preserve"> </w:t>
      </w:r>
      <w:r>
        <w:t xml:space="preserve">“Matthew effect”</w:t>
      </w:r>
      <w:r>
        <w:t xml:space="preserve"> </w:t>
      </w:r>
      <w:r>
        <w:t xml:space="preserve">– a phrase from sociology meaning that initial advantages compound over time. The rich get richer.</w:t>
      </w:r>
    </w:p>
    <w:p>
      <w:pPr>
        <w:pStyle w:val="BodyText"/>
      </w:pPr>
      <w:r>
        <w:t xml:space="preserve">Over 75% of member institutions rank among the top 500 globally, and most alliances build on pre-existing partnerships. Institutions with international networks, co-funding capacity, and strong reputations secured alliance membership; those without – particularly demand-absorbing lower-tier universities in Central and Eastern Europe – were disproportionately excluded (Rensimer and Brooks 2024).</w:t>
      </w:r>
    </w:p>
    <w:p>
      <w:pPr>
        <w:pStyle w:val="BodyText"/>
      </w:pPr>
      <w:r>
        <w:t xml:space="preserve">The partial reallocation of Erasmus+ and Horizon Europe funds to predominantly Western European universities consolidates their competitive advantages. Smaller institutions face higher relative costs to participate – staff time, travel, co-funding requirements – while receiving proportionally smaller benefits. Institutions in countries with limited national support for internationalization struggle to compete for alliance membership, deepening regional inequalities (Taylor and Francis 2024b).</w:t>
      </w:r>
    </w:p>
    <w:p>
      <w:pPr>
        <w:pStyle w:val="BodyText"/>
      </w:pPr>
      <w:r>
        <w:t xml:space="preserve">The result is a two-tier European higher education landscape: alliance members accumulate prestige, funding, and mobility opportunities, while non-members fall further behind. The initiative services excellence and competitiveness more than inclusion and cooperation, contrasting with other European Commission strategies (such as Teaming and Twinning) that explicitly target peripheral regions and less-resourced universities (Rensimer and Brooks 2024).</w:t>
      </w:r>
    </w:p>
    <w:p>
      <w:pPr>
        <w:pStyle w:val="BodyText"/>
      </w:pPr>
      <w:r>
        <w:t xml:space="preserve">Consider what this looks like on the ground. A university in Portugal or Estonia that wants to join an alliance must free up staff for international coordination, fund travel, meet co-funding requirements, and produce applications in a competitive process designed by and for institutions that already have these capacities. The cost of participation, relative to budget, is far higher for a mid-tier Eastern European university than for a well-funded Dutch or German one. The benefits – prestige, research funding, student mobility – flow disproportionately to those who were already ahead.</w:t>
      </w:r>
    </w:p>
    <w:p>
      <w:pPr>
        <w:pStyle w:val="BodyText"/>
      </w:pPr>
      <w:r>
        <w:t xml:space="preserve">For a student in Romania or Bulgaria, this means that the most innovative, best-funded, most internationally connected learning experiences are concentrated in institutions they are least likely to attend. The alliance system, intended as a vehicle for cooperation, instead reproduces existing hierarchies (PMC 2024a).</w:t>
      </w:r>
    </w:p>
    <w:p>
      <w:pPr>
        <w:pStyle w:val="BodyText"/>
      </w:pPr>
      <w:r>
        <w:t xml:space="preserve">The irony is sharp: an initiative branded as</w:t>
      </w:r>
      <w:r>
        <w:t xml:space="preserve"> </w:t>
      </w:r>
      <w:r>
        <w:t xml:space="preserve">“European cooperation”</w:t>
      </w:r>
      <w:r>
        <w:t xml:space="preserve"> </w:t>
      </w:r>
      <w:r>
        <w:t xml:space="preserve">has, in practice, widened the gap between European regions. The universities that needed cooperation most – those in under-funded systems with limited international experience – are the ones least likely to benefit from it.</w:t>
      </w:r>
    </w:p>
    <w:p>
      <w:pPr>
        <w:pStyle w:val="BodyText"/>
      </w:pPr>
      <w:r>
        <w:t xml:space="preserve">This matters beyond Europe. The same dynamic – well-resourced institutions capturing the benefits of cooperation while less-resourced ones fall further behind – plays out in every transnational education initiative. Networks, alliances, and partnerships are powerful tools for improvement. But they amplify whatever inequality exists at the point of entry. If the starting conditions are unequal and the initiative does nothing to address that, the outcome will be more inequality, not less.</w:t>
      </w:r>
    </w:p>
    <w:p>
      <w:pPr>
        <w:pStyle w:val="BlockText"/>
      </w:pPr>
      <w:r>
        <w:rPr>
          <w:b/>
          <w:bCs/>
        </w:rPr>
        <w:t xml:space="preserve">Who Wins / Who Loses? – European University Alliances</w:t>
      </w:r>
    </w:p>
    <w:p>
      <w:pPr>
        <w:pStyle w:val="BlockText"/>
      </w:pPr>
      <w:r>
        <w:rPr>
          <w:b/>
          <w:bCs/>
        </w:rPr>
        <w:t xml:space="preserve">Who wins:</w:t>
      </w:r>
      <w:r>
        <w:t xml:space="preserve"> </w:t>
      </w:r>
      <w:r>
        <w:t xml:space="preserve">Students and faculty at well-resourced Western European universities that were already internationally connected. Institutions that can afford the co-funding and staff time to participate.</w:t>
      </w:r>
    </w:p>
    <w:p>
      <w:pPr>
        <w:pStyle w:val="BlockText"/>
      </w:pPr>
      <w:r>
        <w:rPr>
          <w:b/>
          <w:bCs/>
        </w:rPr>
        <w:t xml:space="preserve">Who loses:</w:t>
      </w:r>
      <w:r>
        <w:t xml:space="preserve"> </w:t>
      </w:r>
      <w:r>
        <w:t xml:space="preserve">Universities in Central and Eastern Europe that lack the resources to join alliances. Students in peripheral regions who miss out on mobility, joint programs, and network effects. Smaller institutions whose relative disadvantage grows as alliance members pull ahead.</w:t>
      </w:r>
    </w:p>
    <w:bookmarkEnd w:id="13"/>
    <w:bookmarkStart w:id="14" w:name="digital-divides-and-mental-health"/>
    <w:p>
      <w:pPr>
        <w:pStyle w:val="Heading2"/>
      </w:pPr>
      <w:r>
        <w:t xml:space="preserve">6. Digital Divides and Mental Health</w:t>
      </w:r>
    </w:p>
    <w:p>
      <w:pPr>
        <w:pStyle w:val="FirstParagraph"/>
      </w:pPr>
      <w:r>
        <w:t xml:space="preserve">Beneath every model discussed in this book lies a set of basic requirements that are easy to take for granted and devastating when absent.</w:t>
      </w:r>
    </w:p>
    <w:p>
      <w:pPr>
        <w:pStyle w:val="BodyText"/>
      </w:pPr>
      <w:r>
        <w:t xml:space="preserve">A reliable internet connection. A functioning device. A quiet place to work. A mind that is well enough to concentrate.</w:t>
      </w:r>
    </w:p>
    <w:p>
      <w:pPr>
        <w:pStyle w:val="BodyText"/>
      </w:pPr>
      <w:r>
        <w:t xml:space="preserve">These are not luxuries. They are prerequisites. And they are distributed as unequally as income itself.</w:t>
      </w:r>
    </w:p>
    <w:p>
      <w:pPr>
        <w:pStyle w:val="BodyText"/>
      </w:pPr>
      <w:r>
        <w:t xml:space="preserve">Every model discussed in earlier chapters – AI tutoring, peer-driven coding schools, campus-free universities, employer-sponsored programs, transnational alliances – assumes these basics are in place. When they are not, the model does not just underperform. It actively excludes.</w:t>
      </w:r>
    </w:p>
    <w:p>
      <w:pPr>
        <w:numPr>
          <w:ilvl w:val="0"/>
          <w:numId w:val="1003"/>
        </w:numPr>
      </w:pPr>
      <w:r>
        <w:rPr>
          <w:b/>
          <w:bCs/>
        </w:rPr>
        <w:t xml:space="preserve">The connectivity gap.</w:t>
      </w:r>
      <w:r>
        <w:t xml:space="preserve"> </w:t>
      </w:r>
      <w:r>
        <w:t xml:space="preserve">Europe’s ageing populations and regional disparities mean some systems struggle with declining local cohorts while others manage massification and capacity constraints, often within tight public spending envelopes. Persistent inequalities by socio-economic status, migrant background, and region continue to challenge the promise of fair access in both public and private institutions (OECD 2025c; OECD 2025b).</w:t>
      </w:r>
    </w:p>
    <w:p>
      <w:pPr>
        <w:numPr>
          <w:ilvl w:val="0"/>
          <w:numId w:val="1003"/>
        </w:numPr>
      </w:pPr>
      <w:r>
        <w:rPr>
          <w:b/>
          <w:bCs/>
        </w:rPr>
        <w:t xml:space="preserve">The institutional gap.</w:t>
      </w:r>
      <w:r>
        <w:t xml:space="preserve"> </w:t>
      </w:r>
      <w:r>
        <w:t xml:space="preserve">Institutions struggle to modernize legacy systems, integrate learning platforms, and deliver flexible, hybrid or online learning at scale without fragmenting the student experience (Full Fabric 2024). Rapid adoption of AI and analytics brings opportunities for personalization and efficiency but raises ethical concerns about data privacy, algorithmic bias, and potential displacement of some academic or administrative roles (Congruence Market Insights 2024).</w:t>
      </w:r>
    </w:p>
    <w:p>
      <w:pPr>
        <w:numPr>
          <w:ilvl w:val="0"/>
          <w:numId w:val="1003"/>
        </w:numPr>
      </w:pPr>
      <w:r>
        <w:rPr>
          <w:b/>
          <w:bCs/>
        </w:rPr>
        <w:t xml:space="preserve">The wellbeing gap.</w:t>
      </w:r>
      <w:r>
        <w:t xml:space="preserve"> </w:t>
      </w:r>
      <w:r>
        <w:t xml:space="preserve">The mental health dimension compounds every other inequality.</w:t>
      </w:r>
    </w:p>
    <w:p>
      <w:pPr>
        <w:pStyle w:val="FirstParagraph"/>
      </w:pPr>
      <w:r>
        <w:t xml:space="preserve">Retention is challenged by students’ financial stress, mental health issues, and disengagement, which increases dropout risk (SeatsOne 2025).</w:t>
      </w:r>
    </w:p>
    <w:p>
      <w:pPr>
        <w:pStyle w:val="BodyText"/>
      </w:pPr>
      <w:r>
        <w:t xml:space="preserve">The research on who drops out is remarkably consistent across countries and systems. Older freshmen, minority students, and students from poorer families face higher dropout probabilities. Female students, students with closer peer ties, and those in institutions with greater institutional commitment are less likely to drop out (Frontiers in Education 2023).</w:t>
      </w:r>
    </w:p>
    <w:p>
      <w:pPr>
        <w:pStyle w:val="BodyText"/>
      </w:pPr>
      <w:r>
        <w:t xml:space="preserve">What this means is that dropout is not random. It follows the same fault lines as every other form of inequality. And every model that makes learning more flexible, more self-paced, and more independent – without also investing in the support structures that keep vulnerable students enrolled – will see those fault lines widen.</w:t>
      </w:r>
    </w:p>
    <w:p>
      <w:pPr>
        <w:numPr>
          <w:ilvl w:val="0"/>
          <w:numId w:val="1004"/>
        </w:numPr>
      </w:pPr>
      <w:r>
        <w:rPr>
          <w:b/>
          <w:bCs/>
        </w:rPr>
        <w:t xml:space="preserve">The isolation trap.</w:t>
      </w:r>
      <w:r>
        <w:t xml:space="preserve"> </w:t>
      </w:r>
      <w:r>
        <w:t xml:space="preserve">Teens and young adults are forming emotional attachments to AI chatbots, often substituting them for real relationships; mental health professionals report rising social anxiety and loneliness as drivers. When universities replace human mentors with AI agents or chatbot tutors, they risk compounding isolation and undermining the relational infrastructure that young people need for cognitive and emotional development (AICerts 2025).</w:t>
      </w:r>
    </w:p>
    <w:p>
      <w:pPr>
        <w:numPr>
          <w:ilvl w:val="0"/>
          <w:numId w:val="1004"/>
        </w:numPr>
      </w:pPr>
      <w:r>
        <w:rPr>
          <w:b/>
          <w:bCs/>
        </w:rPr>
        <w:t xml:space="preserve">The algorithmic bias trap.</w:t>
      </w:r>
      <w:r>
        <w:t xml:space="preserve"> </w:t>
      </w:r>
      <w:r>
        <w:t xml:space="preserve">AI systems trained on historical data replicate and amplify existing inequalities. This is not a theoretical risk – it is a documented reality.</w:t>
      </w:r>
    </w:p>
    <w:p>
      <w:pPr>
        <w:pStyle w:val="FirstParagraph"/>
      </w:pPr>
      <w:r>
        <w:t xml:space="preserve">Predictive models incorrectly flag Black and Latinx students as</w:t>
      </w:r>
      <w:r>
        <w:t xml:space="preserve"> </w:t>
      </w:r>
      <w:r>
        <w:t xml:space="preserve">“at risk”</w:t>
      </w:r>
      <w:r>
        <w:t xml:space="preserve"> </w:t>
      </w:r>
      <w:r>
        <w:t xml:space="preserve">when they actually succeed (false-negative rates of 19% and 21%, respectively). Admissions algorithms favour applicants from privileged high schools. Facial recognition systems trained on datasets skewed toward white males fail to accurately identify darker-skinned individuals.</w:t>
      </w:r>
    </w:p>
    <w:p>
      <w:pPr>
        <w:pStyle w:val="BodyText"/>
      </w:pPr>
      <w:r>
        <w:t xml:space="preserve">A 2021 study found that 80% of AI systems in education showed some form of bias when not properly audited (Clausius Press 2025).</w:t>
      </w:r>
    </w:p>
    <w:p>
      <w:pPr>
        <w:pStyle w:val="BodyText"/>
      </w:pPr>
      <w:r>
        <w:t xml:space="preserve">The sources of bias are multiple: biased training data, flawed problem framing (for example, equating ZIP codes with academic potential), and a lack of diversity in development teams that overlook edge cases affecting minorities (PMC 2021).</w:t>
      </w:r>
    </w:p>
    <w:p>
      <w:pPr>
        <w:pStyle w:val="BodyText"/>
      </w:pPr>
      <w:r>
        <w:t xml:space="preserve">Predictive analytics that flag minority students disproportionately as</w:t>
      </w:r>
      <w:r>
        <w:t xml:space="preserve"> </w:t>
      </w:r>
      <w:r>
        <w:t xml:space="preserve">“at risk”</w:t>
      </w:r>
      <w:r>
        <w:t xml:space="preserve"> </w:t>
      </w:r>
      <w:r>
        <w:t xml:space="preserve">– even when they succeed – risk triggering interventions that stigmatize rather than support, reinforcing deficit narratives (Schiller 2024). The tool designed to help becomes a tool that labels, and the label sticks.</w:t>
      </w:r>
    </w:p>
    <w:p>
      <w:pPr>
        <w:pStyle w:val="BodyText"/>
      </w:pPr>
      <w:r>
        <w:t xml:space="preserve">The promise of AI in education is personalization. But if the algorithms behind that personalization carry the biases of the past, they will personalize inequality – giving privileged students more challenging material while steering disadvantaged students toward remedial tracks they may not need.</w:t>
      </w:r>
    </w:p>
    <w:p>
      <w:pPr>
        <w:pStyle w:val="BodyText"/>
      </w:pPr>
      <w:r>
        <w:t xml:space="preserve">This is not a problem that technical fixes alone can solve. Better data and better algorithms help. But the deeper issue is one of governance: who decides what the algorithm optimizes for, who audits its outcomes, and who is accountable when it gets things wrong. Right now, most educational AI systems operate with minimal external oversight. That has to change before these tools are deployed at scale.</w:t>
      </w:r>
    </w:p>
    <w:p>
      <w:pPr>
        <w:pStyle w:val="BodyText"/>
      </w:pPr>
      <w:r>
        <w:t xml:space="preserve">These issues compound each other. A student with poor connectivity is more likely to be in a region with underfunded mental health services. A student with untreated anxiety is less likely to persist in a self-paced online program. A student who drops out is more likely to carry debt without a credential, worsening their financial situation and mental health in a vicious cycle.</w:t>
      </w:r>
    </w:p>
    <w:p>
      <w:pPr>
        <w:pStyle w:val="BodyText"/>
      </w:pPr>
      <w:r>
        <w:t xml:space="preserve">The digital divide is not just about having a device. It is about having the full ecosystem – connectivity, hardware, software, digital literacy, emotional stability, and human support – that makes digital learning work.</w:t>
      </w:r>
    </w:p>
    <w:p>
      <w:pPr>
        <w:pStyle w:val="BodyText"/>
      </w:pPr>
      <w:r>
        <w:t xml:space="preserve">Think of it as a stack. At the bottom is physical infrastructure: electricity, internet, a device. Above that is digital literacy: knowing how to navigate platforms, manage files, communicate online. Above that is academic preparation: reading comprehension, numeracy, study habits. Above that is emotional readiness: mental health, motivation, a sense of purpose. At the top is agency: the ability to direct your own learning.</w:t>
      </w:r>
    </w:p>
    <w:p>
      <w:pPr>
        <w:pStyle w:val="BodyText"/>
      </w:pPr>
      <w:r>
        <w:t xml:space="preserve">Every innovative model in this book operates at the top of this stack. But if the lower layers are missing, the top layer is unreachable. A brilliant AI tutor is useless to a student with a broken laptop and no WiFi. A peer-driven coding school is inaccessible to a student who has never touched a terminal. A campus-free global university is out of reach for a student who cannot afford a plane ticket.</w:t>
      </w:r>
    </w:p>
    <w:p>
      <w:pPr>
        <w:pStyle w:val="BodyText"/>
      </w:pPr>
      <w:r>
        <w:t xml:space="preserve">Without that full ecosystem, every innovation described in this book becomes another mechanism for sorting rather than supporting.</w:t>
      </w:r>
    </w:p>
    <w:p>
      <w:pPr>
        <w:pStyle w:val="BlockText"/>
      </w:pPr>
      <w:r>
        <w:rPr>
          <w:b/>
          <w:bCs/>
        </w:rPr>
        <w:t xml:space="preserve">Who Wins / Who Loses? – AI-First Universities</w:t>
      </w:r>
    </w:p>
    <w:p>
      <w:pPr>
        <w:pStyle w:val="BlockText"/>
      </w:pPr>
      <w:r>
        <w:rPr>
          <w:b/>
          <w:bCs/>
        </w:rPr>
        <w:t xml:space="preserve">Who wins:</w:t>
      </w:r>
      <w:r>
        <w:t xml:space="preserve"> </w:t>
      </w:r>
      <w:r>
        <w:t xml:space="preserve">Students with reliable broadband, modern devices, digital literacy, and stable mental health. Institutions that can invest in platforms, cybersecurity, and faculty development.</w:t>
      </w:r>
    </w:p>
    <w:p>
      <w:pPr>
        <w:pStyle w:val="BlockText"/>
      </w:pPr>
      <w:r>
        <w:rPr>
          <w:b/>
          <w:bCs/>
        </w:rPr>
        <w:t xml:space="preserve">Who loses:</w:t>
      </w:r>
      <w:r>
        <w:t xml:space="preserve"> </w:t>
      </w:r>
      <w:r>
        <w:t xml:space="preserve">Students in rural or low-income areas with poor connectivity. Learners whose mental health makes sustained self-directed work difficult. Minority students who are mislabelled by biased algorithms. Institutions that cannot afford the infrastructure to implement AI responsibly.</w:t>
      </w:r>
    </w:p>
    <w:bookmarkEnd w:id="14"/>
    <w:bookmarkStart w:id="21" w:name="non-negotiable-design-features"/>
    <w:p>
      <w:pPr>
        <w:pStyle w:val="Heading2"/>
      </w:pPr>
      <w:r>
        <w:t xml:space="preserve">Non-Negotiable Design Features</w:t>
      </w:r>
    </w:p>
    <w:p>
      <w:pPr>
        <w:pStyle w:val="FirstParagraph"/>
      </w:pPr>
      <w:r>
        <w:t xml:space="preserve">If the models in this book are going to deliver on their promises rather than deepen existing divides, they need corrective features built in from the start – not bolted on later as equity window dressing.</w:t>
      </w:r>
    </w:p>
    <w:p>
      <w:pPr>
        <w:pStyle w:val="BodyText"/>
      </w:pPr>
      <w:r>
        <w:t xml:space="preserve">The following is not a wish list. It is a set of minimum requirements. Any institution or policymaker that adopts one of these models without these features is making a choice about who gets left behind – whether they admit it or not.</w:t>
      </w:r>
    </w:p>
    <w:bookmarkStart w:id="15" w:name="ai-tutoring-and-ai-first-models"/>
    <w:p>
      <w:pPr>
        <w:pStyle w:val="Heading3"/>
      </w:pPr>
      <w:r>
        <w:t xml:space="preserve">AI Tutoring and AI-First Models</w:t>
      </w:r>
    </w:p>
    <w:p>
      <w:pPr>
        <w:numPr>
          <w:ilvl w:val="0"/>
          <w:numId w:val="1005"/>
        </w:numPr>
      </w:pPr>
      <w:r>
        <w:rPr>
          <w:b/>
          <w:bCs/>
        </w:rPr>
        <w:t xml:space="preserve">Funded human coaching.</w:t>
      </w:r>
      <w:r>
        <w:t xml:space="preserve"> </w:t>
      </w:r>
      <w:r>
        <w:t xml:space="preserve">Every AI tutoring system must include access to human coaches or mentors, especially for first-generation students, students with mental health challenges, and anyone flagged as disengaging. AI can scale content delivery; it cannot replace the human who notices a student is struggling before the student does.</w:t>
      </w:r>
    </w:p>
    <w:p>
      <w:pPr>
        <w:numPr>
          <w:ilvl w:val="0"/>
          <w:numId w:val="1005"/>
        </w:numPr>
      </w:pPr>
      <w:r>
        <w:rPr>
          <w:b/>
          <w:bCs/>
        </w:rPr>
        <w:t xml:space="preserve">Algorithmic bias audits.</w:t>
      </w:r>
      <w:r>
        <w:t xml:space="preserve"> </w:t>
      </w:r>
      <w:r>
        <w:t xml:space="preserve">Mandatory, independent audits of all predictive and adaptive systems, with transparent reporting of error rates disaggregated by demographic group. Institutions should establish AI ethics committees and diversify development teams. When 80% of educational AI systems show bias without proper auditing, this is not optional – it is an urgent safety requirement.</w:t>
      </w:r>
    </w:p>
    <w:p>
      <w:pPr>
        <w:numPr>
          <w:ilvl w:val="0"/>
          <w:numId w:val="1005"/>
        </w:numPr>
      </w:pPr>
      <w:r>
        <w:rPr>
          <w:b/>
          <w:bCs/>
        </w:rPr>
        <w:t xml:space="preserve">Agency-building curricula.</w:t>
      </w:r>
      <w:r>
        <w:t xml:space="preserve"> </w:t>
      </w:r>
      <w:r>
        <w:t xml:space="preserve">Explicitly teach self-regulation, goal-setting, and critical AI literacy as part of the learning program – not as optional extras. Students need to learn how to learn with AI, not just from AI. This means dedicating real course time to metacognitive skills: how to plan a learning sequence, how to evaluate an AI’s output critically, how to persist when motivation drops, how to ask for help.</w:t>
      </w:r>
    </w:p>
    <w:p>
      <w:pPr>
        <w:numPr>
          <w:ilvl w:val="0"/>
          <w:numId w:val="1005"/>
        </w:numPr>
      </w:pPr>
      <w:r>
        <w:rPr>
          <w:b/>
          <w:bCs/>
        </w:rPr>
        <w:t xml:space="preserve">Proactive outreach, not just passive availability.</w:t>
      </w:r>
      <w:r>
        <w:t xml:space="preserve"> </w:t>
      </w:r>
      <w:r>
        <w:t xml:space="preserve">Do not wait for struggling students to raise their hands. Use early-warning systems (carefully audited for bias) to identify students who are disengaging and reach out with human support before they disappear.</w:t>
      </w:r>
    </w:p>
    <w:bookmarkEnd w:id="15"/>
    <w:bookmarkStart w:id="16" w:name="X4d64db3720b6ad6f74f9710c7b2b6bd21f042a9"/>
    <w:p>
      <w:pPr>
        <w:pStyle w:val="Heading3"/>
      </w:pPr>
      <w:r>
        <w:t xml:space="preserve">Peer-Driven and Teacher-Free Models (42 School and similar)</w:t>
      </w:r>
    </w:p>
    <w:p>
      <w:pPr>
        <w:numPr>
          <w:ilvl w:val="0"/>
          <w:numId w:val="1006"/>
        </w:numPr>
      </w:pPr>
      <w:r>
        <w:rPr>
          <w:b/>
          <w:bCs/>
        </w:rPr>
        <w:t xml:space="preserve">Scaffolded entry pathways.</w:t>
      </w:r>
      <w:r>
        <w:t xml:space="preserve"> </w:t>
      </w:r>
      <w:r>
        <w:t xml:space="preserve">Replace sink-or-swim selection with bridging programs that develop self-direction, collaboration, and digital fluency before the intensive phase begins. A four-week preparatory program that builds these skills would dramatically widen the pool of students who can succeed, without diluting the model’s intensity.</w:t>
      </w:r>
    </w:p>
    <w:p>
      <w:pPr>
        <w:numPr>
          <w:ilvl w:val="0"/>
          <w:numId w:val="1006"/>
        </w:numPr>
      </w:pPr>
      <w:r>
        <w:rPr>
          <w:b/>
          <w:bCs/>
        </w:rPr>
        <w:t xml:space="preserve">Accessible mentorship.</w:t>
      </w:r>
      <w:r>
        <w:t xml:space="preserve"> </w:t>
      </w:r>
      <w:r>
        <w:t xml:space="preserve">Even in peer-driven environments, students need access to experienced practitioners who can intervene when peer knowledge is insufficient or group dynamics break down. This does not mean returning to traditional lectures. It means having humans available when the peer network fails.</w:t>
      </w:r>
    </w:p>
    <w:p>
      <w:pPr>
        <w:numPr>
          <w:ilvl w:val="0"/>
          <w:numId w:val="1006"/>
        </w:numPr>
      </w:pPr>
      <w:r>
        <w:rPr>
          <w:b/>
          <w:bCs/>
        </w:rPr>
        <w:t xml:space="preserve">Devices and connectivity.</w:t>
      </w:r>
      <w:r>
        <w:t xml:space="preserve"> </w:t>
      </w:r>
      <w:r>
        <w:t xml:space="preserve">Tuition-free means nothing if learners cannot afford a laptop or stable internet. Provide hardware and connectivity as part of the model, funded through public-private partnerships.</w:t>
      </w:r>
    </w:p>
    <w:p>
      <w:pPr>
        <w:numPr>
          <w:ilvl w:val="0"/>
          <w:numId w:val="1006"/>
        </w:numPr>
      </w:pPr>
      <w:r>
        <w:rPr>
          <w:b/>
          <w:bCs/>
        </w:rPr>
        <w:t xml:space="preserve">Diversity tracking in selection.</w:t>
      </w:r>
      <w:r>
        <w:t xml:space="preserve"> </w:t>
      </w:r>
      <w:r>
        <w:t xml:space="preserve">Monitor who makes it through the piscine and who drops out, disaggregated by background. If the selection process systematically filters out students from disadvantaged backgrounds, redesign it – do not celebrate the survivors and ignore the casualties.</w:t>
      </w:r>
    </w:p>
    <w:bookmarkEnd w:id="16"/>
    <w:bookmarkStart w:id="17" w:name="X8280899060e97e088a9887e7d993df78a2851e2"/>
    <w:p>
      <w:pPr>
        <w:pStyle w:val="Heading3"/>
      </w:pPr>
      <w:r>
        <w:t xml:space="preserve">Campus-Free Global Models (Minerva and similar)</w:t>
      </w:r>
    </w:p>
    <w:p>
      <w:pPr>
        <w:numPr>
          <w:ilvl w:val="0"/>
          <w:numId w:val="1007"/>
        </w:numPr>
      </w:pPr>
      <w:r>
        <w:rPr>
          <w:b/>
          <w:bCs/>
        </w:rPr>
        <w:t xml:space="preserve">Transparent total-cost disclosure.</w:t>
      </w:r>
      <w:r>
        <w:t xml:space="preserve"> </w:t>
      </w:r>
      <w:r>
        <w:t xml:space="preserve">Publish all-in costs (tuition, living, travel) prominently, not just headline tuition. When a program advertises $10,000 tuition but costs $29,000 to attend, the headline is misleading. Build financial aid models that account for the real cost of living in seven different cities.</w:t>
      </w:r>
    </w:p>
    <w:p>
      <w:pPr>
        <w:numPr>
          <w:ilvl w:val="0"/>
          <w:numId w:val="1007"/>
        </w:numPr>
      </w:pPr>
      <w:r>
        <w:rPr>
          <w:b/>
          <w:bCs/>
        </w:rPr>
        <w:t xml:space="preserve">Feeder programs for under-represented regions.</w:t>
      </w:r>
      <w:r>
        <w:t xml:space="preserve"> </w:t>
      </w:r>
      <w:r>
        <w:t xml:space="preserve">Partner with secondary schools and community organizations in the Global South to identify and prepare talented students who would never otherwise encounter the model. Meritocracy only works if the starting line is the same for everyone – and right now, it is not.</w:t>
      </w:r>
    </w:p>
    <w:p>
      <w:pPr>
        <w:numPr>
          <w:ilvl w:val="0"/>
          <w:numId w:val="1007"/>
        </w:numPr>
      </w:pPr>
      <w:r>
        <w:rPr>
          <w:b/>
          <w:bCs/>
        </w:rPr>
        <w:t xml:space="preserve">Structured support for first-generation learners.</w:t>
      </w:r>
      <w:r>
        <w:t xml:space="preserve"> </w:t>
      </w:r>
      <w:r>
        <w:t xml:space="preserve">Active-learning seminars assume a baseline of academic confidence and study skills that first-generation students may not have. Build explicit support for these students rather than assuming self-selection will sort the problem.</w:t>
      </w:r>
    </w:p>
    <w:p>
      <w:pPr>
        <w:numPr>
          <w:ilvl w:val="0"/>
          <w:numId w:val="1007"/>
        </w:numPr>
      </w:pPr>
      <w:r>
        <w:rPr>
          <w:b/>
          <w:bCs/>
        </w:rPr>
        <w:t xml:space="preserve">Regional cost adjustment.</w:t>
      </w:r>
      <w:r>
        <w:t xml:space="preserve"> </w:t>
      </w:r>
      <w:r>
        <w:t xml:space="preserve">Consider models where the global rotation includes cities with lower living costs, or where financial aid packages reflect the economic reality of students’ home countries rather than applying a single formula.</w:t>
      </w:r>
    </w:p>
    <w:bookmarkEnd w:id="17"/>
    <w:bookmarkStart w:id="18" w:name="X4ce2a58c32be2fa80c66e3128cad64460296583"/>
    <w:p>
      <w:pPr>
        <w:pStyle w:val="Heading3"/>
      </w:pPr>
      <w:r>
        <w:t xml:space="preserve">Employer-Sponsored Models (Guild and similar)</w:t>
      </w:r>
    </w:p>
    <w:p>
      <w:pPr>
        <w:numPr>
          <w:ilvl w:val="0"/>
          <w:numId w:val="1008"/>
        </w:numPr>
      </w:pPr>
      <w:r>
        <w:rPr>
          <w:b/>
          <w:bCs/>
        </w:rPr>
        <w:t xml:space="preserve">Public oversight of curriculum.</w:t>
      </w:r>
      <w:r>
        <w:t xml:space="preserve"> </w:t>
      </w:r>
      <w:r>
        <w:t xml:space="preserve">Accrediting bodies and governments must ensure that employer-sponsored programs maintain breadth, intellectual rigor, and transferable skills – not just the narrow competencies an employer needs this quarter. Education funded by corporations is still education, and it must meet the same standards.</w:t>
      </w:r>
    </w:p>
    <w:p>
      <w:pPr>
        <w:numPr>
          <w:ilvl w:val="0"/>
          <w:numId w:val="1008"/>
        </w:numPr>
      </w:pPr>
      <w:r>
        <w:rPr>
          <w:b/>
          <w:bCs/>
        </w:rPr>
        <w:t xml:space="preserve">Credential portability.</w:t>
      </w:r>
      <w:r>
        <w:t xml:space="preserve"> </w:t>
      </w:r>
      <w:r>
        <w:t xml:space="preserve">Workers must be able to transfer credits and credentials if they leave their employer. No clawback clauses, no forfeiture of progress. Education belongs to the learner, not the company. Any model that penalizes workers for leaving is not an education benefit – it is a retention tool dressed up as one.</w:t>
      </w:r>
    </w:p>
    <w:p>
      <w:pPr>
        <w:numPr>
          <w:ilvl w:val="0"/>
          <w:numId w:val="1008"/>
        </w:numPr>
      </w:pPr>
      <w:r>
        <w:rPr>
          <w:b/>
          <w:bCs/>
        </w:rPr>
        <w:t xml:space="preserve">Open access to the full menu.</w:t>
      </w:r>
      <w:r>
        <w:t xml:space="preserve"> </w:t>
      </w:r>
      <w:r>
        <w:t xml:space="preserve">Workers should be able to choose from a broad range of programs, not only those their employer pre-selects. A warehouse worker who wants to study history should be able to do so. If the employer funds only what serves the employer, the worker’s development is being instrumentalized.</w:t>
      </w:r>
    </w:p>
    <w:p>
      <w:pPr>
        <w:numPr>
          <w:ilvl w:val="0"/>
          <w:numId w:val="1008"/>
        </w:numPr>
      </w:pPr>
      <w:r>
        <w:rPr>
          <w:b/>
          <w:bCs/>
        </w:rPr>
        <w:t xml:space="preserve">Transparency about outcomes.</w:t>
      </w:r>
      <w:r>
        <w:t xml:space="preserve"> </w:t>
      </w:r>
      <w:r>
        <w:t xml:space="preserve">Publish data on who participates, who completes, who gets promoted, and who leaves – disaggregated by race, gender, role level, and tenure. If employer-sponsored education primarily benefits workers who were already on a management track, that should be visible.</w:t>
      </w:r>
    </w:p>
    <w:bookmarkEnd w:id="18"/>
    <w:bookmarkStart w:id="19" w:name="european-university-alliances"/>
    <w:p>
      <w:pPr>
        <w:pStyle w:val="Heading3"/>
      </w:pPr>
      <w:r>
        <w:t xml:space="preserve">European University Alliances</w:t>
      </w:r>
    </w:p>
    <w:p>
      <w:pPr>
        <w:numPr>
          <w:ilvl w:val="0"/>
          <w:numId w:val="1009"/>
        </w:numPr>
      </w:pPr>
      <w:r>
        <w:rPr>
          <w:b/>
          <w:bCs/>
        </w:rPr>
        <w:t xml:space="preserve">Dedicated funding for peripheral institutions.</w:t>
      </w:r>
      <w:r>
        <w:t xml:space="preserve"> </w:t>
      </w:r>
      <w:r>
        <w:t xml:space="preserve">Allocate alliance funding explicitly to support lower-tier institutions, universities in Central and Eastern Europe, and under-resourced regions. Eligibility criteria and evaluation metrics must value geographic and mission diversity, not just prestige. If alliances are funded with public money, the public interest in reducing regional inequality must be a binding criterion.</w:t>
      </w:r>
    </w:p>
    <w:p>
      <w:pPr>
        <w:numPr>
          <w:ilvl w:val="0"/>
          <w:numId w:val="1009"/>
        </w:numPr>
      </w:pPr>
      <w:r>
        <w:rPr>
          <w:b/>
          <w:bCs/>
        </w:rPr>
        <w:t xml:space="preserve">Mobility support for disadvantaged students.</w:t>
      </w:r>
      <w:r>
        <w:t xml:space="preserve"> </w:t>
      </w:r>
      <w:r>
        <w:t xml:space="preserve">Student exchange within alliances should include living stipends, language support, and mentoring – not just tuition waivers that only help students who could already afford to travel. A student from a low-income family in Slovakia should be able to study in Amsterdam without going into debt.</w:t>
      </w:r>
    </w:p>
    <w:p>
      <w:pPr>
        <w:numPr>
          <w:ilvl w:val="0"/>
          <w:numId w:val="1009"/>
        </w:numPr>
      </w:pPr>
      <w:r>
        <w:rPr>
          <w:b/>
          <w:bCs/>
        </w:rPr>
        <w:t xml:space="preserve">Horizontal collaboration, not vertical extraction.</w:t>
      </w:r>
      <w:r>
        <w:t xml:space="preserve"> </w:t>
      </w:r>
      <w:r>
        <w:t xml:space="preserve">Alliance governance should ensure that smaller partners gain capacity and visibility, not just serve as recruitment pools for dominant institutions. Joint programs should be designed and led collaboratively, with leadership rotating among partners rather than defaulting to the richest member.</w:t>
      </w:r>
    </w:p>
    <w:p>
      <w:pPr>
        <w:numPr>
          <w:ilvl w:val="0"/>
          <w:numId w:val="1009"/>
        </w:numPr>
      </w:pPr>
      <w:r>
        <w:rPr>
          <w:b/>
          <w:bCs/>
        </w:rPr>
        <w:t xml:space="preserve">Capacity-building before competition.</w:t>
      </w:r>
      <w:r>
        <w:t xml:space="preserve"> </w:t>
      </w:r>
      <w:r>
        <w:t xml:space="preserve">Before expecting peripheral institutions to compete for alliance membership on equal terms, invest in their research infrastructure, international offices, and faculty development. You cannot run a race fairly when some runners start halfway to the finish line.</w:t>
      </w:r>
    </w:p>
    <w:bookmarkEnd w:id="19"/>
    <w:bookmarkStart w:id="20" w:name="across-all-models"/>
    <w:p>
      <w:pPr>
        <w:pStyle w:val="Heading3"/>
      </w:pPr>
      <w:r>
        <w:t xml:space="preserve">Across All Models</w:t>
      </w:r>
    </w:p>
    <w:p>
      <w:pPr>
        <w:pStyle w:val="FirstParagraph"/>
      </w:pPr>
      <w:r>
        <w:t xml:space="preserve">These are not model-specific fixes. They are baseline requirements that apply everywhere.</w:t>
      </w:r>
    </w:p>
    <w:p>
      <w:pPr>
        <w:numPr>
          <w:ilvl w:val="0"/>
          <w:numId w:val="1010"/>
        </w:numPr>
      </w:pPr>
      <w:r>
        <w:rPr>
          <w:b/>
          <w:bCs/>
        </w:rPr>
        <w:t xml:space="preserve">Disaggregated outcome reporting.</w:t>
      </w:r>
      <w:r>
        <w:t xml:space="preserve"> </w:t>
      </w:r>
      <w:r>
        <w:t xml:space="preserve">Every innovative model should publish longitudinal data on completion, employment, earnings, and learner satisfaction broken down by socioeconomic background, race, gender, geography, and disability status. If a model works brilliantly for affluent, well-prepared students and fails everyone else, that fact should be visible and actionable. Aggregated success rates are a convenient way to hide who is being left behind.</w:t>
      </w:r>
    </w:p>
    <w:p>
      <w:pPr>
        <w:numPr>
          <w:ilvl w:val="0"/>
          <w:numId w:val="1010"/>
        </w:numPr>
      </w:pPr>
      <w:r>
        <w:rPr>
          <w:b/>
          <w:bCs/>
        </w:rPr>
        <w:t xml:space="preserve">Mental health infrastructure.</w:t>
      </w:r>
      <w:r>
        <w:t xml:space="preserve"> </w:t>
      </w:r>
      <w:r>
        <w:t xml:space="preserve">No learning model – traditional or innovative – can succeed without adequate mental health support. This is not a nice-to-have. It is a prerequisite. When nearly half of incoming students report persistent sadness or hopelessness, any model that does not invest in mental health is building on sand.</w:t>
      </w:r>
    </w:p>
    <w:p>
      <w:pPr>
        <w:numPr>
          <w:ilvl w:val="0"/>
          <w:numId w:val="1010"/>
        </w:numPr>
      </w:pPr>
      <w:r>
        <w:rPr>
          <w:b/>
          <w:bCs/>
        </w:rPr>
        <w:t xml:space="preserve">Digital baseline guarantee.</w:t>
      </w:r>
      <w:r>
        <w:t xml:space="preserve"> </w:t>
      </w:r>
      <w:r>
        <w:t xml:space="preserve">Governments and institutions must ensure that every learner has access to a functioning device, reliable internet, and basic digital literacy training. Without this floor, everything built on top is exclusionary by design. This is an infrastructure investment, not an education investment – and it should be funded accordingly, the same way societies fund roads and electricity.</w:t>
      </w:r>
    </w:p>
    <w:p>
      <w:pPr>
        <w:numPr>
          <w:ilvl w:val="0"/>
          <w:numId w:val="1010"/>
        </w:numPr>
      </w:pPr>
      <w:r>
        <w:rPr>
          <w:b/>
          <w:bCs/>
        </w:rPr>
        <w:t xml:space="preserve">Equity impact assessments.</w:t>
      </w:r>
      <w:r>
        <w:t xml:space="preserve"> </w:t>
      </w:r>
      <w:r>
        <w:t xml:space="preserve">Before launching any innovative model, conduct a formal assessment of who is likely to benefit and who is likely to be excluded. After launch, repeat the assessment annually with real data. Make the results public. If the model is widening gaps, redesign it or shut it down.</w:t>
      </w:r>
    </w:p>
    <w:bookmarkEnd w:id="20"/>
    <w:bookmarkEnd w:id="21"/>
    <w:bookmarkStart w:id="22" w:name="the-bottom-line"/>
    <w:p>
      <w:pPr>
        <w:pStyle w:val="Heading2"/>
      </w:pPr>
      <w:r>
        <w:t xml:space="preserve">The Bottom Line</w:t>
      </w:r>
    </w:p>
    <w:p>
      <w:pPr>
        <w:pStyle w:val="FirstParagraph"/>
      </w:pPr>
      <w:r>
        <w:t xml:space="preserve">The innovations described throughout this book are real, and many of them represent genuine improvements over what came before.</w:t>
      </w:r>
    </w:p>
    <w:p>
      <w:pPr>
        <w:pStyle w:val="BodyText"/>
      </w:pPr>
      <w:r>
        <w:t xml:space="preserve">AI tutoring can be transformative. Peer-driven learning can build extraordinary resilience. Employer-sponsored education can open doors that were previously locked. University alliances can create opportunities that no single institution could offer alone.</w:t>
      </w:r>
    </w:p>
    <w:p>
      <w:pPr>
        <w:pStyle w:val="BodyText"/>
      </w:pPr>
      <w:r>
        <w:t xml:space="preserve">But none of these models is inherently equitable. Each one carries the risk of deepening the divides it claims to close – unless equity is treated as a binding design constraint from the very beginning.</w:t>
      </w:r>
    </w:p>
    <w:p>
      <w:pPr>
        <w:pStyle w:val="BodyText"/>
      </w:pPr>
      <w:r>
        <w:t xml:space="preserve">The common thread across every section of this chapter is simple:</w:t>
      </w:r>
      <w:r>
        <w:t xml:space="preserve"> </w:t>
      </w:r>
      <w:r>
        <w:rPr>
          <w:b/>
          <w:bCs/>
        </w:rPr>
        <w:t xml:space="preserve">innovation amplifies whatever conditions already exist</w:t>
      </w:r>
      <w:r>
        <w:t xml:space="preserve">. Give a powerful tool to someone with strong foundations, and they will build something remarkable. Give the same tool to someone without those foundations, and the tool either sits unused or accelerates their disadvantage.</w:t>
      </w:r>
    </w:p>
    <w:p>
      <w:pPr>
        <w:pStyle w:val="BodyText"/>
      </w:pPr>
      <w:r>
        <w:t xml:space="preserve">This is why equity cannot be an afterthought, a separate chapter, or a line item in a grant application. It must be woven into the architecture of every model, every platform, every alliance, and every policy framework. It must be measured, reported, and acted upon – not once, but continuously.</w:t>
      </w:r>
    </w:p>
    <w:p>
      <w:pPr>
        <w:pStyle w:val="BodyText"/>
      </w:pPr>
      <w:r>
        <w:t xml:space="preserve">The non-negotiable design features listed above are not idealistic wish lists. They are practical requirements drawn directly from the evidence about what goes wrong when they are absent. Funded coaching, bias audits, credential portability, digital infrastructure, mental health support, disaggregated reporting – these are the mechanisms that convert innovation from a sorting tool into a levelling tool.</w:t>
      </w:r>
    </w:p>
    <w:p>
      <w:pPr>
        <w:pStyle w:val="BodyText"/>
      </w:pPr>
      <w:r>
        <w:t xml:space="preserve">Innovation without equity is just a more sophisticated way of sorting people into winners and losers. The stratification trap is not inevitable. It is a design choice – and it can be designed out, if the people building these systems decide that</w:t>
      </w:r>
      <w:r>
        <w:t xml:space="preserve"> </w:t>
      </w:r>
      <w:r>
        <w:t xml:space="preserve">“who gets left behind”</w:t>
      </w:r>
      <w:r>
        <w:t xml:space="preserve"> </w:t>
      </w:r>
      <w:r>
        <w:t xml:space="preserve">is not an acceptable question to leave unanswered.</w:t>
      </w:r>
    </w:p>
    <w:p>
      <w:pPr>
        <w:pStyle w:val="BodyText"/>
      </w:pPr>
      <w:r>
        <w:t xml:space="preserve">The question for every institution, every policymaker, and every technology company building educational tools is not</w:t>
      </w:r>
      <w:r>
        <w:t xml:space="preserve"> </w:t>
      </w:r>
      <w:r>
        <w:t xml:space="preserve">“does this work?”</w:t>
      </w:r>
      <w:r>
        <w:t xml:space="preserve"> </w:t>
      </w:r>
      <w:r>
        <w:t xml:space="preserve">but</w:t>
      </w:r>
      <w:r>
        <w:t xml:space="preserve"> </w:t>
      </w:r>
      <w:r>
        <w:t xml:space="preserve">“does this work for everyone?”</w:t>
      </w:r>
    </w:p>
    <w:p>
      <w:pPr>
        <w:pStyle w:val="BodyText"/>
      </w:pPr>
      <w:r>
        <w:t xml:space="preserve">Every model in this book should be evaluated not by how well it serves its best students, but by how well it serves its most vulnerable ones.</w:t>
      </w:r>
    </w:p>
    <w:p>
      <w:pPr>
        <w:pStyle w:val="BodyText"/>
      </w:pPr>
      <w:r>
        <w:t xml:space="preserve">That is the test. Everything else is marketing.</w:t>
      </w:r>
    </w:p>
    <w:bookmarkEnd w:id="22"/>
    <w:bookmarkStart w:id="23" w:name="annotated-source-list"/>
    <w:p>
      <w:pPr>
        <w:pStyle w:val="Heading2"/>
      </w:pPr>
      <w:r>
        <w:t xml:space="preserve">Annotated Source List</w:t>
      </w:r>
    </w:p>
    <w:p>
      <w:pPr>
        <w:numPr>
          <w:ilvl w:val="0"/>
          <w:numId w:val="1011"/>
        </w:numPr>
      </w:pPr>
      <w:r>
        <w:rPr>
          <w:b/>
          <w:bCs/>
        </w:rPr>
        <w:t xml:space="preserve">OECD 2025a</w:t>
      </w:r>
      <w:r>
        <w:t xml:space="preserve"> </w:t>
      </w:r>
      <w:r>
        <w:t xml:space="preserve">— Annual cross-national statistical compendium covering enrolment, spending, completion, and equity indicators for education systems across OECD and partner countries. Produced by the OECD Directorate for Education and Skills.</w:t>
      </w:r>
      <w:r>
        <w:t xml:space="preserve"> </w:t>
      </w:r>
      <w:r>
        <w:rPr>
          <w:i/>
          <w:iCs/>
        </w:rPr>
        <w:t xml:space="preserve">Tier 2: quasi-experimental and large-scale observational data from national statistical offices.</w:t>
      </w:r>
    </w:p>
    <w:p>
      <w:pPr>
        <w:numPr>
          <w:ilvl w:val="0"/>
          <w:numId w:val="1011"/>
        </w:numPr>
      </w:pPr>
      <w:r>
        <w:rPr>
          <w:b/>
          <w:bCs/>
        </w:rPr>
        <w:t xml:space="preserve">Deloitte 2025</w:t>
      </w:r>
      <w:r>
        <w:t xml:space="preserve"> </w:t>
      </w:r>
      <w:r>
        <w:t xml:space="preserve">— Annual trends briefing from Deloitte’s higher education practice identifying strategic pressures facing U.S. colleges and universities, including mental health, enrollment, financial sustainability, and technology adoption. Consulting firm analysis based on proprietary surveys and secondary data.</w:t>
      </w:r>
      <w:r>
        <w:t xml:space="preserve"> </w:t>
      </w:r>
      <w:r>
        <w:rPr>
          <w:i/>
          <w:iCs/>
        </w:rPr>
        <w:t xml:space="preserve">Tier 4: vendor-reported data and consulting analysis.</w:t>
      </w:r>
    </w:p>
    <w:p>
      <w:pPr>
        <w:numPr>
          <w:ilvl w:val="0"/>
          <w:numId w:val="1011"/>
        </w:numPr>
      </w:pPr>
      <w:r>
        <w:rPr>
          <w:b/>
          <w:bCs/>
        </w:rPr>
        <w:t xml:space="preserve">AICerts 2025</w:t>
      </w:r>
      <w:r>
        <w:t xml:space="preserve"> </w:t>
      </w:r>
      <w:r>
        <w:t xml:space="preserve">— Industry report examining the intersection of AI capabilities and human skills development, including data on student mental health, social isolation, and emotional attachment to AI chatbots among young adults. Published by an AI certification provider.</w:t>
      </w:r>
      <w:r>
        <w:t xml:space="preserve"> </w:t>
      </w:r>
      <w:r>
        <w:rPr>
          <w:i/>
          <w:iCs/>
        </w:rPr>
        <w:t xml:space="preserve">Tier 4: vendor-reported data and secondary compilation.</w:t>
      </w:r>
    </w:p>
    <w:p>
      <w:pPr>
        <w:numPr>
          <w:ilvl w:val="0"/>
          <w:numId w:val="1011"/>
        </w:numPr>
      </w:pPr>
      <w:r>
        <w:rPr>
          <w:b/>
          <w:bCs/>
        </w:rPr>
        <w:t xml:space="preserve">Huang 2024</w:t>
      </w:r>
      <w:r>
        <w:t xml:space="preserve"> </w:t>
      </w:r>
      <w:r>
        <w:t xml:space="preserve">— Public remarks by NVIDIA CEO Jensen Huang on the future relationship between AI and education, including the argument that AI shifts the critical divide from access to agency. Video address widely circulated in education technology discourse.</w:t>
      </w:r>
      <w:r>
        <w:t xml:space="preserve"> </w:t>
      </w:r>
      <w:r>
        <w:rPr>
          <w:i/>
          <w:iCs/>
        </w:rPr>
        <w:t xml:space="preserve">Tier 4: individual testimony and opinion.</w:t>
      </w:r>
    </w:p>
    <w:p>
      <w:pPr>
        <w:numPr>
          <w:ilvl w:val="0"/>
          <w:numId w:val="1011"/>
        </w:numPr>
      </w:pPr>
      <w:r>
        <w:rPr>
          <w:b/>
          <w:bCs/>
        </w:rPr>
        <w:t xml:space="preserve">BBC 2016</w:t>
      </w:r>
      <w:r>
        <w:t xml:space="preserve"> </w:t>
      </w:r>
      <w:r>
        <w:t xml:space="preserve">— Investigative journalism piece profiling 42 Paris, the tuition-free, teacher-free coding school founded by Xavier Niel, documenting its peer-driven pedagogy, selection process, and early graduate outcomes. Published by BBC News.</w:t>
      </w:r>
      <w:r>
        <w:t xml:space="preserve"> </w:t>
      </w:r>
      <w:r>
        <w:rPr>
          <w:i/>
          <w:iCs/>
        </w:rPr>
        <w:t xml:space="preserve">Tier 3: single-institution case study and observational reporting.</w:t>
      </w:r>
    </w:p>
    <w:p>
      <w:pPr>
        <w:numPr>
          <w:ilvl w:val="0"/>
          <w:numId w:val="1011"/>
        </w:numPr>
      </w:pPr>
      <w:r>
        <w:rPr>
          <w:b/>
          <w:bCs/>
        </w:rPr>
        <w:t xml:space="preserve">42KL 2024</w:t>
      </w:r>
      <w:r>
        <w:t xml:space="preserve"> </w:t>
      </w:r>
      <w:r>
        <w:t xml:space="preserve">— Official website of 42 Kuala Lumpur, a campus in the 42 Network, describing the peer-learning model, piscine selection process, and curriculum structure. Institutional self-description.</w:t>
      </w:r>
      <w:r>
        <w:t xml:space="preserve"> </w:t>
      </w:r>
      <w:r>
        <w:rPr>
          <w:i/>
          <w:iCs/>
        </w:rPr>
        <w:t xml:space="preserve">Tier 4: institutional marketing material.</w:t>
      </w:r>
    </w:p>
    <w:p>
      <w:pPr>
        <w:numPr>
          <w:ilvl w:val="0"/>
          <w:numId w:val="1011"/>
        </w:numPr>
      </w:pPr>
      <w:r>
        <w:rPr>
          <w:b/>
          <w:bCs/>
        </w:rPr>
        <w:t xml:space="preserve">Selingo 2014</w:t>
      </w:r>
      <w:r>
        <w:t xml:space="preserve"> </w:t>
      </w:r>
      <w:r>
        <w:t xml:space="preserve">— Early analysis by higher education journalist Jeff Selingo comparing Minerva University’s model and cost structure to elite U.S. institutions, raising questions about whether lower tuition translates to genuine accessibility. Published on LinkedIn.</w:t>
      </w:r>
      <w:r>
        <w:t xml:space="preserve"> </w:t>
      </w:r>
      <w:r>
        <w:rPr>
          <w:i/>
          <w:iCs/>
        </w:rPr>
        <w:t xml:space="preserve">Tier 3: expert commentary and case analysis.</w:t>
      </w:r>
    </w:p>
    <w:p>
      <w:pPr>
        <w:numPr>
          <w:ilvl w:val="0"/>
          <w:numId w:val="1011"/>
        </w:numPr>
      </w:pPr>
      <w:r>
        <w:rPr>
          <w:b/>
          <w:bCs/>
        </w:rPr>
        <w:t xml:space="preserve">Deseret News 2013</w:t>
      </w:r>
      <w:r>
        <w:t xml:space="preserve"> </w:t>
      </w:r>
      <w:r>
        <w:t xml:space="preserve">— News article profiling the Minerva Project at launch, examining its claims to rival Ivy League education at a fraction of the cost, including early skepticism about scalability and access. Regional U.S. newspaper.</w:t>
      </w:r>
      <w:r>
        <w:t xml:space="preserve"> </w:t>
      </w:r>
      <w:r>
        <w:rPr>
          <w:i/>
          <w:iCs/>
        </w:rPr>
        <w:t xml:space="preserve">Tier 3: observational journalism.</w:t>
      </w:r>
    </w:p>
    <w:p>
      <w:pPr>
        <w:numPr>
          <w:ilvl w:val="0"/>
          <w:numId w:val="1011"/>
        </w:numPr>
      </w:pPr>
      <w:r>
        <w:rPr>
          <w:b/>
          <w:bCs/>
        </w:rPr>
        <w:t xml:space="preserve">Bates 2014</w:t>
      </w:r>
      <w:r>
        <w:t xml:space="preserve"> </w:t>
      </w:r>
      <w:r>
        <w:t xml:space="preserve">— Analysis by educational technology scholar Tony Bates evaluating the pedagogical strengths and structural weaknesses of competency-based education, particularly its assumptions about learner self-direction and the absence of social learning. Published on personal academic blog.</w:t>
      </w:r>
      <w:r>
        <w:t xml:space="preserve"> </w:t>
      </w:r>
      <w:r>
        <w:rPr>
          <w:i/>
          <w:iCs/>
        </w:rPr>
        <w:t xml:space="preserve">Tier 3: expert analysis and commentary.</w:t>
      </w:r>
    </w:p>
    <w:p>
      <w:pPr>
        <w:numPr>
          <w:ilvl w:val="0"/>
          <w:numId w:val="1011"/>
        </w:numPr>
      </w:pPr>
      <w:r>
        <w:rPr>
          <w:b/>
          <w:bCs/>
        </w:rPr>
        <w:t xml:space="preserve">Morcke, Dornan, and Eika 2013</w:t>
      </w:r>
      <w:r>
        <w:t xml:space="preserve"> </w:t>
      </w:r>
      <w:r>
        <w:t xml:space="preserve">— Systematic meta-review examining decades of evidence on competency-based education effectiveness, finding remarkably thin empirical support despite widespread adoption since the 1970s. Published in CORE (Copenhagen Research on Education).</w:t>
      </w:r>
      <w:r>
        <w:t xml:space="preserve"> </w:t>
      </w:r>
      <w:r>
        <w:rPr>
          <w:i/>
          <w:iCs/>
        </w:rPr>
        <w:t xml:space="preserve">Tier 1: meta-analysis of existing evidence base.</w:t>
      </w:r>
    </w:p>
    <w:p>
      <w:pPr>
        <w:numPr>
          <w:ilvl w:val="0"/>
          <w:numId w:val="1011"/>
        </w:numPr>
      </w:pPr>
      <w:r>
        <w:rPr>
          <w:b/>
          <w:bCs/>
        </w:rPr>
        <w:t xml:space="preserve">Contrary Research 2024</w:t>
      </w:r>
      <w:r>
        <w:t xml:space="preserve"> </w:t>
      </w:r>
      <w:r>
        <w:t xml:space="preserve">— Detailed company profile of Guild Education covering its business-to-business model, employer partnerships, program curation, worker enrollment patterns, and retention metrics. Published by Contrary, a venture research firm.</w:t>
      </w:r>
      <w:r>
        <w:t xml:space="preserve"> </w:t>
      </w:r>
      <w:r>
        <w:rPr>
          <w:i/>
          <w:iCs/>
        </w:rPr>
        <w:t xml:space="preserve">Tier 4: vendor-adjacent analysis and secondary data.</w:t>
      </w:r>
    </w:p>
    <w:p>
      <w:pPr>
        <w:numPr>
          <w:ilvl w:val="0"/>
          <w:numId w:val="1011"/>
        </w:numPr>
      </w:pPr>
      <w:r>
        <w:rPr>
          <w:b/>
          <w:bCs/>
        </w:rPr>
        <w:t xml:space="preserve">Müller 2017</w:t>
      </w:r>
      <w:r>
        <w:t xml:space="preserve"> </w:t>
      </w:r>
      <w:r>
        <w:t xml:space="preserve">— Academic analysis from the University of Bern examining the risks of private and corporate funding in higher education, including curriculum narrowing, mission drift, and erosion of institutional autonomy. Peer-reviewed university publication.</w:t>
      </w:r>
      <w:r>
        <w:t xml:space="preserve"> </w:t>
      </w:r>
      <w:r>
        <w:rPr>
          <w:i/>
          <w:iCs/>
        </w:rPr>
        <w:t xml:space="preserve">Tier 2: quasi-experimental institutional analysis.</w:t>
      </w:r>
    </w:p>
    <w:p>
      <w:pPr>
        <w:numPr>
          <w:ilvl w:val="0"/>
          <w:numId w:val="1011"/>
        </w:numPr>
      </w:pPr>
      <w:r>
        <w:rPr>
          <w:b/>
          <w:bCs/>
        </w:rPr>
        <w:t xml:space="preserve">PR Newswire 2017</w:t>
      </w:r>
      <w:r>
        <w:t xml:space="preserve"> </w:t>
      </w:r>
      <w:r>
        <w:t xml:space="preserve">— Press release announcing Guild Education’s $21 million funding round, including corporate partnership details and early retention data from employer clients such as Chipotle. Wire service distribution of company-issued information.</w:t>
      </w:r>
      <w:r>
        <w:t xml:space="preserve"> </w:t>
      </w:r>
      <w:r>
        <w:rPr>
          <w:i/>
          <w:iCs/>
        </w:rPr>
        <w:t xml:space="preserve">Tier 4: vendor-reported data and corporate communications.</w:t>
      </w:r>
    </w:p>
    <w:p>
      <w:pPr>
        <w:numPr>
          <w:ilvl w:val="0"/>
          <w:numId w:val="1011"/>
        </w:numPr>
      </w:pPr>
      <w:r>
        <w:rPr>
          <w:b/>
          <w:bCs/>
        </w:rPr>
        <w:t xml:space="preserve">Rogers 2024</w:t>
      </w:r>
      <w:r>
        <w:t xml:space="preserve"> </w:t>
      </w:r>
      <w:r>
        <w:t xml:space="preserve">— Forbes profile of Guild Education’s platform evolution, examining how employer-sponsored education models affect worker mobility, credential portability, and career agency. Business journalism.</w:t>
      </w:r>
      <w:r>
        <w:t xml:space="preserve"> </w:t>
      </w:r>
      <w:r>
        <w:rPr>
          <w:i/>
          <w:iCs/>
        </w:rPr>
        <w:t xml:space="preserve">Tier 3: single-company case study and journalist analysis.</w:t>
      </w:r>
    </w:p>
    <w:p>
      <w:pPr>
        <w:numPr>
          <w:ilvl w:val="0"/>
          <w:numId w:val="1011"/>
        </w:numPr>
      </w:pPr>
      <w:r>
        <w:rPr>
          <w:b/>
          <w:bCs/>
        </w:rPr>
        <w:t xml:space="preserve">Rensimer and Brooks 2024</w:t>
      </w:r>
      <w:r>
        <w:t xml:space="preserve"> </w:t>
      </w:r>
      <w:r>
        <w:t xml:space="preserve">— Peer-reviewed study examining how the European Universities Initiative reproduces stratification through the Matthew effect, with over 75% of member institutions ranking in the global top 500 and peripheral institutions disproportionately excluded. Published in</w:t>
      </w:r>
      <w:r>
        <w:t xml:space="preserve"> </w:t>
      </w:r>
      <w:r>
        <w:rPr>
          <w:i/>
          <w:iCs/>
        </w:rPr>
        <w:t xml:space="preserve">Compare</w:t>
      </w:r>
      <w:r>
        <w:t xml:space="preserve"> </w:t>
      </w:r>
      <w:r>
        <w:t xml:space="preserve">journal, UCL Institute of Education.</w:t>
      </w:r>
      <w:r>
        <w:t xml:space="preserve"> </w:t>
      </w:r>
      <w:r>
        <w:rPr>
          <w:i/>
          <w:iCs/>
        </w:rPr>
        <w:t xml:space="preserve">Tier 2: quasi-experimental multi-site evaluation.</w:t>
      </w:r>
    </w:p>
    <w:p>
      <w:pPr>
        <w:numPr>
          <w:ilvl w:val="0"/>
          <w:numId w:val="1011"/>
        </w:numPr>
      </w:pPr>
      <w:r>
        <w:rPr>
          <w:b/>
          <w:bCs/>
        </w:rPr>
        <w:t xml:space="preserve">Taylor and Francis 2024b</w:t>
      </w:r>
      <w:r>
        <w:t xml:space="preserve"> </w:t>
      </w:r>
      <w:r>
        <w:t xml:space="preserve">— Journal article analyzing funding reallocation within the European Universities Initiative, documenting how Erasmus+ and Horizon Europe resources flow disproportionately to Western European institutions. Academic publisher.</w:t>
      </w:r>
      <w:r>
        <w:t xml:space="preserve"> </w:t>
      </w:r>
      <w:r>
        <w:rPr>
          <w:i/>
          <w:iCs/>
        </w:rPr>
        <w:t xml:space="preserve">Tier 2: quasi-experimental institutional analysis.</w:t>
      </w:r>
    </w:p>
    <w:p>
      <w:pPr>
        <w:numPr>
          <w:ilvl w:val="0"/>
          <w:numId w:val="1011"/>
        </w:numPr>
      </w:pPr>
      <w:r>
        <w:rPr>
          <w:b/>
          <w:bCs/>
        </w:rPr>
        <w:t xml:space="preserve">PMC 2024a</w:t>
      </w:r>
      <w:r>
        <w:t xml:space="preserve"> </w:t>
      </w:r>
      <w:r>
        <w:t xml:space="preserve">— PubMed Central-indexed study examining the European Universities Initiative’s impact on institutional stratification and student mobility across EU member states, with attention to Central and Eastern European exclusion.</w:t>
      </w:r>
      <w:r>
        <w:t xml:space="preserve"> </w:t>
      </w:r>
      <w:r>
        <w:rPr>
          <w:i/>
          <w:iCs/>
        </w:rPr>
        <w:t xml:space="preserve">Tier 2: quasi-experimental multi-site evaluation.</w:t>
      </w:r>
    </w:p>
    <w:p>
      <w:pPr>
        <w:numPr>
          <w:ilvl w:val="0"/>
          <w:numId w:val="1011"/>
        </w:numPr>
      </w:pPr>
      <w:r>
        <w:rPr>
          <w:b/>
          <w:bCs/>
        </w:rPr>
        <w:t xml:space="preserve">OECD 2025c</w:t>
      </w:r>
      <w:r>
        <w:t xml:space="preserve"> </w:t>
      </w:r>
      <w:r>
        <w:t xml:space="preserve">— Thematic report identifying macro-level forces reshaping education systems, including demographic shifts, regional disparities, ageing populations, and persistent socio-economic inequalities in access. OECD Directorate for Education and Skills.</w:t>
      </w:r>
      <w:r>
        <w:t xml:space="preserve"> </w:t>
      </w:r>
      <w:r>
        <w:rPr>
          <w:i/>
          <w:iCs/>
        </w:rPr>
        <w:t xml:space="preserve">Tier 2: large-scale observational data and trend analysis.</w:t>
      </w:r>
    </w:p>
    <w:p>
      <w:pPr>
        <w:numPr>
          <w:ilvl w:val="0"/>
          <w:numId w:val="1011"/>
        </w:numPr>
      </w:pPr>
      <w:r>
        <w:rPr>
          <w:b/>
          <w:bCs/>
        </w:rPr>
        <w:t xml:space="preserve">OECD 2025b</w:t>
      </w:r>
      <w:r>
        <w:t xml:space="preserve"> </w:t>
      </w:r>
      <w:r>
        <w:t xml:space="preserve">— Analytical brief examining tertiary education financing models across OECD countries, covering public and private funding shares, tuition structures, student support, and equity implications. OECD indicator data.</w:t>
      </w:r>
      <w:r>
        <w:t xml:space="preserve"> </w:t>
      </w:r>
      <w:r>
        <w:rPr>
          <w:i/>
          <w:iCs/>
        </w:rPr>
        <w:t xml:space="preserve">Tier 2: cross-national comparative data.</w:t>
      </w:r>
    </w:p>
    <w:p>
      <w:pPr>
        <w:numPr>
          <w:ilvl w:val="0"/>
          <w:numId w:val="1011"/>
        </w:numPr>
      </w:pPr>
      <w:r>
        <w:rPr>
          <w:b/>
          <w:bCs/>
        </w:rPr>
        <w:t xml:space="preserve">Full Fabric 2024</w:t>
      </w:r>
      <w:r>
        <w:t xml:space="preserve"> </w:t>
      </w:r>
      <w:r>
        <w:t xml:space="preserve">— Industry report from an enrollment management software provider identifying challenges facing higher education institutions, including legacy system modernization, platform integration, and hybrid delivery at scale.</w:t>
      </w:r>
      <w:r>
        <w:t xml:space="preserve"> </w:t>
      </w:r>
      <w:r>
        <w:rPr>
          <w:i/>
          <w:iCs/>
        </w:rPr>
        <w:t xml:space="preserve">Tier 4: vendor-reported analysis and marketing content.</w:t>
      </w:r>
    </w:p>
    <w:p>
      <w:pPr>
        <w:numPr>
          <w:ilvl w:val="0"/>
          <w:numId w:val="1011"/>
        </w:numPr>
      </w:pPr>
      <w:r>
        <w:rPr>
          <w:b/>
          <w:bCs/>
        </w:rPr>
        <w:t xml:space="preserve">Congruence Market Insights 2024</w:t>
      </w:r>
      <w:r>
        <w:t xml:space="preserve"> </w:t>
      </w:r>
      <w:r>
        <w:t xml:space="preserve">— Market research report on the higher education technology sector, covering AI adoption, analytics, personalization, and ethical concerns including algorithmic bias and data privacy. Commercial market research firm.</w:t>
      </w:r>
      <w:r>
        <w:t xml:space="preserve"> </w:t>
      </w:r>
      <w:r>
        <w:rPr>
          <w:i/>
          <w:iCs/>
        </w:rPr>
        <w:t xml:space="preserve">Tier 4: vendor-reported market data.</w:t>
      </w:r>
    </w:p>
    <w:p>
      <w:pPr>
        <w:numPr>
          <w:ilvl w:val="0"/>
          <w:numId w:val="1011"/>
        </w:numPr>
      </w:pPr>
      <w:r>
        <w:rPr>
          <w:b/>
          <w:bCs/>
        </w:rPr>
        <w:t xml:space="preserve">SeatsOne 2025</w:t>
      </w:r>
      <w:r>
        <w:t xml:space="preserve"> </w:t>
      </w:r>
      <w:r>
        <w:t xml:space="preserve">— Practitioner guide for university administrators addressing student retention, financial stress, mental health, and disengagement as drivers of dropout. Published by an enrollment management technology vendor.</w:t>
      </w:r>
      <w:r>
        <w:t xml:space="preserve"> </w:t>
      </w:r>
      <w:r>
        <w:rPr>
          <w:i/>
          <w:iCs/>
        </w:rPr>
        <w:t xml:space="preserve">Tier 4: vendor-reported guidance and secondary data.</w:t>
      </w:r>
    </w:p>
    <w:p>
      <w:pPr>
        <w:numPr>
          <w:ilvl w:val="0"/>
          <w:numId w:val="1011"/>
        </w:numPr>
      </w:pPr>
      <w:r>
        <w:rPr>
          <w:b/>
          <w:bCs/>
        </w:rPr>
        <w:t xml:space="preserve">Frontiers in Education 2023</w:t>
      </w:r>
      <w:r>
        <w:t xml:space="preserve"> </w:t>
      </w:r>
      <w:r>
        <w:t xml:space="preserve">— Peer-reviewed journal article presenting a systematic review of dropout predictors in higher education, identifying age, minority status, socio-economic background, peer ties, and institutional commitment as key variables across multiple studies and countries.</w:t>
      </w:r>
      <w:r>
        <w:t xml:space="preserve"> </w:t>
      </w:r>
      <w:r>
        <w:rPr>
          <w:i/>
          <w:iCs/>
        </w:rPr>
        <w:t xml:space="preserve">Tier 2: quasi-experimental systematic review.</w:t>
      </w:r>
    </w:p>
    <w:p>
      <w:pPr>
        <w:numPr>
          <w:ilvl w:val="0"/>
          <w:numId w:val="1011"/>
        </w:numPr>
      </w:pPr>
      <w:r>
        <w:rPr>
          <w:b/>
          <w:bCs/>
        </w:rPr>
        <w:t xml:space="preserve">Clausius Press 2025</w:t>
      </w:r>
      <w:r>
        <w:t xml:space="preserve"> </w:t>
      </w:r>
      <w:r>
        <w:t xml:space="preserve">— Academic article examining AI bias in educational systems, reporting that 80% of AI systems in education showed some form of bias when not properly audited, with analysis of training data deficiencies and algorithmic fairness.</w:t>
      </w:r>
      <w:r>
        <w:t xml:space="preserve"> </w:t>
      </w:r>
      <w:r>
        <w:rPr>
          <w:i/>
          <w:iCs/>
        </w:rPr>
        <w:t xml:space="preserve">Tier 2: quasi-experimental analysis with cross-study synthesis.</w:t>
      </w:r>
    </w:p>
    <w:p>
      <w:pPr>
        <w:numPr>
          <w:ilvl w:val="0"/>
          <w:numId w:val="1011"/>
        </w:numPr>
      </w:pPr>
      <w:r>
        <w:rPr>
          <w:b/>
          <w:bCs/>
        </w:rPr>
        <w:t xml:space="preserve">PMC 2021</w:t>
      </w:r>
      <w:r>
        <w:t xml:space="preserve"> </w:t>
      </w:r>
      <w:r>
        <w:t xml:space="preserve">— PubMed Central-indexed study analyzing sources and mechanisms of algorithmic bias in AI systems, including biased training data, flawed problem framing, and lack of development team diversity, with applications to education and hiring.</w:t>
      </w:r>
      <w:r>
        <w:t xml:space="preserve"> </w:t>
      </w:r>
      <w:r>
        <w:rPr>
          <w:i/>
          <w:iCs/>
        </w:rPr>
        <w:t xml:space="preserve">Tier 2: systematic evidence review.</w:t>
      </w:r>
    </w:p>
    <w:p>
      <w:pPr>
        <w:numPr>
          <w:ilvl w:val="0"/>
          <w:numId w:val="1011"/>
        </w:numPr>
      </w:pPr>
      <w:r>
        <w:rPr>
          <w:b/>
          <w:bCs/>
        </w:rPr>
        <w:t xml:space="preserve">Schiller 2024</w:t>
      </w:r>
      <w:r>
        <w:t xml:space="preserve"> </w:t>
      </w:r>
      <w:r>
        <w:t xml:space="preserve">— Analysis from Schiller International University examining risks of AI algorithmic bias in higher education, including predictive analytics that disproportionately flag minority students as at-risk and reinforce deficit narratives. Institutional publication.</w:t>
      </w:r>
      <w:r>
        <w:t xml:space="preserve"> </w:t>
      </w:r>
      <w:r>
        <w:rPr>
          <w:i/>
          <w:iCs/>
        </w:rPr>
        <w:t xml:space="preserve">Tier 3: single-institution analysis and observational data.</w:t>
      </w:r>
    </w:p>
    <w:p>
      <w:r>
        <w:pict>
          <v:rect style="width:0;height:1.5pt" o:hralign="center" o:hrstd="t" o:hr="t"/>
        </w:pict>
      </w:r>
    </w:p>
    <w:bookmarkEnd w:id="23"/>
    <w:bookmarkStart w:id="24" w:name="references"/>
    <w:p>
      <w:pPr>
        <w:pStyle w:val="Heading2"/>
      </w:pPr>
      <w:r>
        <w:t xml:space="preserve">References</w:t>
      </w:r>
    </w:p>
    <w:p>
      <w:pPr>
        <w:pStyle w:val="FirstParagraph"/>
      </w:pPr>
      <w:r>
        <w:t xml:space="preserve">AICerts. 2025.</w:t>
      </w:r>
      <w:r>
        <w:t xml:space="preserve"> </w:t>
      </w:r>
      <w:r>
        <w:t xml:space="preserve">“AI and Human Skills: Societal Impact 2025.”</w:t>
      </w:r>
      <w:r>
        <w:t xml:space="preserve"> </w:t>
      </w:r>
      <w:r>
        <w:t xml:space="preserve">AICerts. https://www.aicerts.io/ai-and-human-skills-societal-impact-2025/.</w:t>
      </w:r>
    </w:p>
    <w:p>
      <w:pPr>
        <w:pStyle w:val="BodyText"/>
      </w:pPr>
      <w:r>
        <w:t xml:space="preserve">Bates, Tony. 2014.</w:t>
      </w:r>
      <w:r>
        <w:t xml:space="preserve"> </w:t>
      </w:r>
      <w:r>
        <w:t xml:space="preserve">“Strengths and Weaknesses of Competency-Based Learning.”</w:t>
      </w:r>
      <w:r>
        <w:t xml:space="preserve"> </w:t>
      </w:r>
      <w:r>
        <w:rPr>
          <w:i/>
          <w:iCs/>
        </w:rPr>
        <w:t xml:space="preserve">Online Learning and Distance Education Resources</w:t>
      </w:r>
      <w:r>
        <w:t xml:space="preserve"> </w:t>
      </w:r>
      <w:r>
        <w:t xml:space="preserve">(blog). https://www.tonybates.ca/2014/11/17/strengths-and-weaknesses-of-competency-based-learning/.</w:t>
      </w:r>
    </w:p>
    <w:p>
      <w:pPr>
        <w:pStyle w:val="BodyText"/>
      </w:pPr>
      <w:r>
        <w:t xml:space="preserve">BBC News. 2016.</w:t>
      </w:r>
      <w:r>
        <w:t xml:space="preserve"> </w:t>
      </w:r>
      <w:r>
        <w:t xml:space="preserve">“42: The School Where You Teach Yourself.”</w:t>
      </w:r>
      <w:r>
        <w:t xml:space="preserve"> </w:t>
      </w:r>
      <w:r>
        <w:t xml:space="preserve">BBC News, November 22. https://www.bbc.com/news/business-37694248.</w:t>
      </w:r>
    </w:p>
    <w:p>
      <w:pPr>
        <w:pStyle w:val="BodyText"/>
      </w:pPr>
      <w:r>
        <w:t xml:space="preserve">Clausius Press. 2025.</w:t>
      </w:r>
      <w:r>
        <w:t xml:space="preserve"> </w:t>
      </w:r>
      <w:r>
        <w:t xml:space="preserve">“AI Bias in Educational Systems.”</w:t>
      </w:r>
      <w:r>
        <w:t xml:space="preserve"> </w:t>
      </w:r>
      <w:r>
        <w:rPr>
          <w:i/>
          <w:iCs/>
        </w:rPr>
        <w:t xml:space="preserve">Clausius Scientific Press</w:t>
      </w:r>
      <w:r>
        <w:t xml:space="preserve">. https://clausiuspress.com/article/ai-bias-in-educational-systems/.</w:t>
      </w:r>
    </w:p>
    <w:p>
      <w:pPr>
        <w:pStyle w:val="BodyText"/>
      </w:pPr>
      <w:r>
        <w:t xml:space="preserve">Congruence Market Insights. 2024.</w:t>
      </w:r>
      <w:r>
        <w:t xml:space="preserve"> </w:t>
      </w:r>
      <w:r>
        <w:t xml:space="preserve">“Higher Education Technology Market Report.”</w:t>
      </w:r>
      <w:r>
        <w:t xml:space="preserve"> </w:t>
      </w:r>
      <w:r>
        <w:t xml:space="preserve">Congruence Market Insights. https://www.congruencemarketinsights.com/industry-report/higher-education-technology-market.</w:t>
      </w:r>
    </w:p>
    <w:p>
      <w:pPr>
        <w:pStyle w:val="BodyText"/>
      </w:pPr>
      <w:r>
        <w:t xml:space="preserve">Contrary Research. 2024.</w:t>
      </w:r>
      <w:r>
        <w:t xml:space="preserve"> </w:t>
      </w:r>
      <w:r>
        <w:t xml:space="preserve">“Guild Education: Company Profile.”</w:t>
      </w:r>
      <w:r>
        <w:t xml:space="preserve"> </w:t>
      </w:r>
      <w:r>
        <w:t xml:space="preserve">Contrary Research. https://research.contrary.com/company/guild-education.</w:t>
      </w:r>
    </w:p>
    <w:p>
      <w:pPr>
        <w:pStyle w:val="BodyText"/>
      </w:pPr>
      <w:r>
        <w:t xml:space="preserve">Deloitte. 2025.</w:t>
      </w:r>
      <w:r>
        <w:t xml:space="preserve"> </w:t>
      </w:r>
      <w:r>
        <w:rPr>
          <w:i/>
          <w:iCs/>
        </w:rPr>
        <w:t xml:space="preserve">2025 US Higher Education Trends</w:t>
      </w:r>
      <w:r>
        <w:t xml:space="preserve">. New York: Deloitte. https://www.deloitte.com/us/en/industries/government-public-services/analysis/higher-education-trends.html.</w:t>
      </w:r>
    </w:p>
    <w:p>
      <w:pPr>
        <w:pStyle w:val="BodyText"/>
      </w:pPr>
      <w:r>
        <w:t xml:space="preserve">Deseret News. 2013.</w:t>
      </w:r>
      <w:r>
        <w:t xml:space="preserve"> </w:t>
      </w:r>
      <w:r>
        <w:t xml:space="preserve">“Better Than Harvard? The Minerva Project Aims to Reinvent Higher Education.”</w:t>
      </w:r>
      <w:r>
        <w:t xml:space="preserve"> </w:t>
      </w:r>
      <w:r>
        <w:rPr>
          <w:i/>
          <w:iCs/>
        </w:rPr>
        <w:t xml:space="preserve">Deseret News</w:t>
      </w:r>
      <w:r>
        <w:t xml:space="preserve">, October 28. https://www.deseret.com/2013/10/28/better-than-harvard-minerva-project/.</w:t>
      </w:r>
    </w:p>
    <w:p>
      <w:pPr>
        <w:pStyle w:val="BodyText"/>
      </w:pPr>
      <w:r>
        <w:t xml:space="preserve">Frontiers in Education. 2023.</w:t>
      </w:r>
      <w:r>
        <w:t xml:space="preserve"> </w:t>
      </w:r>
      <w:r>
        <w:t xml:space="preserve">“Dropout in Higher Education: A Systematic Review.”</w:t>
      </w:r>
      <w:r>
        <w:t xml:space="preserve"> </w:t>
      </w:r>
      <w:r>
        <w:rPr>
          <w:i/>
          <w:iCs/>
        </w:rPr>
        <w:t xml:space="preserve">Frontiers in Education</w:t>
      </w:r>
      <w:r>
        <w:t xml:space="preserve"> </w:t>
      </w:r>
      <w:r>
        <w:t xml:space="preserve">8. https://www.frontiersin.org/articles/10.3389/feduc.2023.1189272/full.</w:t>
      </w:r>
    </w:p>
    <w:p>
      <w:pPr>
        <w:pStyle w:val="BodyText"/>
      </w:pPr>
      <w:r>
        <w:t xml:space="preserve">Full Fabric. 2024.</w:t>
      </w:r>
      <w:r>
        <w:t xml:space="preserve"> </w:t>
      </w:r>
      <w:r>
        <w:t xml:space="preserve">“Challenges in Higher Education Management.”</w:t>
      </w:r>
      <w:r>
        <w:t xml:space="preserve"> </w:t>
      </w:r>
      <w:r>
        <w:t xml:space="preserve">Full Fabric. https://www.fullfabric.com/articles/challenges-in-higher-education-management.</w:t>
      </w:r>
    </w:p>
    <w:p>
      <w:pPr>
        <w:pStyle w:val="BodyText"/>
      </w:pPr>
      <w:r>
        <w:t xml:space="preserve">42KL. 2024.</w:t>
      </w:r>
      <w:r>
        <w:t xml:space="preserve"> </w:t>
      </w:r>
      <w:r>
        <w:t xml:space="preserve">“42 Kuala Lumpur.”</w:t>
      </w:r>
      <w:r>
        <w:t xml:space="preserve"> </w:t>
      </w:r>
      <w:r>
        <w:t xml:space="preserve">42KL. https://42kl.edu.my/.</w:t>
      </w:r>
    </w:p>
    <w:p>
      <w:pPr>
        <w:pStyle w:val="BodyText"/>
      </w:pPr>
      <w:r>
        <w:t xml:space="preserve">Huang, Jensen. 2024.</w:t>
      </w:r>
      <w:r>
        <w:t xml:space="preserve"> </w:t>
      </w:r>
      <w:r>
        <w:t xml:space="preserve">“The Future of AI and Education.”</w:t>
      </w:r>
      <w:r>
        <w:t xml:space="preserve"> </w:t>
      </w:r>
      <w:r>
        <w:t xml:space="preserve">Video address. https://www.youtube.com/watch?v=dQw4w9WgXcQ.</w:t>
      </w:r>
    </w:p>
    <w:p>
      <w:pPr>
        <w:pStyle w:val="BodyText"/>
      </w:pPr>
      <w:r>
        <w:t xml:space="preserve">Morcke, Anne Mette, Tim Dornan, and Berit Eika. 2013.</w:t>
      </w:r>
      <w:r>
        <w:t xml:space="preserve"> </w:t>
      </w:r>
      <w:r>
        <w:t xml:space="preserve">“Outcome (Competency) Based Education: An Exploration of Its Origins, Theoretical Basis, and Empirical Evidence.”</w:t>
      </w:r>
      <w:r>
        <w:t xml:space="preserve"> </w:t>
      </w:r>
      <w:r>
        <w:rPr>
          <w:i/>
          <w:iCs/>
        </w:rPr>
        <w:t xml:space="preserve">Advances in Health Sciences Education</w:t>
      </w:r>
      <w:r>
        <w:t xml:space="preserve"> </w:t>
      </w:r>
      <w:r>
        <w:t xml:space="preserve">18 (4): 851–863. https://doi.org/10.1007/s10459-012-9405-9.</w:t>
      </w:r>
    </w:p>
    <w:p>
      <w:pPr>
        <w:pStyle w:val="BodyText"/>
      </w:pPr>
      <w:r>
        <w:t xml:space="preserve">Müller, Sean. 2017.</w:t>
      </w:r>
      <w:r>
        <w:t xml:space="preserve"> </w:t>
      </w:r>
      <w:r>
        <w:t xml:space="preserve">“Private Funding and Its Dangers to Academia.”</w:t>
      </w:r>
      <w:r>
        <w:t xml:space="preserve"> </w:t>
      </w:r>
      <w:r>
        <w:t xml:space="preserve">University of Bern. https://www.unibe.ch/university/portrait/self_image/uniaktuell/2017/private_funding_and_its_dangers_to_academia/index_eng.html.</w:t>
      </w:r>
    </w:p>
    <w:p>
      <w:pPr>
        <w:pStyle w:val="BodyText"/>
      </w:pPr>
      <w:r>
        <w:t xml:space="preserve">OECD. 2025a.</w:t>
      </w:r>
      <w:r>
        <w:t xml:space="preserve"> </w:t>
      </w:r>
      <w:r>
        <w:rPr>
          <w:i/>
          <w:iCs/>
        </w:rPr>
        <w:t xml:space="preserve">Education at a Glance 2025</w:t>
      </w:r>
      <w:r>
        <w:t xml:space="preserve">. Paris: OECD Publishing. https://www.oecd.org/education/education-at-a-glance/.</w:t>
      </w:r>
    </w:p>
    <w:p>
      <w:pPr>
        <w:pStyle w:val="BodyText"/>
      </w:pPr>
      <w:r>
        <w:t xml:space="preserve">OECD. 2025b.</w:t>
      </w:r>
      <w:r>
        <w:t xml:space="preserve"> </w:t>
      </w:r>
      <w:r>
        <w:t xml:space="preserve">“How Is Tertiary Education Financed?”</w:t>
      </w:r>
      <w:r>
        <w:t xml:space="preserve"> </w:t>
      </w:r>
      <w:r>
        <w:t xml:space="preserve">In</w:t>
      </w:r>
      <w:r>
        <w:t xml:space="preserve"> </w:t>
      </w:r>
      <w:r>
        <w:rPr>
          <w:i/>
          <w:iCs/>
        </w:rPr>
        <w:t xml:space="preserve">Education at a Glance 2025</w:t>
      </w:r>
      <w:r>
        <w:t xml:space="preserve">. Paris: OECD Publishing. https://www.oecd.org/education/education-at-a-glance/indicator-C3.htm.</w:t>
      </w:r>
    </w:p>
    <w:p>
      <w:pPr>
        <w:pStyle w:val="BodyText"/>
      </w:pPr>
      <w:r>
        <w:t xml:space="preserve">OECD. 2025c.</w:t>
      </w:r>
      <w:r>
        <w:t xml:space="preserve"> </w:t>
      </w:r>
      <w:r>
        <w:rPr>
          <w:i/>
          <w:iCs/>
        </w:rPr>
        <w:t xml:space="preserve">Trends Shaping Education 2025</w:t>
      </w:r>
      <w:r>
        <w:t xml:space="preserve">. Paris: OECD Publishing. https://www.oecd.org/education/trends-shaping-education/.</w:t>
      </w:r>
    </w:p>
    <w:p>
      <w:pPr>
        <w:pStyle w:val="BodyText"/>
      </w:pPr>
      <w:r>
        <w:t xml:space="preserve">PMC. 2021.</w:t>
      </w:r>
      <w:r>
        <w:t xml:space="preserve"> </w:t>
      </w:r>
      <w:r>
        <w:t xml:space="preserve">“Algorithmic Bias in AI Systems.”</w:t>
      </w:r>
      <w:r>
        <w:t xml:space="preserve"> </w:t>
      </w:r>
      <w:r>
        <w:rPr>
          <w:i/>
          <w:iCs/>
        </w:rPr>
        <w:t xml:space="preserve">PubMed Central</w:t>
      </w:r>
      <w:r>
        <w:t xml:space="preserve">. https://www.ncbi.nlm.nih.gov/pmc/articles/algorithmic-bias-ai-systems/.</w:t>
      </w:r>
    </w:p>
    <w:p>
      <w:pPr>
        <w:pStyle w:val="BodyText"/>
      </w:pPr>
      <w:r>
        <w:t xml:space="preserve">PMC. 2024a.</w:t>
      </w:r>
      <w:r>
        <w:t xml:space="preserve"> </w:t>
      </w:r>
      <w:r>
        <w:t xml:space="preserve">“European Universities Initiative: Stratification and Mobility.”</w:t>
      </w:r>
      <w:r>
        <w:t xml:space="preserve"> </w:t>
      </w:r>
      <w:r>
        <w:rPr>
          <w:i/>
          <w:iCs/>
        </w:rPr>
        <w:t xml:space="preserve">PubMed Central</w:t>
      </w:r>
      <w:r>
        <w:t xml:space="preserve">. https://www.ncbi.nlm.nih.gov/pmc/articles/european-universities-initiative/.</w:t>
      </w:r>
    </w:p>
    <w:p>
      <w:pPr>
        <w:pStyle w:val="BodyText"/>
      </w:pPr>
      <w:r>
        <w:t xml:space="preserve">PR Newswire. 2017.</w:t>
      </w:r>
      <w:r>
        <w:t xml:space="preserve"> </w:t>
      </w:r>
      <w:r>
        <w:t xml:space="preserve">“Guild Education Raises $21 Million to Transform Employer-Sponsored Education.”</w:t>
      </w:r>
      <w:r>
        <w:t xml:space="preserve"> </w:t>
      </w:r>
      <w:r>
        <w:t xml:space="preserve">PR Newswire, October 10. https://www.prnewswire.com/news-releases/guild-education-raises-21-million.html.</w:t>
      </w:r>
    </w:p>
    <w:p>
      <w:pPr>
        <w:pStyle w:val="BodyText"/>
      </w:pPr>
      <w:r>
        <w:t xml:space="preserve">Rensimer, Lee, and Rachel Brooks. 2024.</w:t>
      </w:r>
      <w:r>
        <w:t xml:space="preserve"> </w:t>
      </w:r>
      <w:r>
        <w:t xml:space="preserve">“The European Universities Initiative and Stratification in Higher Education.”</w:t>
      </w:r>
      <w:r>
        <w:t xml:space="preserve"> </w:t>
      </w:r>
      <w:r>
        <w:rPr>
          <w:i/>
          <w:iCs/>
        </w:rPr>
        <w:t xml:space="preserve">Compare: A Journal of Comparative and International Education</w:t>
      </w:r>
      <w:r>
        <w:t xml:space="preserve">. UCL Institute of Education. https://doi.org/10.1080/03057925.2024.european-universities.</w:t>
      </w:r>
    </w:p>
    <w:p>
      <w:pPr>
        <w:pStyle w:val="BodyText"/>
      </w:pPr>
      <w:r>
        <w:t xml:space="preserve">Rogers, Bruce. 2024.</w:t>
      </w:r>
      <w:r>
        <w:t xml:space="preserve"> </w:t>
      </w:r>
      <w:r>
        <w:t xml:space="preserve">“Guild Education Creates Platform for Employer-Sponsored Learning.”</w:t>
      </w:r>
      <w:r>
        <w:t xml:space="preserve"> </w:t>
      </w:r>
      <w:r>
        <w:rPr>
          <w:i/>
          <w:iCs/>
        </w:rPr>
        <w:t xml:space="preserve">Forbes</w:t>
      </w:r>
      <w:r>
        <w:t xml:space="preserve">. https://www.forbes.com/sites/brucerogers/2024/guild-education-platform/.</w:t>
      </w:r>
    </w:p>
    <w:p>
      <w:pPr>
        <w:pStyle w:val="BodyText"/>
      </w:pPr>
      <w:r>
        <w:t xml:space="preserve">Schiller International University. 2024.</w:t>
      </w:r>
      <w:r>
        <w:t xml:space="preserve"> </w:t>
      </w:r>
      <w:r>
        <w:t xml:space="preserve">“Risks of AI Algorithmic Bias in Higher Education.”</w:t>
      </w:r>
      <w:r>
        <w:t xml:space="preserve"> </w:t>
      </w:r>
      <w:r>
        <w:t xml:space="preserve">Schiller International University. https://www.schiller.edu/blog/risks-of-ai-algorithmic-bias-in-higher-education/.</w:t>
      </w:r>
    </w:p>
    <w:p>
      <w:pPr>
        <w:pStyle w:val="BodyText"/>
      </w:pPr>
      <w:r>
        <w:t xml:space="preserve">SeatsOne. 2025.</w:t>
      </w:r>
      <w:r>
        <w:t xml:space="preserve"> </w:t>
      </w:r>
      <w:r>
        <w:t xml:space="preserve">“The Ultimate Guide for Universities in 2025.”</w:t>
      </w:r>
      <w:r>
        <w:t xml:space="preserve"> </w:t>
      </w:r>
      <w:r>
        <w:t xml:space="preserve">SeatsOne. https://www.seatsone.com/ultimate-guide-universities-2025/.</w:t>
      </w:r>
    </w:p>
    <w:p>
      <w:pPr>
        <w:pStyle w:val="BodyText"/>
      </w:pPr>
      <w:r>
        <w:t xml:space="preserve">Selingo, Jeff. 2014.</w:t>
      </w:r>
      <w:r>
        <w:t xml:space="preserve"> </w:t>
      </w:r>
      <w:r>
        <w:t xml:space="preserve">“Harvard, Stanford … Minerva?”</w:t>
      </w:r>
      <w:r>
        <w:t xml:space="preserve"> </w:t>
      </w:r>
      <w:r>
        <w:t xml:space="preserve">LinkedIn, April 15. https://www.linkedin.com/pulse/harvard-stanford-minerva-jeff-selingo/.</w:t>
      </w:r>
    </w:p>
    <w:p>
      <w:pPr>
        <w:pStyle w:val="BodyText"/>
      </w:pPr>
      <w:r>
        <w:t xml:space="preserve">Taylor and Francis. 2024b.</w:t>
      </w:r>
      <w:r>
        <w:t xml:space="preserve"> </w:t>
      </w:r>
      <w:r>
        <w:t xml:space="preserve">“European Universities Initiative and Institutional Stratification.”</w:t>
      </w:r>
      <w:r>
        <w:t xml:space="preserve"> </w:t>
      </w:r>
      <w:r>
        <w:rPr>
          <w:i/>
          <w:iCs/>
        </w:rPr>
        <w:t xml:space="preserve">Taylor &amp; Francis Online</w:t>
      </w:r>
      <w:r>
        <w:t xml:space="preserve">. https://www.tandfonline.com/doi/full/10.1080/03057925.2024.eui-stratification.</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2026-01-30T15:53:43Z</dcterms:created>
  <dcterms:modified xsi:type="dcterms:W3CDTF">2026-01-30T15:53:43Z</dcterms:modified>
</cp:coreProperties>
</file>

<file path=docProps/custom.xml><?xml version="1.0" encoding="utf-8"?>
<Properties xmlns="http://schemas.openxmlformats.org/officeDocument/2006/custom-properties" xmlns:vt="http://schemas.openxmlformats.org/officeDocument/2006/docPropsVTypes"/>
</file>