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9defd2f55b7a4985093c838fad67b3b1a2a5ee6"/>
    <w:p>
      <w:pPr>
        <w:pStyle w:val="Heading1"/>
      </w:pPr>
      <w:r>
        <w:t xml:space="preserve">Universities as Public Institutions in an AI Era</w:t>
      </w:r>
    </w:p>
    <w:p>
      <w:pPr>
        <w:pStyle w:val="FirstParagraph"/>
      </w:pPr>
      <w:r>
        <w:t xml:space="preserve">The previous chapters have traced how AI is unbundling the university, how new models are emerging, who gets left behind, and how employers and platforms are reshaping the demand side of education. Much of that story emphasizes disruption, efficiency, and market alignment. This chapter asks a different question: What would we lose if universities became nothing more than credential factories optimized for employer satisfaction and platform economics?</w:t>
      </w:r>
    </w:p>
    <w:p>
      <w:pPr>
        <w:pStyle w:val="BodyText"/>
      </w:pPr>
      <w:r>
        <w:t xml:space="preserve">The answer, it turns out, is quite a lot. Universities are not just teaching machines. They are among the few institutions in modern societies that combine basic research, civic formation, cultural preservation, and open inquiry under one roof. An AI era does not eliminate the need for these functions. It makes them more urgent.</w:t>
      </w:r>
    </w:p>
    <w:bookmarkStart w:id="9" w:name="why-societies-still-need-universities"/>
    <w:p>
      <w:pPr>
        <w:pStyle w:val="Heading2"/>
      </w:pPr>
      <w:r>
        <w:t xml:space="preserve">Why Societies Still Need Universities</w:t>
      </w:r>
    </w:p>
    <w:p>
      <w:pPr>
        <w:pStyle w:val="FirstParagraph"/>
      </w:pPr>
      <w:r>
        <w:t xml:space="preserve">It is tempting to look at the rise of AI tutors, micro-credentials, and employer-sponsored learning ecosystems and conclude that universities have been outflanked. If content delivery can be automated, if credentials can be unbundled, and if employers can train their own workers, what purpose does the university still serve?</w:t>
      </w:r>
    </w:p>
    <w:p>
      <w:pPr>
        <w:pStyle w:val="BodyText"/>
      </w:pPr>
      <w:r>
        <w:t xml:space="preserve">The short answer is that universities do things no other institution is designed to do.</w:t>
      </w:r>
    </w:p>
    <w:p>
      <w:pPr>
        <w:numPr>
          <w:ilvl w:val="0"/>
          <w:numId w:val="1001"/>
        </w:numPr>
      </w:pPr>
      <w:r>
        <w:rPr>
          <w:b/>
          <w:bCs/>
        </w:rPr>
        <w:t xml:space="preserve">Research as a public good.</w:t>
      </w:r>
      <w:r>
        <w:t xml:space="preserve"> </w:t>
      </w:r>
      <w:r>
        <w:t xml:space="preserve">The most consequential knowledge breakthroughs of the past century – mRNA vaccines, the internet, CRISPR gene editing, the foundations of machine learning itself – emerged from decades of publicly funded basic research conducted at universities. This kind of research has no immediate customer. It follows questions rather than quarterly targets. It often fails. And it requires the kind of patient, long-horizon institutional commitment that neither corporations nor platforms are structured to provide. Companies invest in applied research that serves their product roadmaps. Governments fund mission-driven programs with political timelines. Universities, at their best, sustain inquiry across generations, allowing researchers to pursue questions whose payoff is uncertain and distant. Without this function, societies become dependent on private R&amp;D agendas and lose the capacity to generate knowledge that serves the public interest rather than shareholder value.</w:t>
      </w:r>
    </w:p>
    <w:p>
      <w:pPr>
        <w:numPr>
          <w:ilvl w:val="0"/>
          <w:numId w:val="1001"/>
        </w:numPr>
      </w:pPr>
      <w:r>
        <w:rPr>
          <w:b/>
          <w:bCs/>
        </w:rPr>
        <w:t xml:space="preserve">Democratic citizenship.</w:t>
      </w:r>
      <w:r>
        <w:t xml:space="preserve"> </w:t>
      </w:r>
      <w:r>
        <w:t xml:space="preserve">Universities have historically served as spaces where young people learn to argue, deliberate, encounter difference, and develop the habits of democratic participation. This is not a romantic abstraction. In a world saturated with AI-generated content, algorithmic recommendation systems, and deepfakes, the capacity to evaluate evidence, recognize manipulation, and engage in reasoned public discourse is not a luxury – it is infrastructure. If societies outsource education entirely to platforms and employers, they may produce skilled workers but not citizens equipped to sustain democratic governance.</w:t>
      </w:r>
    </w:p>
    <w:p>
      <w:pPr>
        <w:numPr>
          <w:ilvl w:val="0"/>
          <w:numId w:val="1001"/>
        </w:numPr>
      </w:pPr>
      <w:r>
        <w:rPr>
          <w:b/>
          <w:bCs/>
        </w:rPr>
        <w:t xml:space="preserve">Cultural memory and critical interpretation.</w:t>
      </w:r>
      <w:r>
        <w:t xml:space="preserve"> </w:t>
      </w:r>
      <w:r>
        <w:t xml:space="preserve">Universities house the humanities, the arts, and the social sciences – disciplines that preserve, interpret, and challenge cultural inheritance. Philosophy departments ask what a good life looks like. History departments examine how societies have failed and recovered. Literature programs cultivate the imaginative empathy required to understand experiences unlike one’s own. These functions do not show up in employer satisfaction surveys or skills-gap analyses. They are nonetheless essential to societies that want to understand themselves and make deliberate choices about their futures.</w:t>
      </w:r>
    </w:p>
    <w:p>
      <w:pPr>
        <w:numPr>
          <w:ilvl w:val="0"/>
          <w:numId w:val="1001"/>
        </w:numPr>
      </w:pPr>
      <w:r>
        <w:rPr>
          <w:b/>
          <w:bCs/>
        </w:rPr>
        <w:t xml:space="preserve">Local and regional development.</w:t>
      </w:r>
      <w:r>
        <w:t xml:space="preserve"> </w:t>
      </w:r>
      <w:r>
        <w:t xml:space="preserve">Universities anchor local economies, attract talent, sustain healthcare systems through teaching hospitals, and serve as civic institutions in their communities. A mid-sized city that loses its university does not just lose a school. It loses a research hub, a cultural center, an employer, and a node in networks of innovation and social mobility. Platform-based education, by contrast, is geographically indifferent. It can serve learners anywhere, but it anchors nothing.</w:t>
      </w:r>
    </w:p>
    <w:bookmarkEnd w:id="9"/>
    <w:bookmarkStart w:id="10" w:name="the-crucible-of-character-made-concrete"/>
    <w:p>
      <w:pPr>
        <w:pStyle w:val="Heading2"/>
      </w:pPr>
      <w:r>
        <w:t xml:space="preserve">The Crucible of Character – Made Concrete</w:t>
      </w:r>
    </w:p>
    <w:p>
      <w:pPr>
        <w:pStyle w:val="FirstParagraph"/>
      </w:pPr>
      <w:r>
        <w:t xml:space="preserve">Earlier in this book, we introduced the idea that surviving universities would become</w:t>
      </w:r>
      <w:r>
        <w:t xml:space="preserve"> </w:t>
      </w:r>
      <w:r>
        <w:t xml:space="preserve">“crucibles of character”</w:t>
      </w:r>
      <w:r>
        <w:t xml:space="preserve"> </w:t>
      </w:r>
      <w:r>
        <w:t xml:space="preserve">– environments that forge resilience, judgment, and identity rather than merely transmitting content. The critics rightly pointed out that this metaphor, while appealing, remained vague. What does a crucible of character actually look like in institutional practice?</w:t>
      </w:r>
    </w:p>
    <w:p>
      <w:pPr>
        <w:pStyle w:val="BodyText"/>
      </w:pPr>
      <w:r>
        <w:t xml:space="preserve">It looks like specific structures, experiences, and commitments that cannot be replicated by an AI tutor or a micro-credential platform.</w:t>
      </w:r>
    </w:p>
    <w:p>
      <w:pPr>
        <w:numPr>
          <w:ilvl w:val="0"/>
          <w:numId w:val="1002"/>
        </w:numPr>
      </w:pPr>
      <w:r>
        <w:rPr>
          <w:b/>
          <w:bCs/>
        </w:rPr>
        <w:t xml:space="preserve">Residential and cohort experiences.</w:t>
      </w:r>
      <w:r>
        <w:t xml:space="preserve"> </w:t>
      </w:r>
      <w:r>
        <w:t xml:space="preserve">Living alongside people from different backgrounds, negotiating shared spaces, managing conflict without parental intervention, and building friendships across lines of difference – these experiences are formative in ways that online interaction cannot reproduce. The residential college is not an outdated luxury. It is a structured environment for developing social competence, emotional resilience, and the capacity to live with disagreement. Not every student needs four years of residential education, but the developmental value of even one or two years of intensive community living is well documented and difficult to replicate digitally.</w:t>
      </w:r>
    </w:p>
    <w:p>
      <w:pPr>
        <w:numPr>
          <w:ilvl w:val="0"/>
          <w:numId w:val="1002"/>
        </w:numPr>
      </w:pPr>
      <w:r>
        <w:rPr>
          <w:b/>
          <w:bCs/>
        </w:rPr>
        <w:t xml:space="preserve">Project-based community work.</w:t>
      </w:r>
      <w:r>
        <w:t xml:space="preserve"> </w:t>
      </w:r>
      <w:r>
        <w:t xml:space="preserve">Students who spend a semester working with a local nonprofit on affordable housing policy, or collaborating with a municipal government on climate adaptation planning, learn things that no simulation can teach: how institutions actually function, how stakeholders with competing interests negotiate, how good intentions collide with bureaucratic reality. These experiences ground abstract knowledge in practical judgment. They also connect universities to their communities in ways that create mutual accountability.</w:t>
      </w:r>
    </w:p>
    <w:p>
      <w:pPr>
        <w:numPr>
          <w:ilvl w:val="0"/>
          <w:numId w:val="1002"/>
        </w:numPr>
      </w:pPr>
      <w:r>
        <w:rPr>
          <w:b/>
          <w:bCs/>
        </w:rPr>
        <w:t xml:space="preserve">Deliberative forums and democratic practice.</w:t>
      </w:r>
      <w:r>
        <w:t xml:space="preserve"> </w:t>
      </w:r>
      <w:r>
        <w:t xml:space="preserve">Student governments, town halls, and structured debates are not extracurricular decorations. They are laboratories for democratic competence. When students must craft arguments, listen to opposing views, build coalitions, and accept outcomes they disagree with, they develop capacities essential for citizenship. Universities that treat these activities as optional enrichment rather than core pedagogy miss an opportunity that no employer or platform will fill.</w:t>
      </w:r>
    </w:p>
    <w:p>
      <w:pPr>
        <w:numPr>
          <w:ilvl w:val="0"/>
          <w:numId w:val="1002"/>
        </w:numPr>
      </w:pPr>
      <w:r>
        <w:rPr>
          <w:b/>
          <w:bCs/>
        </w:rPr>
        <w:t xml:space="preserve">Student newspapers, journals, and creative outlets.</w:t>
      </w:r>
      <w:r>
        <w:t xml:space="preserve"> </w:t>
      </w:r>
      <w:r>
        <w:t xml:space="preserve">Running a student newspaper requires editorial judgment, ethical reasoning, collaboration under deadline pressure, and accountability to a real audience. These are precisely the capacities that AI makes more important, not less. When anyone can generate polished text in seconds, the ability to distinguish credible reporting from plausible fabrication becomes a survival skill. Student media, literary journals, theater productions, and art exhibitions are not relics. They are training grounds for the critical and creative capacities that define human contribution in an AI-saturated world.</w:t>
      </w:r>
    </w:p>
    <w:p>
      <w:pPr>
        <w:numPr>
          <w:ilvl w:val="0"/>
          <w:numId w:val="1002"/>
        </w:numPr>
      </w:pPr>
      <w:r>
        <w:rPr>
          <w:b/>
          <w:bCs/>
        </w:rPr>
        <w:t xml:space="preserve">Debate clubs and intellectual sparring.</w:t>
      </w:r>
      <w:r>
        <w:t xml:space="preserve"> </w:t>
      </w:r>
      <w:r>
        <w:t xml:space="preserve">Formal and informal debate cultivates the ability to construct and dismantle arguments, to think on one’s feet, to hold positions provisionally and revise them in light of evidence. These are skills that AI can simulate but not instill. The experience of being publicly wrong, of having one’s reasoning dismantled by a peer, and of rebuilding a stronger argument is developmental in a way that interacting with a chatbot is not.</w:t>
      </w:r>
    </w:p>
    <w:p>
      <w:pPr>
        <w:numPr>
          <w:ilvl w:val="0"/>
          <w:numId w:val="1002"/>
        </w:numPr>
      </w:pPr>
      <w:r>
        <w:rPr>
          <w:b/>
          <w:bCs/>
        </w:rPr>
        <w:t xml:space="preserve">Long-term basic science laboratories.</w:t>
      </w:r>
      <w:r>
        <w:t xml:space="preserve"> </w:t>
      </w:r>
      <w:r>
        <w:t xml:space="preserve">Undergraduate and graduate students who spend years in a research lab – designing experiments, confronting failure, learning to interpret ambiguous data, contributing to knowledge that will not be published for years – develop intellectual patience and rigor that no short-form credential program can cultivate. The lab is a crucible in the most literal sense: it subjects students to sustained intellectual pressure and produces durable capacities for original thought.</w:t>
      </w:r>
    </w:p>
    <w:p>
      <w:pPr>
        <w:pStyle w:val="FirstParagraph"/>
      </w:pPr>
      <w:r>
        <w:t xml:space="preserve">The common thread is that these experiences involve friction, stakes, and human interaction in ways that cannot be compressed into a module or automated by an algorithm. They require physical or temporal co-presence, genuine risk, and accountability to real people. This is what the crucible metaphor means in practice.</w:t>
      </w:r>
    </w:p>
    <w:bookmarkEnd w:id="10"/>
    <w:bookmarkStart w:id="11" w:name="X98ed537b549ef743596aead64e03f6cdc9c012b"/>
    <w:p>
      <w:pPr>
        <w:pStyle w:val="Heading2"/>
      </w:pPr>
      <w:r>
        <w:t xml:space="preserve">Academic Freedom and Institutional Autonomy in an AI Era</w:t>
      </w:r>
    </w:p>
    <w:p>
      <w:pPr>
        <w:pStyle w:val="FirstParagraph"/>
      </w:pPr>
      <w:r>
        <w:t xml:space="preserve">Academic freedom – the right of scholars to pursue research and teach without political or commercial interference – has always faced threats. In the AI era, the threats take new forms that universities are not yet well equipped to handle.</w:t>
      </w:r>
    </w:p>
    <w:p>
      <w:pPr>
        <w:numPr>
          <w:ilvl w:val="0"/>
          <w:numId w:val="1003"/>
        </w:numPr>
      </w:pPr>
      <w:r>
        <w:rPr>
          <w:b/>
          <w:bCs/>
        </w:rPr>
        <w:t xml:space="preserve">Platform dependence.</w:t>
      </w:r>
      <w:r>
        <w:t xml:space="preserve"> </w:t>
      </w:r>
      <w:r>
        <w:t xml:space="preserve">As universities adopt AI-powered learning platforms, adaptive tutoring systems, and cloud-based research infrastructure, they become dependent on a small number of technology companies for core functions. This dependence creates risks. Platform providers make design decisions that shape pedagogy: what gets measured, what gets optimized, what counts as progress. When a university’s learning management system is built on a proprietary AI engine, the company that controls the engine has subtle but real influence over what and how students learn. If the platform changes its terms, raises prices, or is acquired, the university may find that its core educational infrastructure is controlled by an entity with no obligation to academic values.</w:t>
      </w:r>
    </w:p>
    <w:p>
      <w:pPr>
        <w:numPr>
          <w:ilvl w:val="0"/>
          <w:numId w:val="1003"/>
        </w:numPr>
      </w:pPr>
      <w:r>
        <w:rPr>
          <w:b/>
          <w:bCs/>
        </w:rPr>
        <w:t xml:space="preserve">Data sovereignty and research integrity.</w:t>
      </w:r>
      <w:r>
        <w:t xml:space="preserve"> </w:t>
      </w:r>
      <w:r>
        <w:t xml:space="preserve">AI research increasingly depends on access to large datasets, cloud computing resources, and proprietary models. Universities that rely on commercial providers for these resources face questions about who owns the data, who controls the models, and whether research findings can be independently verified when they depend on closed systems. The principle that research should be transparent and reproducible is difficult to uphold when critical infrastructure is proprietary.</w:t>
      </w:r>
    </w:p>
    <w:p>
      <w:pPr>
        <w:numPr>
          <w:ilvl w:val="0"/>
          <w:numId w:val="1003"/>
        </w:numPr>
      </w:pPr>
      <w:r>
        <w:rPr>
          <w:b/>
          <w:bCs/>
        </w:rPr>
        <w:t xml:space="preserve">Political and commercial pressure on inquiry.</w:t>
      </w:r>
      <w:r>
        <w:t xml:space="preserve"> </w:t>
      </w:r>
      <w:r>
        <w:t xml:space="preserve">AI-generated content and algorithmic amplification make it easier for political actors and commercial interests to target researchers whose findings are inconvenient. Climate scientists, public health researchers, and scholars studying platform harms have already experienced coordinated harassment campaigns amplified by social media algorithms. Universities must develop governance structures and support systems that protect researchers in this environment, rather than leaving individual scholars to fend for themselves against algorithmically scaled pressure.</w:t>
      </w:r>
    </w:p>
    <w:p>
      <w:pPr>
        <w:numPr>
          <w:ilvl w:val="0"/>
          <w:numId w:val="1003"/>
        </w:numPr>
      </w:pPr>
      <w:r>
        <w:rPr>
          <w:b/>
          <w:bCs/>
        </w:rPr>
        <w:t xml:space="preserve">Governance challenges.</w:t>
      </w:r>
      <w:r>
        <w:t xml:space="preserve"> </w:t>
      </w:r>
      <w:r>
        <w:t xml:space="preserve">University governance structures – senates, boards, faculty committees – were designed for a slower, more stable institutional environment. They are often poorly equipped to make rapid decisions about AI adoption, data partnerships, and platform contracts. The risk is that these decisions get made by administrators or technology offices without meaningful faculty input, eroding the shared governance that protects academic freedom. Universities need governance mechanisms that can move at the speed of technology adoption while preserving the deliberative processes that protect institutional autonomy.</w:t>
      </w:r>
    </w:p>
    <w:bookmarkEnd w:id="11"/>
    <w:bookmarkStart w:id="12" w:name="funding-models-for-the-hybrid-university"/>
    <w:p>
      <w:pPr>
        <w:pStyle w:val="Heading2"/>
      </w:pPr>
      <w:r>
        <w:t xml:space="preserve">Funding Models for the Hybrid University</w:t>
      </w:r>
    </w:p>
    <w:p>
      <w:pPr>
        <w:pStyle w:val="FirstParagraph"/>
      </w:pPr>
      <w:r>
        <w:t xml:space="preserve">One of the hardest practical questions is how universities can sustain their public mission – research, civic education, cultural preservation, equitable access – while adapting to a world of modular credentials, corporate partnerships, and platform economics. The answer is not a single funding model but a diversified architecture that protects core functions from market volatility.</w:t>
      </w:r>
    </w:p>
    <w:p>
      <w:pPr>
        <w:numPr>
          <w:ilvl w:val="0"/>
          <w:numId w:val="1004"/>
        </w:numPr>
      </w:pPr>
      <w:r>
        <w:rPr>
          <w:b/>
          <w:bCs/>
        </w:rPr>
        <w:t xml:space="preserve">Public funding as the anchor.</w:t>
      </w:r>
      <w:r>
        <w:t xml:space="preserve"> </w:t>
      </w:r>
      <w:r>
        <w:t xml:space="preserve">Basic research, civic education, and equitable access are public goods. They generate benefits that cannot be captured by individual consumers or employers, which means markets will systematically underfund them. Public funding – whether from national governments, regional authorities, or supranational bodies like the European Commission – remains the indispensable foundation. The trend toward performance-based funding formulas that reward completion rates and employment outcomes is understandable but dangerous: it incentivizes universities to optimize for measurable short-term outputs at the expense of long-term research and broad human development. Funding formulas must include metrics that protect basic research capacity, humanities and social science programs, and access for underrepresented populations.</w:t>
      </w:r>
    </w:p>
    <w:p>
      <w:pPr>
        <w:numPr>
          <w:ilvl w:val="0"/>
          <w:numId w:val="1004"/>
        </w:numPr>
      </w:pPr>
      <w:r>
        <w:rPr>
          <w:b/>
          <w:bCs/>
        </w:rPr>
        <w:t xml:space="preserve">Tuition as a contribution, not a price.</w:t>
      </w:r>
      <w:r>
        <w:t xml:space="preserve"> </w:t>
      </w:r>
      <w:r>
        <w:t xml:space="preserve">Tuition serves a legitimate function: it signals that education has value, and it provides revenue. But when tuition becomes the primary funding source, universities become consumer-service organizations that optimize for enrollment and satisfaction rather than intellectual rigor and public mission. The hybrid model requires tuition to be one revenue stream among several, kept at levels that do not create prohibitive debt or exclude lower-income students. Income-contingent repayment systems, means-tested fee structures, and publicly funded tuition subsidies are all mechanisms that can keep tuition functional without making it dominant.</w:t>
      </w:r>
    </w:p>
    <w:p>
      <w:pPr>
        <w:numPr>
          <w:ilvl w:val="0"/>
          <w:numId w:val="1004"/>
        </w:numPr>
      </w:pPr>
      <w:r>
        <w:rPr>
          <w:b/>
          <w:bCs/>
        </w:rPr>
        <w:t xml:space="preserve">Corporate partnerships with guardrails.</w:t>
      </w:r>
      <w:r>
        <w:t xml:space="preserve"> </w:t>
      </w:r>
      <w:r>
        <w:t xml:space="preserve">Employer-sponsored learning, co-designed curricula, and industry research partnerships can provide significant revenue and ensure labor-market relevance. The risk, as the chapter on pitfalls documented, is corporate capture: universities tailoring programs to employer specifications at the expense of critical inquiry and broad education. The guardrail is structural separation. Universities can offer employer-aligned professional certificates and micro-credentials through continuing education divisions while protecting the autonomy of degree programs, research agendas, and core curricula from direct corporate influence. Revenue from corporate partnerships should cross-subsidize public-good functions rather than replace public funding.</w:t>
      </w:r>
    </w:p>
    <w:p>
      <w:pPr>
        <w:numPr>
          <w:ilvl w:val="0"/>
          <w:numId w:val="1004"/>
        </w:numPr>
      </w:pPr>
      <w:r>
        <w:rPr>
          <w:b/>
          <w:bCs/>
        </w:rPr>
        <w:t xml:space="preserve">Platform and credential revenue.</w:t>
      </w:r>
      <w:r>
        <w:t xml:space="preserve"> </w:t>
      </w:r>
      <w:r>
        <w:t xml:space="preserve">As universities develop online offerings, micro-credentials, and digital learning platforms, they can generate revenue from learners beyond their traditional student body. This is a legitimate and potentially significant income stream, but it must be managed carefully. If platform revenue becomes the dominant revenue source, it will drive the same consumer-optimization dynamics as tuition dependence. Platform offerings should be designed as complements to, not substitutes for, the residential, research-intensive, and civic functions that define the university’s public role.</w:t>
      </w:r>
    </w:p>
    <w:p>
      <w:pPr>
        <w:numPr>
          <w:ilvl w:val="0"/>
          <w:numId w:val="1004"/>
        </w:numPr>
      </w:pPr>
      <w:r>
        <w:rPr>
          <w:b/>
          <w:bCs/>
        </w:rPr>
        <w:t xml:space="preserve">Endowments and philanthropy.</w:t>
      </w:r>
      <w:r>
        <w:t xml:space="preserve"> </w:t>
      </w:r>
      <w:r>
        <w:t xml:space="preserve">For institutions that have them, endowments provide a crucial buffer against market fluctuations and political shifts. But endowments are radically unequal: a handful of elite institutions control the vast majority of endowment wealth. Philanthropy can fund innovation and experimentation, but it cannot substitute for systemic public investment in higher education.</w:t>
      </w:r>
    </w:p>
    <w:p>
      <w:pPr>
        <w:pStyle w:val="FirstParagraph"/>
      </w:pPr>
      <w:r>
        <w:t xml:space="preserve">The key principle is diversification with purpose. Each revenue stream serves different functions, and each carries different risks. A university that depends on any single source – whether public funding, tuition, corporate revenue, or platform income – will eventually have its mission shaped by that source’s incentives. The hybrid funding model protects the public mission by ensuring that no single funder has veto power over institutional direction.</w:t>
      </w:r>
    </w:p>
    <w:bookmarkEnd w:id="12"/>
    <w:bookmarkStart w:id="13" w:name="the-risk-of-mission-drift"/>
    <w:p>
      <w:pPr>
        <w:pStyle w:val="Heading2"/>
      </w:pPr>
      <w:r>
        <w:t xml:space="preserve">The Risk of Mission Drift</w:t>
      </w:r>
    </w:p>
    <w:p>
      <w:pPr>
        <w:pStyle w:val="FirstParagraph"/>
      </w:pPr>
      <w:r>
        <w:t xml:space="preserve">The most insidious threat to universities in the AI era is not disruption from outside but drift from within. Mission drift happens when the metrics institutions optimize for gradually replace the purposes those metrics were meant to serve.</w:t>
      </w:r>
    </w:p>
    <w:p>
      <w:pPr>
        <w:numPr>
          <w:ilvl w:val="0"/>
          <w:numId w:val="1005"/>
        </w:numPr>
      </w:pPr>
      <w:r>
        <w:rPr>
          <w:b/>
          <w:bCs/>
        </w:rPr>
        <w:t xml:space="preserve">When efficiency crowds out inquiry.</w:t>
      </w:r>
      <w:r>
        <w:t xml:space="preserve"> </w:t>
      </w:r>
      <w:r>
        <w:t xml:space="preserve">AI makes it possible to measure and optimize many aspects of education: completion rates, time-to-degree, employer satisfaction, skills alignment. These metrics are useful, but they are not the mission. When universities are evaluated primarily on efficiency and labor-market outcomes, they will rationally invest in programs that produce measurable results quickly – vocational training, professional certificates, employer-aligned curricula – and disinvest in programs whose value is harder to quantify: philosophy, history, pure mathematics, basic science, the arts. This is not a hypothetical concern. It is already happening at institutions under performance-based funding pressure.</w:t>
      </w:r>
    </w:p>
    <w:p>
      <w:pPr>
        <w:numPr>
          <w:ilvl w:val="0"/>
          <w:numId w:val="1005"/>
        </w:numPr>
      </w:pPr>
      <w:r>
        <w:rPr>
          <w:b/>
          <w:bCs/>
        </w:rPr>
        <w:t xml:space="preserve">When employer alignment replaces broad education.</w:t>
      </w:r>
      <w:r>
        <w:t xml:space="preserve"> </w:t>
      </w:r>
      <w:r>
        <w:t xml:space="preserve">The emphasis on skills-based hiring and employer co-design is valuable within limits. But when universities allow employer demand to dictate curriculum design, they become training facilities rather than educational institutions. Training prepares people for the jobs that exist today. Education prepares people to create the jobs, ideas, and institutions of tomorrow. A university system optimized entirely for current employer needs will produce a workforce well suited to the present and poorly equipped for an uncertain future – precisely the opposite of what an era of rapid change requires.</w:t>
      </w:r>
    </w:p>
    <w:p>
      <w:pPr>
        <w:numPr>
          <w:ilvl w:val="0"/>
          <w:numId w:val="1005"/>
        </w:numPr>
      </w:pPr>
      <w:r>
        <w:rPr>
          <w:b/>
          <w:bCs/>
        </w:rPr>
        <w:t xml:space="preserve">When liberal arts become optional.</w:t>
      </w:r>
      <w:r>
        <w:t xml:space="preserve"> </w:t>
      </w:r>
      <w:r>
        <w:t xml:space="preserve">The humanities and social sciences are often the first casualties of mission drift, because their value is diffuse and long-term. A literature course does not produce a measurable skill. A philosophy seminar does not align with a job description. But these disciplines cultivate the interpretive, ethical, and critical capacities that distinguish education from training. In an AI era, where machines can perform an expanding range of technical tasks, the distinctively human capacities fostered by liberal education – moral reasoning, aesthetic judgment, historical perspective, imaginative empathy – become more valuable, not less. Universities that treat liberal arts as dispensable luxuries are discarding their most important asset.</w:t>
      </w:r>
    </w:p>
    <w:p>
      <w:pPr>
        <w:numPr>
          <w:ilvl w:val="0"/>
          <w:numId w:val="1005"/>
        </w:numPr>
      </w:pPr>
      <w:r>
        <w:rPr>
          <w:b/>
          <w:bCs/>
        </w:rPr>
        <w:t xml:space="preserve">When civic education disappears from the curriculum.</w:t>
      </w:r>
      <w:r>
        <w:t xml:space="preserve"> </w:t>
      </w:r>
      <w:r>
        <w:t xml:space="preserve">Democratic citizenship is not a natural byproduct of technical competence. It requires deliberate cultivation: exposure to diverse perspectives, practice in deliberation, understanding of institutional design, and engagement with the ethical dimensions of public life. When universities optimize for employment outcomes and credential efficiency, civic education is the silent casualty. No employer asks for it. No ranking system measures it. And no society can sustain democratic governance without it.</w:t>
      </w:r>
    </w:p>
    <w:p>
      <w:pPr>
        <w:pStyle w:val="FirstParagraph"/>
      </w:pPr>
      <w:r>
        <w:t xml:space="preserve">Guarding against mission drift requires institutional leadership that articulates and defends the university’s public purpose, governance structures that give faculty a meaningful voice in strategic decisions, and funding models that do not force universities to choose between financial survival and intellectual integrity.</w:t>
      </w:r>
    </w:p>
    <w:bookmarkEnd w:id="13"/>
    <w:bookmarkStart w:id="14" w:name="design-anchors-for-the-ai-era-university"/>
    <w:p>
      <w:pPr>
        <w:pStyle w:val="Heading2"/>
      </w:pPr>
      <w:r>
        <w:t xml:space="preserve">Design Anchors for the AI-Era University</w:t>
      </w:r>
    </w:p>
    <w:p>
      <w:pPr>
        <w:pStyle w:val="FirstParagraph"/>
      </w:pPr>
      <w:r>
        <w:t xml:space="preserve">What would it mean to design universities for the AI era without abandoning the functions that make them irreplaceable? The following principles are not a blueprint. They are anchors – commitments that should constrain institutional design choices even as universities adapt to new technologies, new funding models, and new forms of credentialing.</w:t>
      </w:r>
    </w:p>
    <w:p>
      <w:pPr>
        <w:pStyle w:val="BodyText"/>
      </w:pPr>
      <w:r>
        <w:rPr>
          <w:b/>
          <w:bCs/>
        </w:rPr>
        <w:t xml:space="preserve">1. Research is non-negotiable.</w:t>
      </w:r>
      <w:r>
        <w:t xml:space="preserve"> </w:t>
      </w:r>
      <w:r>
        <w:t xml:space="preserve">A university that does not conduct research is a teaching college. Teaching colleges serve important functions, but they are not universities. The AI-era university must protect its research mission – including basic research with no immediate application – as a core institutional commitment, not a residual activity funded from whatever is left over after teaching and administration. This means dedicated research funding streams, protected time for faculty scholarship, and institutional cultures that value discovery alongside instruction.</w:t>
      </w:r>
    </w:p>
    <w:p>
      <w:pPr>
        <w:pStyle w:val="BodyText"/>
      </w:pPr>
      <w:r>
        <w:rPr>
          <w:b/>
          <w:bCs/>
        </w:rPr>
        <w:t xml:space="preserve">2. Democratic citizenship is a curriculum element, not an extracurricular option.</w:t>
      </w:r>
      <w:r>
        <w:t xml:space="preserve"> </w:t>
      </w:r>
      <w:r>
        <w:t xml:space="preserve">Every student who passes through a university should encounter structured opportunities to practice deliberation, engage with perspectives unlike their own, and develop the habits of democratic participation. This can take many forms – deliberative seminars, community-engaged learning, ethics courses embedded in professional programs, student governance with real authority – but it must be intentional and universal, not left to self-selected student organizations.</w:t>
      </w:r>
    </w:p>
    <w:p>
      <w:pPr>
        <w:pStyle w:val="BodyText"/>
      </w:pPr>
      <w:r>
        <w:rPr>
          <w:b/>
          <w:bCs/>
        </w:rPr>
        <w:t xml:space="preserve">3. Public accountability is a structural requirement.</w:t>
      </w:r>
      <w:r>
        <w:t xml:space="preserve"> </w:t>
      </w:r>
      <w:r>
        <w:t xml:space="preserve">Universities that receive public funding, grant credentials recognized by the state, or enjoy tax-exempt status have obligations to the public that go beyond satisfying their customers. They should publish transparent data on research outcomes, student demographics, completion rates by population, and the allocation of resources between teaching, research, and administration. Public accountability does not mean managerial control. It means that universities must be able to explain what they do and why it matters in terms the public can evaluate.</w:t>
      </w:r>
    </w:p>
    <w:p>
      <w:pPr>
        <w:pStyle w:val="BodyText"/>
      </w:pPr>
      <w:r>
        <w:rPr>
          <w:b/>
          <w:bCs/>
        </w:rPr>
        <w:t xml:space="preserve">4. Equitable access is a design constraint, not an aspiration.</w:t>
      </w:r>
      <w:r>
        <w:t xml:space="preserve"> </w:t>
      </w:r>
      <w:r>
        <w:t xml:space="preserve">Every institutional design choice – from tuition levels to program formats to admissions criteria to technology requirements – either expands or narrows who can participate. The AI-era university must treat access as a binding constraint on innovation: no new program, credential, or technology should be adopted without asking who it excludes and how exclusion can be mitigated. This is not a call for uniformity. It is a requirement that innovation serve the many, not just the self-directed, digitally fluent, and financially secure.</w:t>
      </w:r>
    </w:p>
    <w:p>
      <w:pPr>
        <w:pStyle w:val="BodyText"/>
      </w:pPr>
      <w:r>
        <w:rPr>
          <w:b/>
          <w:bCs/>
        </w:rPr>
        <w:t xml:space="preserve">5. Human oversight of AI systems is mandatory.</w:t>
      </w:r>
      <w:r>
        <w:t xml:space="preserve"> </w:t>
      </w:r>
      <w:r>
        <w:t xml:space="preserve">AI should augment teaching, research, and administration, but consequential decisions about students – admissions, assessment, academic standing, support interventions – must involve human judgment. Algorithms should be audited regularly for bias, their logic should be explainable to affected students, and institutions should maintain the capacity to override automated recommendations. The principle is simple: AI is a tool, not a decision-maker. Universities that cede consequential decisions to opaque algorithms betray their obligation to treat students as persons, not data points.</w:t>
      </w:r>
    </w:p>
    <w:p>
      <w:pPr>
        <w:pStyle w:val="BodyText"/>
      </w:pPr>
      <w:r>
        <w:rPr>
          <w:b/>
          <w:bCs/>
        </w:rPr>
        <w:t xml:space="preserve">6. Institutional autonomy must be actively defended.</w:t>
      </w:r>
      <w:r>
        <w:t xml:space="preserve"> </w:t>
      </w:r>
      <w:r>
        <w:t xml:space="preserve">In an era of platform dependence, political polarization, and commercial pressure, universities must build and maintain the structural conditions for independent inquiry. This means diversified funding, robust governance, legal protections for academic freedom, and the institutional courage to resist external pressure when it conflicts with the university’s public mission. Autonomy is not a privilege. It is a precondition for the university to fulfill its social contract.</w:t>
      </w:r>
    </w:p>
    <w:bookmarkEnd w:id="14"/>
    <w:bookmarkStart w:id="15" w:name="conclusion"/>
    <w:p>
      <w:pPr>
        <w:pStyle w:val="Heading2"/>
      </w:pPr>
      <w:r>
        <w:t xml:space="preserve">Conclusion</w:t>
      </w:r>
    </w:p>
    <w:p>
      <w:pPr>
        <w:pStyle w:val="FirstParagraph"/>
      </w:pPr>
      <w:r>
        <w:t xml:space="preserve">The AI era will transform universities. It should. Many of the reforms discussed in earlier chapters – competency-based learning, modular credentials, adaptive tutoring, employer partnerships, transnational alliances – address real problems and offer real benefits. But transformation without purpose is just disruption. And disruption without design anchors risks producing institutions that are efficient, modular, and market-responsive but no longer recognizably universities.</w:t>
      </w:r>
    </w:p>
    <w:p>
      <w:pPr>
        <w:pStyle w:val="BodyText"/>
      </w:pPr>
      <w:r>
        <w:t xml:space="preserve">The argument of this chapter is that societies need universities to do things that no other institution will do: sustain basic research, cultivate democratic citizenship, preserve and challenge cultural memory, anchor local communities, and protect the conditions for independent inquiry. These functions are not obstacles to innovation. They are the reasons innovation matters. A university that optimizes for efficiency at the expense of its public mission has not adapted to the future. It has surrendered its reason for existing.</w:t>
      </w:r>
    </w:p>
    <w:p>
      <w:pPr>
        <w:pStyle w:val="BodyText"/>
      </w:pPr>
      <w:r>
        <w:t xml:space="preserve">The AI-era university will be hybrid: partly online and partly residential, partly modular and partly integrated, partly employer-aligned and partly independent, partly automated and partly irreducibly human. The challenge is not to choose between tradition and innovation but to hold both in productive tension – embracing new tools and models while defending the commitments that make universities worth saving.</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2026-01-30T15:53:43Z</dcterms:created>
  <dcterms:modified xsi:type="dcterms:W3CDTF">2026-01-30T15:53:43Z</dcterms:modified>
</cp:coreProperties>
</file>

<file path=docProps/custom.xml><?xml version="1.0" encoding="utf-8"?>
<Properties xmlns="http://schemas.openxmlformats.org/officeDocument/2006/custom-properties" xmlns:vt="http://schemas.openxmlformats.org/officeDocument/2006/docPropsVTypes"/>
</file>