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FCD9" w14:textId="77777777" w:rsidR="00B21121" w:rsidRPr="00D8730A" w:rsidRDefault="00000000">
      <w:pPr>
        <w:spacing w:after="40"/>
        <w:rPr>
          <w:rFonts w:ascii="Times New Roman" w:hAnsi="Times New Roman" w:cs="Times New Roman"/>
        </w:rPr>
      </w:pPr>
      <w:r w:rsidRPr="00D8730A">
        <w:rPr>
          <w:rFonts w:ascii="Times New Roman" w:hAnsi="Times New Roman" w:cs="Times New Roman"/>
          <w:b/>
          <w:bCs/>
          <w:sz w:val="30"/>
          <w:szCs w:val="30"/>
        </w:rPr>
        <w:t>Datacenter REIT Stability and Growth</w:t>
      </w:r>
    </w:p>
    <w:p w14:paraId="370FFFCD" w14:textId="77777777" w:rsidR="00B21121" w:rsidRPr="00D8730A" w:rsidRDefault="00000000">
      <w:pPr>
        <w:spacing w:after="30"/>
        <w:rPr>
          <w:rFonts w:ascii="Times New Roman" w:hAnsi="Times New Roman" w:cs="Times New Roman"/>
        </w:rPr>
      </w:pPr>
      <w:r w:rsidRPr="00D8730A">
        <w:rPr>
          <w:rFonts w:ascii="Times New Roman" w:hAnsi="Times New Roman" w:cs="Times New Roman"/>
          <w:sz w:val="20"/>
          <w:szCs w:val="20"/>
        </w:rPr>
        <w:t>Committee summary  ·  EQIX, DLR, IRM  ·  trailing twelve months</w:t>
      </w:r>
    </w:p>
    <w:p w14:paraId="7BD535AF" w14:textId="77777777" w:rsidR="00B21121" w:rsidRPr="00D8730A" w:rsidRDefault="00000000">
      <w:pPr>
        <w:pBdr>
          <w:bottom w:val="single" w:sz="6" w:space="1" w:color="1F3A5F"/>
        </w:pBdr>
        <w:spacing w:after="60"/>
        <w:rPr>
          <w:rFonts w:ascii="Times New Roman" w:hAnsi="Times New Roman" w:cs="Times New Roman"/>
        </w:rPr>
      </w:pPr>
      <w:r w:rsidRPr="00D8730A">
        <w:rPr>
          <w:rFonts w:ascii="Times New Roman" w:hAnsi="Times New Roman" w:cs="Times New Roman"/>
          <w:sz w:val="18"/>
          <w:szCs w:val="18"/>
        </w:rPr>
        <w:t>Prepared by C. Davenport for S. Chen and the Investment Committee</w:t>
      </w:r>
    </w:p>
    <w:p w14:paraId="3D796F17" w14:textId="77777777" w:rsidR="00B21121" w:rsidRPr="00D8730A" w:rsidRDefault="00000000">
      <w:pPr>
        <w:spacing w:before="120" w:after="60"/>
        <w:rPr>
          <w:rFonts w:ascii="Times New Roman" w:hAnsi="Times New Roman" w:cs="Times New Roman"/>
        </w:rPr>
      </w:pPr>
      <w:r w:rsidRPr="00D8730A">
        <w:rPr>
          <w:rFonts w:ascii="Times New Roman" w:hAnsi="Times New Roman" w:cs="Times New Roman"/>
          <w:b/>
          <w:bCs/>
          <w:sz w:val="22"/>
          <w:szCs w:val="22"/>
        </w:rPr>
        <w:t>Bottom line</w:t>
      </w:r>
    </w:p>
    <w:p w14:paraId="76A78A36" w14:textId="77777777" w:rsidR="00B21121" w:rsidRPr="00D8730A" w:rsidRDefault="00000000">
      <w:pPr>
        <w:spacing w:before="60" w:after="100"/>
        <w:jc w:val="both"/>
        <w:rPr>
          <w:rFonts w:ascii="Times New Roman" w:hAnsi="Times New Roman" w:cs="Times New Roman"/>
        </w:rPr>
      </w:pPr>
      <w:r w:rsidRPr="00D8730A">
        <w:rPr>
          <w:rFonts w:ascii="Times New Roman" w:hAnsi="Times New Roman" w:cs="Times New Roman"/>
        </w:rPr>
        <w:t xml:space="preserve">Of the three datacenter REITs examined, Equinix was the strongest performer over the past year, in that it grew the most, grew the most consistently, and was the calmest of the three for all but its opening month. </w:t>
      </w:r>
      <w:proofErr w:type="spellStart"/>
      <w:r w:rsidRPr="00D8730A">
        <w:rPr>
          <w:rFonts w:ascii="Times New Roman" w:hAnsi="Times New Roman" w:cs="Times New Roman"/>
        </w:rPr>
        <w:t>Its</w:t>
      </w:r>
      <w:proofErr w:type="spellEnd"/>
      <w:r w:rsidRPr="00D8730A">
        <w:rPr>
          <w:rFonts w:ascii="Times New Roman" w:hAnsi="Times New Roman" w:cs="Times New Roman"/>
        </w:rPr>
        <w:t xml:space="preserve"> one drawback is cost, as it is by a wide margin the most expensive of the three to invest in. Iron Mountain ranks second, having grown slightly more than Digital Realty while remaining the most volatile name of the group, and Digital Realty ranks third, with the weakest growth but otherwise steady and contained behavior for most of the year.</w:t>
      </w:r>
    </w:p>
    <w:p w14:paraId="146E370D" w14:textId="77777777" w:rsidR="00B21121" w:rsidRPr="00D8730A" w:rsidRDefault="00000000">
      <w:pPr>
        <w:spacing w:before="120" w:after="60"/>
        <w:rPr>
          <w:rFonts w:ascii="Times New Roman" w:hAnsi="Times New Roman" w:cs="Times New Roman"/>
        </w:rPr>
      </w:pPr>
      <w:r w:rsidRPr="00D8730A">
        <w:rPr>
          <w:rFonts w:ascii="Times New Roman" w:hAnsi="Times New Roman" w:cs="Times New Roman"/>
          <w:b/>
          <w:bCs/>
          <w:sz w:val="22"/>
          <w:szCs w:val="22"/>
        </w:rPr>
        <w:t>What we looked at</w:t>
      </w:r>
    </w:p>
    <w:p w14:paraId="6342A3E5" w14:textId="77777777" w:rsidR="00B21121" w:rsidRPr="00D8730A" w:rsidRDefault="00000000">
      <w:pPr>
        <w:spacing w:before="60" w:after="100"/>
        <w:jc w:val="both"/>
        <w:rPr>
          <w:rFonts w:ascii="Times New Roman" w:hAnsi="Times New Roman" w:cs="Times New Roman"/>
        </w:rPr>
      </w:pPr>
      <w:r w:rsidRPr="00D8730A">
        <w:rPr>
          <w:rFonts w:ascii="Times New Roman" w:hAnsi="Times New Roman" w:cs="Times New Roman"/>
        </w:rPr>
        <w:t>Because the firm holds these three names across client portfolios, and because AI infrastructure has drawn growing attention to the sector, the aim was to assess whether our exposure sits in the most stable and consistently growing companies. To that end, each company was compared on growth (how much and how steadily its price rose) and on stability (how much its price fluctuated from month to month). This summary is informational rather than a recommendation to buy or sell.</w:t>
      </w:r>
    </w:p>
    <w:p w14:paraId="0E966E8C" w14:textId="77777777" w:rsidR="00B21121" w:rsidRPr="00D8730A" w:rsidRDefault="00000000">
      <w:pPr>
        <w:spacing w:before="120" w:after="80"/>
        <w:rPr>
          <w:rFonts w:ascii="Times New Roman" w:hAnsi="Times New Roman" w:cs="Times New Roman"/>
        </w:rPr>
      </w:pPr>
      <w:r w:rsidRPr="00D8730A">
        <w:rPr>
          <w:rFonts w:ascii="Times New Roman" w:hAnsi="Times New Roman" w:cs="Times New Roman"/>
          <w:b/>
          <w:bCs/>
          <w:sz w:val="22"/>
          <w:szCs w:val="22"/>
        </w:rPr>
        <w:t>How the three compare</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2200"/>
        <w:gridCol w:w="1800"/>
        <w:gridCol w:w="2680"/>
        <w:gridCol w:w="2680"/>
      </w:tblGrid>
      <w:tr w:rsidR="00B21121" w:rsidRPr="00D8730A" w14:paraId="32B83BF0" w14:textId="77777777" w:rsidTr="00D8730A">
        <w:tblPrEx>
          <w:tblCellMar>
            <w:top w:w="0" w:type="dxa"/>
            <w:bottom w:w="0" w:type="dxa"/>
          </w:tblCellMar>
        </w:tblPrEx>
        <w:trPr>
          <w:tblHeader/>
        </w:trPr>
        <w:tc>
          <w:tcPr>
            <w:tcW w:w="220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3C1BA8FB"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Company</w:t>
            </w:r>
          </w:p>
        </w:tc>
        <w:tc>
          <w:tcPr>
            <w:tcW w:w="180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0C2E80E6"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Growth</w:t>
            </w:r>
          </w:p>
        </w:tc>
        <w:tc>
          <w:tcPr>
            <w:tcW w:w="268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6F13B79E"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Consistency of growth</w:t>
            </w:r>
          </w:p>
        </w:tc>
        <w:tc>
          <w:tcPr>
            <w:tcW w:w="268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62780DD9"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Volatility</w:t>
            </w:r>
          </w:p>
        </w:tc>
      </w:tr>
      <w:tr w:rsidR="00B21121" w:rsidRPr="00D8730A" w14:paraId="276AAE08" w14:textId="77777777" w:rsidTr="00D8730A">
        <w:tblPrEx>
          <w:tblCellMar>
            <w:top w:w="0" w:type="dxa"/>
            <w:bottom w:w="0" w:type="dxa"/>
          </w:tblCellMar>
        </w:tblPrEx>
        <w:tc>
          <w:tcPr>
            <w:tcW w:w="2200" w:type="dxa"/>
            <w:tcBorders>
              <w:top w:val="single" w:sz="4" w:space="0" w:color="auto"/>
            </w:tcBorders>
            <w:shd w:val="clear" w:color="auto" w:fill="FFFFFF" w:themeFill="background1"/>
            <w:tcMar>
              <w:top w:w="70" w:type="dxa"/>
              <w:left w:w="110" w:type="dxa"/>
              <w:bottom w:w="70" w:type="dxa"/>
              <w:right w:w="110" w:type="dxa"/>
            </w:tcMar>
          </w:tcPr>
          <w:p w14:paraId="60E03490"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Equinix</w:t>
            </w:r>
          </w:p>
        </w:tc>
        <w:tc>
          <w:tcPr>
            <w:tcW w:w="1800" w:type="dxa"/>
            <w:tcBorders>
              <w:top w:val="single" w:sz="4" w:space="0" w:color="auto"/>
            </w:tcBorders>
            <w:shd w:val="clear" w:color="auto" w:fill="FFFFFF" w:themeFill="background1"/>
            <w:tcMar>
              <w:top w:w="70" w:type="dxa"/>
              <w:left w:w="110" w:type="dxa"/>
              <w:bottom w:w="70" w:type="dxa"/>
              <w:right w:w="110" w:type="dxa"/>
            </w:tcMar>
          </w:tcPr>
          <w:p w14:paraId="144D520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Strongest</w:t>
            </w:r>
          </w:p>
        </w:tc>
        <w:tc>
          <w:tcPr>
            <w:tcW w:w="2680" w:type="dxa"/>
            <w:tcBorders>
              <w:top w:val="single" w:sz="4" w:space="0" w:color="auto"/>
            </w:tcBorders>
            <w:shd w:val="clear" w:color="auto" w:fill="FFFFFF" w:themeFill="background1"/>
            <w:tcMar>
              <w:top w:w="70" w:type="dxa"/>
              <w:left w:w="110" w:type="dxa"/>
              <w:bottom w:w="70" w:type="dxa"/>
              <w:right w:w="110" w:type="dxa"/>
            </w:tcMar>
          </w:tcPr>
          <w:p w14:paraId="754FB418"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Highest</w:t>
            </w:r>
          </w:p>
        </w:tc>
        <w:tc>
          <w:tcPr>
            <w:tcW w:w="2680" w:type="dxa"/>
            <w:tcBorders>
              <w:top w:val="single" w:sz="4" w:space="0" w:color="auto"/>
            </w:tcBorders>
            <w:shd w:val="clear" w:color="auto" w:fill="FFFFFF" w:themeFill="background1"/>
            <w:tcMar>
              <w:top w:w="70" w:type="dxa"/>
              <w:left w:w="110" w:type="dxa"/>
              <w:bottom w:w="70" w:type="dxa"/>
              <w:right w:w="110" w:type="dxa"/>
            </w:tcMar>
          </w:tcPr>
          <w:p w14:paraId="0DBD04B8"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Lowest for most of the year</w:t>
            </w:r>
          </w:p>
        </w:tc>
      </w:tr>
      <w:tr w:rsidR="00B21121" w:rsidRPr="00D8730A" w14:paraId="5037CE43" w14:textId="77777777" w:rsidTr="00D8730A">
        <w:tblPrEx>
          <w:tblCellMar>
            <w:top w:w="0" w:type="dxa"/>
            <w:bottom w:w="0" w:type="dxa"/>
          </w:tblCellMar>
        </w:tblPrEx>
        <w:tc>
          <w:tcPr>
            <w:tcW w:w="2200" w:type="dxa"/>
            <w:shd w:val="clear" w:color="auto" w:fill="FFFFFF" w:themeFill="background1"/>
            <w:tcMar>
              <w:top w:w="70" w:type="dxa"/>
              <w:left w:w="110" w:type="dxa"/>
              <w:bottom w:w="70" w:type="dxa"/>
              <w:right w:w="110" w:type="dxa"/>
            </w:tcMar>
          </w:tcPr>
          <w:p w14:paraId="42A342AC"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Iron Mountain</w:t>
            </w:r>
          </w:p>
        </w:tc>
        <w:tc>
          <w:tcPr>
            <w:tcW w:w="1800" w:type="dxa"/>
            <w:shd w:val="clear" w:color="auto" w:fill="FFFFFF" w:themeFill="background1"/>
            <w:tcMar>
              <w:top w:w="70" w:type="dxa"/>
              <w:left w:w="110" w:type="dxa"/>
              <w:bottom w:w="70" w:type="dxa"/>
              <w:right w:w="110" w:type="dxa"/>
            </w:tcMar>
          </w:tcPr>
          <w:p w14:paraId="0C418B3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Second</w:t>
            </w:r>
          </w:p>
        </w:tc>
        <w:tc>
          <w:tcPr>
            <w:tcW w:w="2680" w:type="dxa"/>
            <w:shd w:val="clear" w:color="auto" w:fill="FFFFFF" w:themeFill="background1"/>
            <w:tcMar>
              <w:top w:w="70" w:type="dxa"/>
              <w:left w:w="110" w:type="dxa"/>
              <w:bottom w:w="70" w:type="dxa"/>
              <w:right w:w="110" w:type="dxa"/>
            </w:tcMar>
          </w:tcPr>
          <w:p w14:paraId="49858DF3"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Moderate</w:t>
            </w:r>
          </w:p>
        </w:tc>
        <w:tc>
          <w:tcPr>
            <w:tcW w:w="2680" w:type="dxa"/>
            <w:shd w:val="clear" w:color="auto" w:fill="FFFFFF" w:themeFill="background1"/>
            <w:tcMar>
              <w:top w:w="70" w:type="dxa"/>
              <w:left w:w="110" w:type="dxa"/>
              <w:bottom w:w="70" w:type="dxa"/>
              <w:right w:w="110" w:type="dxa"/>
            </w:tcMar>
          </w:tcPr>
          <w:p w14:paraId="23A3712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Highest of the three</w:t>
            </w:r>
          </w:p>
        </w:tc>
      </w:tr>
      <w:tr w:rsidR="00B21121" w:rsidRPr="00D8730A" w14:paraId="78108776" w14:textId="77777777" w:rsidTr="00D8730A">
        <w:tblPrEx>
          <w:tblCellMar>
            <w:top w:w="0" w:type="dxa"/>
            <w:bottom w:w="0" w:type="dxa"/>
          </w:tblCellMar>
        </w:tblPrEx>
        <w:tc>
          <w:tcPr>
            <w:tcW w:w="2200" w:type="dxa"/>
            <w:tcBorders>
              <w:bottom w:val="single" w:sz="4" w:space="0" w:color="auto"/>
            </w:tcBorders>
            <w:shd w:val="clear" w:color="auto" w:fill="FFFFFF" w:themeFill="background1"/>
            <w:tcMar>
              <w:top w:w="70" w:type="dxa"/>
              <w:left w:w="110" w:type="dxa"/>
              <w:bottom w:w="70" w:type="dxa"/>
              <w:right w:w="110" w:type="dxa"/>
            </w:tcMar>
          </w:tcPr>
          <w:p w14:paraId="07F0C0ED"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Digital Realty</w:t>
            </w:r>
          </w:p>
        </w:tc>
        <w:tc>
          <w:tcPr>
            <w:tcW w:w="1800" w:type="dxa"/>
            <w:tcBorders>
              <w:bottom w:val="single" w:sz="4" w:space="0" w:color="auto"/>
            </w:tcBorders>
            <w:shd w:val="clear" w:color="auto" w:fill="FFFFFF" w:themeFill="background1"/>
            <w:tcMar>
              <w:top w:w="70" w:type="dxa"/>
              <w:left w:w="110" w:type="dxa"/>
              <w:bottom w:w="70" w:type="dxa"/>
              <w:right w:w="110" w:type="dxa"/>
            </w:tcMar>
          </w:tcPr>
          <w:p w14:paraId="3A25FCBE"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Weakest</w:t>
            </w:r>
          </w:p>
        </w:tc>
        <w:tc>
          <w:tcPr>
            <w:tcW w:w="2680" w:type="dxa"/>
            <w:tcBorders>
              <w:bottom w:val="single" w:sz="4" w:space="0" w:color="auto"/>
            </w:tcBorders>
            <w:shd w:val="clear" w:color="auto" w:fill="FFFFFF" w:themeFill="background1"/>
            <w:tcMar>
              <w:top w:w="70" w:type="dxa"/>
              <w:left w:w="110" w:type="dxa"/>
              <w:bottom w:w="70" w:type="dxa"/>
              <w:right w:w="110" w:type="dxa"/>
            </w:tcMar>
          </w:tcPr>
          <w:p w14:paraId="5E5DEB26"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Lowest</w:t>
            </w:r>
          </w:p>
        </w:tc>
        <w:tc>
          <w:tcPr>
            <w:tcW w:w="2680" w:type="dxa"/>
            <w:tcBorders>
              <w:bottom w:val="single" w:sz="4" w:space="0" w:color="auto"/>
            </w:tcBorders>
            <w:shd w:val="clear" w:color="auto" w:fill="FFFFFF" w:themeFill="background1"/>
            <w:tcMar>
              <w:top w:w="70" w:type="dxa"/>
              <w:left w:w="110" w:type="dxa"/>
              <w:bottom w:w="70" w:type="dxa"/>
              <w:right w:w="110" w:type="dxa"/>
            </w:tcMar>
          </w:tcPr>
          <w:p w14:paraId="541300BF"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 but with sharp short spikes</w:t>
            </w:r>
          </w:p>
        </w:tc>
      </w:tr>
    </w:tbl>
    <w:p w14:paraId="2D299F2C" w14:textId="77777777" w:rsidR="00B21121" w:rsidRPr="00D8730A" w:rsidRDefault="00000000">
      <w:pPr>
        <w:spacing w:before="140" w:after="60"/>
        <w:rPr>
          <w:rFonts w:ascii="Times New Roman" w:hAnsi="Times New Roman" w:cs="Times New Roman"/>
        </w:rPr>
      </w:pPr>
      <w:r w:rsidRPr="00D8730A">
        <w:rPr>
          <w:rFonts w:ascii="Times New Roman" w:hAnsi="Times New Roman" w:cs="Times New Roman"/>
          <w:b/>
          <w:bCs/>
          <w:sz w:val="22"/>
          <w:szCs w:val="22"/>
        </w:rPr>
        <w:t>One observation worth flagging</w:t>
      </w:r>
    </w:p>
    <w:p w14:paraId="30CC24A4" w14:textId="492094E8" w:rsidR="00B21121" w:rsidRPr="00D8730A" w:rsidRDefault="00000000">
      <w:pPr>
        <w:spacing w:before="60" w:after="100"/>
        <w:jc w:val="both"/>
        <w:rPr>
          <w:rFonts w:ascii="Times New Roman" w:hAnsi="Times New Roman" w:cs="Times New Roman"/>
        </w:rPr>
      </w:pPr>
      <w:r w:rsidRPr="00D8730A">
        <w:rPr>
          <w:rFonts w:ascii="Times New Roman" w:hAnsi="Times New Roman" w:cs="Times New Roman"/>
        </w:rPr>
        <w:t xml:space="preserve">All three companies followed a nearly identical price path over the year, in that the same </w:t>
      </w:r>
      <w:r w:rsidR="00D8730A" w:rsidRPr="00D8730A">
        <w:rPr>
          <w:rFonts w:ascii="Times New Roman" w:hAnsi="Times New Roman" w:cs="Times New Roman"/>
        </w:rPr>
        <w:t>mid-period</w:t>
      </w:r>
      <w:r w:rsidRPr="00D8730A">
        <w:rPr>
          <w:rFonts w:ascii="Times New Roman" w:hAnsi="Times New Roman" w:cs="Times New Roman"/>
        </w:rPr>
        <w:t xml:space="preserve"> dip and the same subsequent recovery appeared in each at roughly the same time. This suggests that sector wide forces, whether developments in the datacenter market, movements in interest rates, or broad sentiment around AI, may move these holdings together more than the differences between the individual companies do. Accordingly, that is where further research would likely add the most value.</w:t>
      </w:r>
    </w:p>
    <w:p w14:paraId="22A67043" w14:textId="77777777" w:rsidR="00B21121" w:rsidRPr="00D8730A" w:rsidRDefault="00000000">
      <w:pPr>
        <w:spacing w:before="140" w:after="50"/>
        <w:rPr>
          <w:rFonts w:ascii="Times New Roman" w:hAnsi="Times New Roman" w:cs="Times New Roman"/>
        </w:rPr>
      </w:pPr>
      <w:r w:rsidRPr="00D8730A">
        <w:rPr>
          <w:rFonts w:ascii="Times New Roman" w:hAnsi="Times New Roman" w:cs="Times New Roman"/>
          <w:b/>
          <w:bCs/>
          <w:sz w:val="20"/>
          <w:szCs w:val="20"/>
        </w:rPr>
        <w:t>Important caveat</w:t>
      </w:r>
    </w:p>
    <w:p w14:paraId="662D7528" w14:textId="77777777" w:rsidR="00B21121" w:rsidRPr="00D8730A" w:rsidRDefault="00000000">
      <w:pPr>
        <w:jc w:val="both"/>
        <w:rPr>
          <w:rFonts w:ascii="Times New Roman" w:hAnsi="Times New Roman" w:cs="Times New Roman"/>
        </w:rPr>
      </w:pPr>
      <w:r w:rsidRPr="00D8730A">
        <w:rPr>
          <w:rFonts w:ascii="Times New Roman" w:hAnsi="Times New Roman" w:cs="Times New Roman"/>
          <w:i/>
          <w:iCs/>
          <w:sz w:val="18"/>
          <w:szCs w:val="18"/>
        </w:rPr>
        <w:t>These conclusions rest on simplified measures of growth and stability rather than the full set of metrics a professional valuation would use, such as beta, the Sharpe ratio, drawdown, and benchmark comparison. They describe how these stocks behaved over the period; they do not predict how they will behave, and they should not be read as investment advice. Full methodology is available on request.</w:t>
      </w:r>
    </w:p>
    <w:sectPr w:rsidR="00B21121" w:rsidRPr="00D8730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1D9E"/>
    <w:multiLevelType w:val="hybridMultilevel"/>
    <w:tmpl w:val="8F4A70D2"/>
    <w:lvl w:ilvl="0" w:tplc="A31E5EB0">
      <w:start w:val="1"/>
      <w:numFmt w:val="bullet"/>
      <w:lvlText w:val="●"/>
      <w:lvlJc w:val="left"/>
      <w:pPr>
        <w:ind w:left="720" w:hanging="360"/>
      </w:pPr>
    </w:lvl>
    <w:lvl w:ilvl="1" w:tplc="1842E940">
      <w:start w:val="1"/>
      <w:numFmt w:val="bullet"/>
      <w:lvlText w:val="○"/>
      <w:lvlJc w:val="left"/>
      <w:pPr>
        <w:ind w:left="1440" w:hanging="360"/>
      </w:pPr>
    </w:lvl>
    <w:lvl w:ilvl="2" w:tplc="BAAE195A">
      <w:start w:val="1"/>
      <w:numFmt w:val="bullet"/>
      <w:lvlText w:val="■"/>
      <w:lvlJc w:val="left"/>
      <w:pPr>
        <w:ind w:left="2160" w:hanging="360"/>
      </w:pPr>
    </w:lvl>
    <w:lvl w:ilvl="3" w:tplc="D75C5E54">
      <w:start w:val="1"/>
      <w:numFmt w:val="bullet"/>
      <w:lvlText w:val="●"/>
      <w:lvlJc w:val="left"/>
      <w:pPr>
        <w:ind w:left="2880" w:hanging="360"/>
      </w:pPr>
    </w:lvl>
    <w:lvl w:ilvl="4" w:tplc="54CC983E">
      <w:start w:val="1"/>
      <w:numFmt w:val="bullet"/>
      <w:lvlText w:val="○"/>
      <w:lvlJc w:val="left"/>
      <w:pPr>
        <w:ind w:left="3600" w:hanging="360"/>
      </w:pPr>
    </w:lvl>
    <w:lvl w:ilvl="5" w:tplc="1DD6FCEC">
      <w:start w:val="1"/>
      <w:numFmt w:val="bullet"/>
      <w:lvlText w:val="■"/>
      <w:lvlJc w:val="left"/>
      <w:pPr>
        <w:ind w:left="4320" w:hanging="360"/>
      </w:pPr>
    </w:lvl>
    <w:lvl w:ilvl="6" w:tplc="745EBE8C">
      <w:start w:val="1"/>
      <w:numFmt w:val="bullet"/>
      <w:lvlText w:val="●"/>
      <w:lvlJc w:val="left"/>
      <w:pPr>
        <w:ind w:left="5040" w:hanging="360"/>
      </w:pPr>
    </w:lvl>
    <w:lvl w:ilvl="7" w:tplc="8A0096FC">
      <w:start w:val="1"/>
      <w:numFmt w:val="bullet"/>
      <w:lvlText w:val="●"/>
      <w:lvlJc w:val="left"/>
      <w:pPr>
        <w:ind w:left="5760" w:hanging="360"/>
      </w:pPr>
    </w:lvl>
    <w:lvl w:ilvl="8" w:tplc="D52819D0">
      <w:start w:val="1"/>
      <w:numFmt w:val="bullet"/>
      <w:lvlText w:val="●"/>
      <w:lvlJc w:val="left"/>
      <w:pPr>
        <w:ind w:left="6480" w:hanging="360"/>
      </w:pPr>
    </w:lvl>
  </w:abstractNum>
  <w:num w:numId="1" w16cid:durableId="1074160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21"/>
    <w:rsid w:val="008F6D68"/>
    <w:rsid w:val="00B21121"/>
    <w:rsid w:val="00D8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5F5D"/>
  <w15:docId w15:val="{992662FD-7EDE-48AC-82E6-01024B8A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Davenport</dc:creator>
  <cp:lastModifiedBy>Christopher Davenport</cp:lastModifiedBy>
  <cp:revision>2</cp:revision>
  <dcterms:created xsi:type="dcterms:W3CDTF">2026-06-22T20:52:00Z</dcterms:created>
  <dcterms:modified xsi:type="dcterms:W3CDTF">2026-06-22T21:13:00Z</dcterms:modified>
</cp:coreProperties>
</file>