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Silicon Century Capital – Narrative Design Brief</w:t>
      </w:r>
    </w:p>
    <w:p>
      <w:r>
        <w:br/>
        <w:t xml:space="preserve">This document presents a detailed creative and conceptual narrative for the Silicon Century Capital website. </w:t>
        <w:br/>
        <w:t xml:space="preserve">It describes the strategic intent, design philosophy, and brand-driven storytelling framework that guide the </w:t>
        <w:br/>
        <w:t>Institutional Industrial aesthetic, focused on the semiconductor and advanced manufacturing value chain.</w:t>
        <w:br/>
      </w:r>
    </w:p>
    <w:p>
      <w:pPr>
        <w:pStyle w:val="Heading2"/>
      </w:pPr>
      <w:r>
        <w:t>Overview</w:t>
      </w:r>
    </w:p>
    <w:p>
      <w:r>
        <w:br/>
        <w:t xml:space="preserve">Silicon Century Capital’s website will convey a calm, credible, and precise visual identity, merging the aesthetic </w:t>
        <w:br/>
        <w:t xml:space="preserve">of institutional finance with the technical sophistication of advanced manufacturing. Every page will express </w:t>
        <w:br/>
        <w:t>industrial depth and strategic focus, using the SCC brand color palette, typographic system, and photography style.</w:t>
        <w:br/>
      </w:r>
    </w:p>
    <w:p>
      <w:pPr>
        <w:pStyle w:val="Heading2"/>
      </w:pPr>
      <w:r>
        <w:t>Core Principles</w:t>
      </w:r>
    </w:p>
    <w:p>
      <w:r>
        <w:br/>
        <w:t>1. Authentic industrial imagery – semiconductors, robotics, and manufacturing lines.</w:t>
        <w:br/>
        <w:t>2. Clarity and hierarchy – content structured for skim reading by institutional investors.</w:t>
        <w:br/>
        <w:t>3. Limited animation – subtle hover states and transitions to maintain gravitas.</w:t>
        <w:br/>
        <w:t>4. Consistent typography – Quixote for headers, Nanum Gothic for body copy.</w:t>
        <w:br/>
        <w:t>5. Brand palette – Deep Navy (#294c89), Light Gray (#dee5e5), Teal (#17b890), and Dark Green (#082d0f).</w:t>
        <w:br/>
      </w:r>
    </w:p>
    <w:p>
      <w:pPr>
        <w:pStyle w:val="Heading2"/>
      </w:pPr>
      <w:r>
        <w:t>Page-by-Page Design Narrative</w:t>
      </w:r>
    </w:p>
    <w:p>
      <w:r>
        <w:br/>
        <w:t xml:space="preserve">Each page will embody Silicon Century Capital’s investment thesis and industrial confidence. The design language </w:t>
        <w:br/>
        <w:t xml:space="preserve">will be consistent across sections, alternating light and dark backgrounds with strong use of whitespace and </w:t>
        <w:br/>
        <w:t xml:space="preserve">balanced typography. The homepage will establish narrative clarity through a strong hero statement, while secondary </w:t>
        <w:br/>
        <w:t>pages will deepen credibility through thematic consistency.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