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What They Called Recovery</w:t>
        <w:br/>
        <w:t>KDP Phase 2 Style Sheet</w:t>
      </w:r>
    </w:p>
    <w:p>
      <w:pPr>
        <w:jc w:val="center"/>
      </w:pPr>
      <w:r>
        <w:rPr>
          <w:b/>
        </w:rPr>
        <w:t>Locked copy-edit conventions for the Kindle production master</w:t>
      </w:r>
    </w:p>
    <w:p>
      <w:pPr>
        <w:jc w:val="center"/>
      </w:pPr>
      <w:r>
        <w:t>Status: LOCKED — KDP Phase 2</w:t>
      </w:r>
    </w:p>
    <w:p>
      <w:pPr>
        <w:pStyle w:val="Heading1"/>
      </w:pPr>
      <w:r>
        <w:t>1. Editorial scope</w:t>
      </w:r>
    </w:p>
    <w:p>
      <w:pPr>
        <w:pStyle w:val="ListBullet"/>
      </w:pPr>
      <w:r>
        <w:t>British English is the default for narration and UK-set adult dialogue.</w:t>
      </w:r>
    </w:p>
    <w:p>
      <w:pPr>
        <w:pStyle w:val="ListBullet"/>
      </w:pPr>
      <w:r>
        <w:t>Character voice overrides house vocabulary where it is intentional. In particular, Zoe may naturally use American lexical choices.</w:t>
      </w:r>
    </w:p>
    <w:p>
      <w:pPr>
        <w:pStyle w:val="ListBullet"/>
      </w:pPr>
      <w:r>
        <w:t>Phase 2 is a copy-edit only: grammar, punctuation, spelling, usage, accidental repetition, malformed sentences, local ambiguity, and consistency. No developmental rewriting or story changes.</w:t>
      </w:r>
    </w:p>
    <w:p>
      <w:pPr>
        <w:pStyle w:val="ListBullet"/>
      </w:pPr>
      <w:r>
        <w:t>Every wording change must be logged. Formatting-only repairs that restore lost paragraph/data boundaries are also logged.</w:t>
      </w:r>
    </w:p>
    <w:p>
      <w:pPr>
        <w:pStyle w:val="Heading1"/>
      </w:pPr>
      <w:r>
        <w:t>2. Language and preferred spellings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DED"/>
            <w:vAlign w:val="top"/>
          </w:tcPr>
          <w:p>
            <w:r>
              <w:t>Rule</w:t>
            </w:r>
          </w:p>
        </w:tc>
        <w:tc>
          <w:tcPr>
            <w:tcW w:type="dxa" w:w="4968"/>
            <w:shd w:fill="EDEDED"/>
            <w:vAlign w:val="top"/>
          </w:tcPr>
          <w:p>
            <w:r>
              <w:t>Locked convention</w:t>
            </w:r>
          </w:p>
        </w:tc>
      </w:tr>
      <w:tr>
        <w:tc>
          <w:tcPr>
            <w:tcW w:type="dxa" w:w="4968"/>
            <w:vAlign w:val="top"/>
          </w:tcPr>
          <w:p>
            <w:r>
              <w:t>British default</w:t>
            </w:r>
          </w:p>
        </w:tc>
        <w:tc>
          <w:tcPr>
            <w:tcW w:type="dxa" w:w="4968"/>
            <w:vAlign w:val="top"/>
          </w:tcPr>
          <w:p>
            <w:r>
              <w:t>colour; behaviour; centre; defence; grey; organise; realise; recognise; analyse; travelling; cancelled; labelled; catalogue</w:t>
            </w:r>
          </w:p>
        </w:tc>
      </w:tr>
      <w:tr>
        <w:tc>
          <w:tcPr>
            <w:tcW w:type="dxa" w:w="4968"/>
            <w:vAlign w:val="top"/>
          </w:tcPr>
          <w:p>
            <w:r>
              <w:t>Licence / practise</w:t>
            </w:r>
          </w:p>
        </w:tc>
        <w:tc>
          <w:tcPr>
            <w:tcW w:type="dxa" w:w="4968"/>
            <w:vAlign w:val="top"/>
          </w:tcPr>
          <w:p>
            <w:r>
              <w:t>licence = noun; license = verb only if required by context; practise = verb; practice = noun.</w:t>
            </w:r>
          </w:p>
        </w:tc>
      </w:tr>
      <w:tr>
        <w:tc>
          <w:tcPr>
            <w:tcW w:type="dxa" w:w="4968"/>
            <w:vAlign w:val="top"/>
          </w:tcPr>
          <w:p>
            <w:r>
              <w:t>Accepted retained forms</w:t>
            </w:r>
          </w:p>
        </w:tc>
        <w:tc>
          <w:tcPr>
            <w:tcW w:type="dxa" w:w="4968"/>
            <w:vAlign w:val="top"/>
          </w:tcPr>
          <w:p>
            <w:r>
              <w:t>learned is retained consistently; okay is preferred over OK; email and website are closed compounds.</w:t>
            </w:r>
          </w:p>
        </w:tc>
      </w:tr>
      <w:tr>
        <w:tc>
          <w:tcPr>
            <w:tcW w:type="dxa" w:w="4968"/>
            <w:vAlign w:val="top"/>
          </w:tcPr>
          <w:p>
            <w:r>
              <w:t>Programme</w:t>
            </w:r>
          </w:p>
        </w:tc>
        <w:tc>
          <w:tcPr>
            <w:tcW w:type="dxa" w:w="4968"/>
            <w:vAlign w:val="top"/>
          </w:tcPr>
          <w:p>
            <w:r>
              <w:t>programme for non-computing/general contexts; technical source text may retain program if explicitly required.</w:t>
            </w:r>
          </w:p>
        </w:tc>
      </w:tr>
      <w:tr>
        <w:tc>
          <w:tcPr>
            <w:tcW w:type="dxa" w:w="4968"/>
            <w:vAlign w:val="top"/>
          </w:tcPr>
          <w:p>
            <w:r>
              <w:t>Percentage</w:t>
            </w:r>
          </w:p>
        </w:tc>
        <w:tc>
          <w:tcPr>
            <w:tcW w:type="dxa" w:w="4968"/>
            <w:vAlign w:val="top"/>
          </w:tcPr>
          <w:p>
            <w:r>
              <w:t>percent is the manuscript convention and is retained.</w:t>
            </w:r>
          </w:p>
        </w:tc>
      </w:tr>
    </w:tbl>
    <w:p>
      <w:pPr>
        <w:pStyle w:val="Heading1"/>
      </w:pPr>
      <w:r>
        <w:t>3. Restaurant terminology and character voice</w:t>
      </w:r>
    </w:p>
    <w:p>
      <w:pPr>
        <w:pStyle w:val="ListBullet"/>
      </w:pPr>
      <w:r>
        <w:t>In local UK restaurant narration and UK-character dialogue, use waiter/waitress where the staff member is identified by gender.</w:t>
      </w:r>
    </w:p>
    <w:p>
      <w:pPr>
        <w:pStyle w:val="ListBullet"/>
      </w:pPr>
      <w:r>
        <w:t>Use member of staff when the staff member is unidentified and gender is not established.</w:t>
      </w:r>
    </w:p>
    <w:p>
      <w:pPr>
        <w:pStyle w:val="ListBullet"/>
      </w:pPr>
      <w:r>
        <w:t>Reserve server for a character whose US lexical voice naturally supports it (notably Zoe) or for an establishment that explicitly uses that job title.</w:t>
      </w:r>
    </w:p>
    <w:p>
      <w:pPr>
        <w:pStyle w:val="ListBullet"/>
      </w:pPr>
      <w:r>
        <w:t>Do not globally replace server in quoted American speech. Zoe’s Chapter 7 line “You didn’t tell the server I was lying.” is intentionally retained.</w:t>
      </w:r>
    </w:p>
    <w:p>
      <w:pPr>
        <w:pStyle w:val="Heading1"/>
      </w:pPr>
      <w:r>
        <w:t>4. Punctuation and quotation style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DED"/>
          </w:tcPr>
          <w:p>
            <w:r>
              <w:t>Element</w:t>
            </w:r>
          </w:p>
        </w:tc>
        <w:tc>
          <w:tcPr>
            <w:tcW w:type="dxa" w:w="4968"/>
            <w:shd w:fill="EDEDED"/>
          </w:tcPr>
          <w:p>
            <w:r>
              <w:t>Convention</w:t>
            </w:r>
          </w:p>
        </w:tc>
      </w:tr>
      <w:tr>
        <w:tc>
          <w:tcPr>
            <w:tcW w:type="dxa" w:w="4968"/>
          </w:tcPr>
          <w:p>
            <w:r>
              <w:t>Quotation marks</w:t>
            </w:r>
          </w:p>
        </w:tc>
        <w:tc>
          <w:tcPr>
            <w:tcW w:type="dxa" w:w="4968"/>
          </w:tcPr>
          <w:p>
            <w:r>
              <w:t>Curly double quotation marks for ordinary dialogue; curly single quotation marks for quotations inside dialogue. No stray spaces between nested quotation marks.</w:t>
            </w:r>
          </w:p>
        </w:tc>
      </w:tr>
      <w:tr>
        <w:tc>
          <w:tcPr>
            <w:tcW w:type="dxa" w:w="4968"/>
          </w:tcPr>
          <w:p>
            <w:r>
              <w:t>Em dash</w:t>
            </w:r>
          </w:p>
        </w:tc>
        <w:tc>
          <w:tcPr>
            <w:tcW w:type="dxa" w:w="4968"/>
          </w:tcPr>
          <w:p>
            <w:r>
              <w:t>Closed in prose: word—word. Spaced dash separators may remain inside displayed records, labels, notebook entries, or system data.</w:t>
            </w:r>
          </w:p>
        </w:tc>
      </w:tr>
      <w:tr>
        <w:tc>
          <w:tcPr>
            <w:tcW w:type="dxa" w:w="4968"/>
          </w:tcPr>
          <w:p>
            <w:r>
              <w:t>Ellipsis</w:t>
            </w:r>
          </w:p>
        </w:tc>
        <w:tc>
          <w:tcPr>
            <w:tcW w:type="dxa" w:w="4968"/>
          </w:tcPr>
          <w:p>
            <w:r>
              <w:t>Three periods (...) throughout prose and dialogue; do not use the single ellipsis glyph (…).</w:t>
            </w:r>
          </w:p>
        </w:tc>
      </w:tr>
      <w:tr>
        <w:tc>
          <w:tcPr>
            <w:tcW w:type="dxa" w:w="4968"/>
          </w:tcPr>
          <w:p>
            <w:r>
              <w:t>Oxford comma</w:t>
            </w:r>
          </w:p>
        </w:tc>
        <w:tc>
          <w:tcPr>
            <w:tcW w:type="dxa" w:w="4968"/>
          </w:tcPr>
          <w:p>
            <w:r>
              <w:t>Use where it prevents ambiguity or matches the established sentence rhythm; do not impose mechanically.</w:t>
            </w:r>
          </w:p>
        </w:tc>
      </w:tr>
      <w:tr>
        <w:tc>
          <w:tcPr>
            <w:tcW w:type="dxa" w:w="4968"/>
          </w:tcPr>
          <w:p>
            <w:r>
              <w:t>Fragments</w:t>
            </w:r>
          </w:p>
        </w:tc>
        <w:tc>
          <w:tcPr>
            <w:tcW w:type="dxa" w:w="4968"/>
          </w:tcPr>
          <w:p>
            <w:r>
              <w:t>Intentional fragments and clipped dialogue are preserved. Do not “correct” character cadence into formal complete sentences.</w:t>
            </w:r>
          </w:p>
        </w:tc>
      </w:tr>
    </w:tbl>
    <w:p>
      <w:pPr>
        <w:pStyle w:val="Heading1"/>
      </w:pPr>
      <w:r>
        <w:t>5. Hyphenation and compounds</w:t>
      </w:r>
    </w:p>
    <w:p>
      <w:pPr>
        <w:pStyle w:val="ListBullet"/>
      </w:pPr>
      <w:r>
        <w:t>Hyphenated: multi-storey, lock-up, lay-by, sat-nav, Wi-Fi, pay-as-you-go, check-in, high-visibility, rear-view mirror, adult-child.</w:t>
      </w:r>
    </w:p>
    <w:p>
      <w:pPr>
        <w:pStyle w:val="ListBullet"/>
      </w:pPr>
      <w:r>
        <w:t>Open: hard drive, write blocker, child lock.</w:t>
      </w:r>
    </w:p>
    <w:p>
      <w:pPr>
        <w:pStyle w:val="ListBullet"/>
      </w:pPr>
      <w:r>
        <w:t>Noun forms normally open: car park, service area, service station. Attributive forms may be hyphenated where already natural: car-park, service-area, service-station.</w:t>
      </w:r>
    </w:p>
    <w:p>
      <w:pPr>
        <w:pStyle w:val="ListBullet"/>
      </w:pPr>
      <w:r>
        <w:t>Do not regularise identifiers, source labels, system strings, or case codes merely for typography.</w:t>
      </w:r>
    </w:p>
    <w:p>
      <w:pPr>
        <w:pStyle w:val="Heading1"/>
      </w:pPr>
      <w:r>
        <w:t>6. Numbers, time, dates, identifiers and records</w:t>
      </w:r>
    </w:p>
    <w:p>
      <w:pPr>
        <w:pStyle w:val="ListBullet"/>
      </w:pPr>
      <w:r>
        <w:t>Narrative prose generally follows the manuscript’s existing convention: ordinary small numbers may be words; exact times, dates, distances, case identifiers and technical values use numerals where appropriate.</w:t>
      </w:r>
    </w:p>
    <w:p>
      <w:pPr>
        <w:pStyle w:val="ListBullet"/>
      </w:pPr>
      <w:r>
        <w:t>System records, archive entries, IDs and case codes retain their source form unless an actual error has been established.</w:t>
      </w:r>
    </w:p>
    <w:p>
      <w:pPr>
        <w:pStyle w:val="ListBullet"/>
      </w:pPr>
      <w:r>
        <w:t>Spoken times and years may remain written out where that reflects how the character says them.</w:t>
      </w:r>
    </w:p>
    <w:p>
      <w:pPr>
        <w:pStyle w:val="ListBullet"/>
      </w:pPr>
      <w:r>
        <w:t>Do not convert displayed data into prose during copy-edit. Kindle layout treatment belongs to the later formatting phase.</w:t>
      </w:r>
    </w:p>
    <w:p>
      <w:pPr>
        <w:pStyle w:val="Heading1"/>
      </w:pPr>
      <w:r>
        <w:t>7. Canonical names and recurring terminology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DED"/>
          </w:tcPr>
          <w:p>
            <w:r>
              <w:t>Category</w:t>
            </w:r>
          </w:p>
        </w:tc>
        <w:tc>
          <w:tcPr>
            <w:tcW w:type="dxa" w:w="4968"/>
            <w:shd w:fill="EDEDED"/>
          </w:tcPr>
          <w:p>
            <w:r>
              <w:t>Canonical forms</w:t>
            </w:r>
          </w:p>
        </w:tc>
      </w:tr>
      <w:tr>
        <w:tc>
          <w:tcPr>
            <w:tcW w:type="dxa" w:w="4968"/>
          </w:tcPr>
          <w:p>
            <w:r>
              <w:t>Primary names</w:t>
            </w:r>
          </w:p>
        </w:tc>
        <w:tc>
          <w:tcPr>
            <w:tcW w:type="dxa" w:w="4968"/>
          </w:tcPr>
          <w:p>
            <w:r>
              <w:t>Elias; Zoe Harper; Jackie; Helen; Brian; Mac; Cain; Voss; Vale; Reyes; Samuel Mercer / Sam; Priya Dey; Elaine; Martin</w:t>
            </w:r>
          </w:p>
        </w:tc>
      </w:tr>
      <w:tr>
        <w:tc>
          <w:tcPr>
            <w:tcW w:type="dxa" w:w="4968"/>
          </w:tcPr>
          <w:p>
            <w:r>
              <w:t>Organisations / places</w:t>
            </w:r>
          </w:p>
        </w:tc>
        <w:tc>
          <w:tcPr>
            <w:tcW w:type="dxa" w:w="4968"/>
          </w:tcPr>
          <w:p>
            <w:r>
              <w:t>Westmere; North Vale; Meridian Placement Services</w:t>
            </w:r>
          </w:p>
        </w:tc>
      </w:tr>
      <w:tr>
        <w:tc>
          <w:tcPr>
            <w:tcW w:type="dxa" w:w="4968"/>
          </w:tcPr>
          <w:p>
            <w:r>
              <w:t>Recurring labels / codes</w:t>
            </w:r>
          </w:p>
        </w:tc>
        <w:tc>
          <w:tcPr>
            <w:tcW w:type="dxa" w:w="4968"/>
          </w:tcPr>
          <w:p>
            <w:r>
              <w:t>Reaper; BRG; MPS; AC019; RCP</w:t>
            </w:r>
          </w:p>
        </w:tc>
      </w:tr>
      <w:tr>
        <w:tc>
          <w:tcPr>
            <w:tcW w:type="dxa" w:w="4968"/>
          </w:tcPr>
          <w:p>
            <w:r>
              <w:t>Technical / evidential terms</w:t>
            </w:r>
          </w:p>
        </w:tc>
        <w:tc>
          <w:tcPr>
            <w:tcW w:type="dxa" w:w="4968"/>
          </w:tcPr>
          <w:p>
            <w:r>
              <w:t>write blocker; hard drive; storage device; working copy; archive; recipient profile; safeguarding</w:t>
            </w:r>
          </w:p>
        </w:tc>
      </w:tr>
    </w:tbl>
    <w:p>
      <w:pPr>
        <w:pStyle w:val="Heading1"/>
      </w:pPr>
      <w:r>
        <w:t>8. Dialogue and voice protection</w:t>
      </w:r>
    </w:p>
    <w:p>
      <w:pPr>
        <w:pStyle w:val="ListBullet"/>
      </w:pPr>
      <w:r>
        <w:t>Contractions, fragments, clipped syntax, repeated words, and colloquial forms are preserved where they belong to character voice.</w:t>
      </w:r>
    </w:p>
    <w:p>
      <w:pPr>
        <w:pStyle w:val="ListBullet"/>
      </w:pPr>
      <w:r>
        <w:t>Colloquial alright may remain in dialogue; all right remains available in narration or more formal speech.</w:t>
      </w:r>
    </w:p>
    <w:p>
      <w:pPr>
        <w:pStyle w:val="ListBullet"/>
      </w:pPr>
      <w:r>
        <w:t>Zoe’s American vocabulary is not automatically converted to British vocabulary. Context and speaker identity control the choice.</w:t>
      </w:r>
    </w:p>
    <w:p>
      <w:pPr>
        <w:pStyle w:val="ListBullet"/>
      </w:pPr>
      <w:r>
        <w:t>Do not flatten Elias’s terse operational register, Zoe’s age/voice, or the documentary/system register into one house voice.</w:t>
      </w:r>
    </w:p>
    <w:p>
      <w:pPr>
        <w:pStyle w:val="Heading1"/>
      </w:pPr>
      <w:r>
        <w:t>9. Structural and Kindle-source conventions</w:t>
      </w:r>
    </w:p>
    <w:p>
      <w:pPr>
        <w:pStyle w:val="ListBullet"/>
      </w:pPr>
      <w:r>
        <w:t>Chapter titles remain Heading 1 in the reflowable DOCX.</w:t>
      </w:r>
    </w:p>
    <w:p>
      <w:pPr>
        <w:pStyle w:val="ListBullet"/>
      </w:pPr>
      <w:r>
        <w:t>Scene breaks remain exactly: * * *</w:t>
      </w:r>
    </w:p>
    <w:p>
      <w:pPr>
        <w:pStyle w:val="ListBullet"/>
      </w:pPr>
      <w:r>
        <w:t>Notebook entries, archive records, messages and system outputs retain semantic separation from narration. Detailed Kindle styling is deferred to the later formatting phase.</w:t>
      </w:r>
    </w:p>
    <w:p>
      <w:pPr>
        <w:pStyle w:val="ListBullet"/>
      </w:pPr>
      <w:r>
        <w:t>Where Phase 1 PDF assembly split a sentence across a page boundary or concatenated data with narration, restore the intended paragraph/text boundary without changing story content.</w:t>
      </w:r>
    </w:p>
    <w:p>
      <w:pPr>
        <w:pStyle w:val="ListBullet"/>
      </w:pPr>
      <w:r>
        <w:t>Do not introduce manual page layout intended to imitate the PDF; the Kindle edition must remain reflowable.</w:t>
      </w:r>
    </w:p>
    <w:p>
      <w:pPr>
        <w:pStyle w:val="Heading1"/>
      </w:pPr>
      <w:r>
        <w:t>10. Change-control gate</w:t>
      </w:r>
    </w:p>
    <w:p>
      <w:pPr>
        <w:pStyle w:val="ListBullet"/>
      </w:pPr>
      <w:r>
        <w:t>No plot, chronology, character motivation, revelation order or developmental prose revision is permitted in Phase 2 unless a genuine copy-edit defect cannot be corrected locally.</w:t>
      </w:r>
    </w:p>
    <w:p>
      <w:pPr>
        <w:pStyle w:val="ListBullet"/>
      </w:pPr>
      <w:r>
        <w:t>Every wording change is recorded in the Phase 2 copy-edit log with chapter, original text, replacement text and reason.</w:t>
      </w:r>
    </w:p>
    <w:p>
      <w:pPr>
        <w:pStyle w:val="ListBullet"/>
      </w:pPr>
      <w:r>
        <w:t>Phase 2 passes only when the style sheet is internally consistent, the copy-edit log is complete, and no unresolved copy-edit query remains.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