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59" w:rsidRDefault="00C15059" w:rsidP="003142D5">
      <w:pPr>
        <w:pStyle w:val="MTDisplayEquation"/>
        <w:rPr>
          <w:rStyle w:val="MTConvertedEquation"/>
          <w:rFonts w:asciiTheme="majorHAnsi" w:eastAsiaTheme="minorEastAsia" w:hAnsiTheme="majorHAnsi"/>
        </w:rPr>
      </w:pPr>
    </w:p>
    <w:p w:rsidR="00C15059" w:rsidRDefault="00C15059" w:rsidP="00C15059">
      <w:pPr>
        <w:pStyle w:val="Heading2"/>
        <w:rPr>
          <w:rStyle w:val="MTConvertedEquation"/>
          <w:rFonts w:eastAsiaTheme="minorEastAsia"/>
        </w:rPr>
      </w:pPr>
      <w:r>
        <w:rPr>
          <w:rStyle w:val="MTConvertedEquation"/>
          <w:rFonts w:eastAsiaTheme="minorEastAsia"/>
        </w:rPr>
        <w:t>Underlying model</w:t>
      </w:r>
    </w:p>
    <w:p w:rsidR="00AE2648" w:rsidRDefault="004F52C8" w:rsidP="003142D5">
      <w:pPr>
        <w:pStyle w:val="MTDisplayEquation"/>
        <w:rPr>
          <w:rStyle w:val="MTConvertedEquation"/>
          <w:rFonts w:asciiTheme="majorHAnsi" w:eastAsiaTheme="minorEastAsia" w:hAnsiTheme="majorHAnsi"/>
        </w:rPr>
      </w:pPr>
      <w:r>
        <w:rPr>
          <w:rStyle w:val="MTConvertedEquation"/>
          <w:rFonts w:asciiTheme="majorHAnsi" w:eastAsiaTheme="minorEastAsia" w:hAnsiTheme="majorHAnsi"/>
        </w:rPr>
        <w:t>We have built a compartmental SIS-SIRS model in discrete time. We split the population into males, general females, and female sex workers (FSW</w:t>
      </w:r>
      <w:r w:rsidR="009A03D9">
        <w:rPr>
          <w:rStyle w:val="MTConvertedEquation"/>
          <w:rFonts w:asciiTheme="majorHAnsi" w:eastAsiaTheme="minorEastAsia" w:hAnsiTheme="majorHAnsi"/>
        </w:rPr>
        <w:t>s</w:t>
      </w:r>
      <w:r>
        <w:rPr>
          <w:rStyle w:val="MTConvertedEquation"/>
          <w:rFonts w:asciiTheme="majorHAnsi" w:eastAsiaTheme="minorEastAsia" w:hAnsiTheme="majorHAnsi"/>
        </w:rPr>
        <w:t xml:space="preserve">), and we further split the FSW population as described later.  The male and general female populations </w:t>
      </w:r>
      <w:r w:rsidR="009A03D9">
        <w:rPr>
          <w:rStyle w:val="MTConvertedEquation"/>
          <w:rFonts w:asciiTheme="majorHAnsi" w:eastAsiaTheme="minorEastAsia" w:hAnsiTheme="majorHAnsi"/>
        </w:rPr>
        <w:t xml:space="preserve">can only be either susceptible or infected. </w:t>
      </w:r>
      <w:r w:rsidR="003142D5">
        <w:rPr>
          <w:rStyle w:val="MTConvertedEquation"/>
          <w:rFonts w:asciiTheme="majorHAnsi" w:eastAsiaTheme="minorEastAsia" w:hAnsiTheme="majorHAnsi"/>
        </w:rPr>
        <w:t xml:space="preserve">Infected people return to the susceptible population at a constant rate. </w:t>
      </w:r>
      <w:r w:rsidR="009A03D9">
        <w:rPr>
          <w:rStyle w:val="MTConvertedEquation"/>
          <w:rFonts w:asciiTheme="majorHAnsi" w:eastAsiaTheme="minorEastAsia" w:hAnsiTheme="majorHAnsi"/>
        </w:rPr>
        <w:t>The female sex worker population can also only be either susceptible or infected in the baseline scenario</w:t>
      </w:r>
      <w:r w:rsidR="003142D5">
        <w:rPr>
          <w:rStyle w:val="MTConvertedEquation"/>
          <w:rFonts w:asciiTheme="majorHAnsi" w:eastAsiaTheme="minorEastAsia" w:hAnsiTheme="majorHAnsi"/>
        </w:rPr>
        <w:t>, and return from infected to susceptible at the same constant rate</w:t>
      </w:r>
      <w:r w:rsidR="009A03D9">
        <w:rPr>
          <w:rStyle w:val="MTConvertedEquation"/>
          <w:rFonts w:asciiTheme="majorHAnsi" w:eastAsiaTheme="minorEastAsia" w:hAnsiTheme="majorHAnsi"/>
        </w:rPr>
        <w:t xml:space="preserve">. </w:t>
      </w:r>
    </w:p>
    <w:p w:rsidR="00F14D99" w:rsidRPr="00F14D99" w:rsidRDefault="001305CA" w:rsidP="00F14D99">
      <w:pPr>
        <w:pStyle w:val="MTDisplayEquation"/>
        <w:rPr>
          <w:rFonts w:asciiTheme="majorHAnsi" w:eastAsiaTheme="minorEastAsia" w:hAnsiTheme="majorHAnsi"/>
        </w:rPr>
      </w:pPr>
      <w:r>
        <w:rPr>
          <w:rStyle w:val="MTConvertedEquation"/>
          <w:rFonts w:asciiTheme="majorHAnsi" w:eastAsiaTheme="minorEastAsia" w:hAnsiTheme="majorHAnsi"/>
        </w:rPr>
        <w:t>We let</w:t>
      </w:r>
      <w:r w:rsidR="009A03D9">
        <w:rPr>
          <w:rStyle w:val="MTConvertedEquation"/>
          <w:rFonts w:asciiTheme="majorHAnsi" w:eastAsiaTheme="minorEastAsia" w:hAnsiTheme="majorHAnsi"/>
        </w:rPr>
        <w:t xml:space="preserve"> </w:t>
      </w:r>
      <m:oMath>
        <m:r>
          <w:rPr>
            <w:rStyle w:val="MTConvertedEquation"/>
            <w:rFonts w:ascii="Cambria Math" w:eastAsiaTheme="minorEastAsia" w:hAnsi="Cambria Math"/>
          </w:rPr>
          <m:t>m, f</m:t>
        </m:r>
        <m:r>
          <m:rPr>
            <m:nor/>
          </m:rPr>
          <w:rPr>
            <w:rStyle w:val="MTConvertedEquation"/>
            <w:rFonts w:ascii="Cambria Math" w:eastAsiaTheme="minorEastAsia" w:hAnsi="Cambria Math"/>
          </w:rPr>
          <m:t xml:space="preserve"> and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0</m:t>
            </m:r>
          </m:sub>
        </m:sSub>
      </m:oMath>
      <w:r>
        <w:rPr>
          <w:rStyle w:val="MTConvertedEquation"/>
          <w:rFonts w:asciiTheme="majorHAnsi" w:eastAsiaTheme="minorEastAsia" w:hAnsiTheme="majorHAnsi"/>
        </w:rPr>
        <w:t xml:space="preserve"> denote</w:t>
      </w:r>
      <w:r w:rsidR="009A03D9">
        <w:rPr>
          <w:rStyle w:val="MTConvertedEquation"/>
          <w:rFonts w:asciiTheme="majorHAnsi" w:eastAsiaTheme="minorEastAsia" w:hAnsiTheme="majorHAnsi"/>
        </w:rPr>
        <w:t xml:space="preserve"> the proportion</w:t>
      </w:r>
      <w:r>
        <w:rPr>
          <w:rStyle w:val="MTConvertedEquation"/>
          <w:rFonts w:asciiTheme="majorHAnsi" w:eastAsiaTheme="minorEastAsia" w:hAnsiTheme="majorHAnsi"/>
        </w:rPr>
        <w:t>s</w:t>
      </w:r>
      <w:r w:rsidR="009A03D9">
        <w:rPr>
          <w:rStyle w:val="MTConvertedEquation"/>
          <w:rFonts w:asciiTheme="majorHAnsi" w:eastAsiaTheme="minorEastAsia" w:hAnsiTheme="majorHAnsi"/>
        </w:rPr>
        <w:t xml:space="preserve"> of the male</w:t>
      </w:r>
      <w:r>
        <w:rPr>
          <w:rStyle w:val="MTConvertedEquation"/>
          <w:rFonts w:asciiTheme="majorHAnsi" w:eastAsiaTheme="minorEastAsia" w:hAnsiTheme="majorHAnsi"/>
        </w:rPr>
        <w:t>, female and FSW</w:t>
      </w:r>
      <w:r w:rsidR="009A03D9">
        <w:rPr>
          <w:rStyle w:val="MTConvertedEquation"/>
          <w:rFonts w:asciiTheme="majorHAnsi" w:eastAsiaTheme="minorEastAsia" w:hAnsiTheme="majorHAnsi"/>
        </w:rPr>
        <w:t xml:space="preserve"> population</w:t>
      </w:r>
      <w:r>
        <w:rPr>
          <w:rStyle w:val="MTConvertedEquation"/>
          <w:rFonts w:asciiTheme="majorHAnsi" w:eastAsiaTheme="minorEastAsia" w:hAnsiTheme="majorHAnsi"/>
        </w:rPr>
        <w:t>s</w:t>
      </w:r>
      <w:r w:rsidR="009A03D9">
        <w:rPr>
          <w:rStyle w:val="MTConvertedEquation"/>
          <w:rFonts w:asciiTheme="majorHAnsi" w:eastAsiaTheme="minorEastAsia" w:hAnsiTheme="majorHAnsi"/>
        </w:rPr>
        <w:t xml:space="preserve"> that are infected</w:t>
      </w:r>
      <w:r>
        <w:rPr>
          <w:rStyle w:val="MTConvertedEquation"/>
          <w:rFonts w:asciiTheme="majorHAnsi" w:eastAsiaTheme="minorEastAsia" w:hAnsiTheme="majorHAnsi"/>
        </w:rPr>
        <w:t xml:space="preserve">, respectively. Our </w:t>
      </w:r>
      <w:r w:rsidR="00F14D99">
        <w:rPr>
          <w:rStyle w:val="MTConvertedEquation"/>
          <w:rFonts w:asciiTheme="majorHAnsi" w:eastAsiaTheme="minorEastAsia" w:hAnsiTheme="majorHAnsi"/>
        </w:rPr>
        <w:t xml:space="preserve">model </w:t>
      </w:r>
      <w:r>
        <w:rPr>
          <w:rStyle w:val="MTConvertedEquation"/>
          <w:rFonts w:asciiTheme="majorHAnsi" w:eastAsiaTheme="minorEastAsia" w:hAnsiTheme="majorHAnsi"/>
        </w:rPr>
        <w:t xml:space="preserve">for the baseline scenario </w:t>
      </w:r>
      <w:r w:rsidR="00F14D99">
        <w:rPr>
          <w:rStyle w:val="MTConvertedEquation"/>
          <w:rFonts w:asciiTheme="majorHAnsi" w:eastAsiaTheme="minorEastAsia" w:hAnsiTheme="majorHAnsi"/>
        </w:rPr>
        <w:t>is the following:</w:t>
      </w:r>
    </w:p>
    <w:p w:rsidR="00B60685" w:rsidRPr="00F14D99" w:rsidRDefault="00F14D99" w:rsidP="00052D2A">
      <w:pPr>
        <w:pStyle w:val="MTDisplayEquation"/>
        <w:rPr>
          <w:rStyle w:val="MTConvertedEquation"/>
          <w:rFonts w:eastAsiaTheme="minorEastAsia"/>
          <w:i/>
        </w:rPr>
      </w:pPr>
      <m:oMathPara>
        <m:oMath>
          <m:r>
            <w:rPr>
              <w:rStyle w:val="MTConvertedEquation"/>
              <w:rFonts w:ascii="Cambria Math" w:hAnsi="Cambria Math"/>
            </w:rPr>
            <m:t xml:space="preserve">  </m:t>
          </m:r>
          <m:acc>
            <m:accPr>
              <m:chr m:val="̇"/>
              <m:ctrlPr>
                <w:rPr>
                  <w:rStyle w:val="MTConvertedEquation"/>
                  <w:rFonts w:ascii="Cambria Math" w:hAnsi="Cambria Math"/>
                  <w:i/>
                </w:rPr>
              </m:ctrlPr>
            </m:accPr>
            <m:e>
              <m:r>
                <w:rPr>
                  <w:rStyle w:val="MTConvertedEquation"/>
                  <w:rFonts w:ascii="Cambria Math" w:hAnsi="Cambria Math"/>
                </w:rPr>
                <m:t>m</m:t>
              </m:r>
            </m:e>
          </m:acc>
          <m:r>
            <w:rPr>
              <w:rStyle w:val="MTConvertedEquation"/>
              <w:rFonts w:ascii="Cambria Math" w:hAnsi="Cambria Math"/>
            </w:rPr>
            <m:t xml:space="preserve"> = m</m:t>
          </m:r>
          <m:d>
            <m:dPr>
              <m:ctrlPr>
                <w:rPr>
                  <w:rStyle w:val="MTConvertedEquation"/>
                  <w:rFonts w:ascii="Cambria Math" w:hAnsi="Cambria Math"/>
                  <w:i/>
                </w:rPr>
              </m:ctrlPr>
            </m:dPr>
            <m:e>
              <m:r>
                <w:rPr>
                  <w:rStyle w:val="MTConvertedEquation"/>
                  <w:rFonts w:ascii="Cambria Math" w:hAnsi="Cambria Math"/>
                </w:rPr>
                <m:t>1 – γ</m:t>
              </m:r>
            </m:e>
          </m:d>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 – m</m:t>
              </m:r>
            </m:e>
          </m:d>
          <m:d>
            <m:dPr>
              <m:begChr m:val=""/>
              <m:ctrlPr>
                <w:rPr>
                  <w:rStyle w:val="MTConvertedEquation"/>
                  <w:rFonts w:ascii="Cambria Math" w:hAnsi="Cambria Math"/>
                  <w:i/>
                </w:rPr>
              </m:ctrlPr>
            </m:dPr>
            <m:e>
              <m:d>
                <m:dPr>
                  <m:endChr m:val=""/>
                  <m:ctrlPr>
                    <w:rPr>
                      <w:rStyle w:val="MTConvertedEquation"/>
                      <w:rFonts w:ascii="Cambria Math" w:hAnsi="Cambria Math"/>
                      <w:i/>
                    </w:rPr>
                  </m:ctrlPr>
                </m:dPr>
                <m:e>
                  <m:r>
                    <w:rPr>
                      <w:rStyle w:val="MTConvertedEquation"/>
                      <w:rFonts w:ascii="Cambria Math" w:hAnsi="Cambria Math"/>
                    </w:rPr>
                    <m:t xml:space="preserve"> 1 – </m:t>
                  </m:r>
                  <m:sSup>
                    <m:sSupPr>
                      <m:ctrlPr>
                        <w:rPr>
                          <w:rStyle w:val="MTConvertedEquation"/>
                          <w:rFonts w:ascii="Cambria Math" w:hAnsi="Cambria Math"/>
                          <w:i/>
                        </w:rPr>
                      </m:ctrlPr>
                    </m:sSupPr>
                    <m:e>
                      <m:r>
                        <w:rPr>
                          <w:rStyle w:val="MTConvertedEquation"/>
                          <w:rFonts w:ascii="Cambria Math" w:hAnsi="Cambria Math"/>
                        </w:rPr>
                        <m:t>e</m:t>
                      </m:r>
                    </m:e>
                    <m:sup>
                      <m:sSub>
                        <m:sSubPr>
                          <m:ctrlPr>
                            <w:rPr>
                              <w:rStyle w:val="MTConvertedEquation"/>
                              <w:rFonts w:ascii="Cambria Math" w:hAnsi="Cambria Math"/>
                              <w:i/>
                            </w:rPr>
                          </m:ctrlPr>
                        </m:sSubPr>
                        <m:e>
                          <m:r>
                            <w:rPr>
                              <w:rStyle w:val="MTConvertedEquation"/>
                              <w:rFonts w:ascii="Cambria Math" w:hAnsi="Cambria Math"/>
                            </w:rPr>
                            <m:t>β</m:t>
                          </m:r>
                        </m:e>
                        <m:sub>
                          <m:r>
                            <w:rPr>
                              <w:rStyle w:val="MTConvertedEquation"/>
                              <w:rFonts w:ascii="Cambria Math" w:hAnsi="Cambria Math"/>
                            </w:rPr>
                            <m:t>m</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cf +</m:t>
                          </m:r>
                          <m:d>
                            <m:dPr>
                              <m:ctrlPr>
                                <w:rPr>
                                  <w:rStyle w:val="MTConvertedEquation"/>
                                  <w:rFonts w:ascii="Cambria Math" w:hAnsi="Cambria Math"/>
                                  <w:i/>
                                </w:rPr>
                              </m:ctrlPr>
                            </m:dPr>
                            <m:e>
                              <m:r>
                                <w:rPr>
                                  <w:rStyle w:val="MTConvertedEquation"/>
                                  <w:rFonts w:ascii="Cambria Math" w:hAnsi="Cambria Math"/>
                                </w:rPr>
                                <m:t>1-c</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0</m:t>
                              </m:r>
                            </m:sub>
                          </m:sSub>
                          <m:ctrlPr>
                            <w:rPr>
                              <w:rStyle w:val="MTConvertedEquation"/>
                              <w:rFonts w:ascii="Cambria Math" w:hAnsi="Cambria Math"/>
                              <w:b/>
                              <w:i/>
                            </w:rPr>
                          </m:ctrlPr>
                        </m:e>
                      </m:d>
                    </m:sup>
                  </m:sSup>
                </m:e>
              </m:d>
            </m:e>
          </m:d>
          <m:r>
            <w:rPr>
              <w:rStyle w:val="MTConvertedEquation"/>
              <w:rFonts w:ascii="Cambria Math" w:hAnsi="Cambria Math"/>
            </w:rPr>
            <m:t>,</m:t>
          </m:r>
        </m:oMath>
      </m:oMathPara>
    </w:p>
    <w:p w:rsidR="00723AA9" w:rsidRPr="00F14D99" w:rsidRDefault="00E71A31" w:rsidP="00052D2A">
      <w:pPr>
        <w:pStyle w:val="MTDisplayEquation"/>
        <w:rPr>
          <w:rStyle w:val="MTConvertedEquation"/>
          <w:rFonts w:eastAsiaTheme="minorEastAsia"/>
          <w:i/>
        </w:rPr>
      </w:pPr>
      <m:oMathPara>
        <m:oMath>
          <m:acc>
            <m:accPr>
              <m:chr m:val="̇"/>
              <m:ctrlPr>
                <w:rPr>
                  <w:rStyle w:val="MTConvertedEquation"/>
                  <w:rFonts w:ascii="Cambria Math" w:eastAsiaTheme="minorEastAsia" w:hAnsi="Cambria Math"/>
                  <w:i/>
                </w:rPr>
              </m:ctrlPr>
            </m:accPr>
            <m:e>
              <m:r>
                <w:rPr>
                  <w:rStyle w:val="MTConvertedEquation"/>
                  <w:rFonts w:ascii="Cambria Math" w:eastAsiaTheme="minorEastAsia" w:hAnsi="Cambria Math"/>
                </w:rPr>
                <m:t>f</m:t>
              </m:r>
            </m:e>
          </m:acc>
          <m:r>
            <w:rPr>
              <w:rStyle w:val="MTConvertedEquation"/>
              <w:rFonts w:ascii="Cambria Math" w:eastAsiaTheme="minorEastAsia" w:hAnsi="Cambria Math"/>
            </w:rPr>
            <m:t>=f</m:t>
          </m:r>
          <m:d>
            <m:dPr>
              <m:ctrlPr>
                <w:rPr>
                  <w:rStyle w:val="MTConvertedEquation"/>
                  <w:rFonts w:ascii="Cambria Math" w:eastAsiaTheme="minorEastAsia" w:hAnsi="Cambria Math"/>
                  <w:i/>
                </w:rPr>
              </m:ctrlPr>
            </m:dPr>
            <m:e>
              <m:r>
                <w:rPr>
                  <w:rStyle w:val="MTConvertedEquation"/>
                  <w:rFonts w:ascii="Cambria Math" w:eastAsiaTheme="minorEastAsia" w:hAnsi="Cambria Math"/>
                </w:rPr>
                <m:t>1-γ</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1-f</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f</m:t>
                      </m:r>
                    </m:sub>
                  </m:sSub>
                  <m:r>
                    <w:rPr>
                      <w:rStyle w:val="MTConvertedEquation"/>
                      <w:rFonts w:ascii="Cambria Math" w:eastAsiaTheme="minorEastAsia" w:hAnsi="Cambria Math"/>
                    </w:rPr>
                    <m:t>m</m:t>
                  </m:r>
                </m:sup>
              </m:sSup>
            </m:e>
          </m:d>
          <m:r>
            <w:rPr>
              <w:rStyle w:val="MTConvertedEquation"/>
              <w:rFonts w:ascii="Cambria Math" w:eastAsiaTheme="minorEastAsia" w:hAnsi="Cambria Math"/>
            </w:rPr>
            <m:t>,</m:t>
          </m:r>
        </m:oMath>
      </m:oMathPara>
    </w:p>
    <w:p w:rsidR="00723AA9" w:rsidRDefault="00E71A31" w:rsidP="00723AA9">
      <w:pPr>
        <w:rPr>
          <w:rFonts w:eastAsiaTheme="minorEastAsia"/>
          <w:i/>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m:t>
                  </m:r>
                </m:sup>
              </m:sSup>
            </m:e>
          </m:d>
          <m:r>
            <w:rPr>
              <w:rFonts w:ascii="Cambria Math" w:eastAsiaTheme="minorEastAsia" w:hAnsi="Cambria Math"/>
            </w:rPr>
            <m:t>.</m:t>
          </m:r>
        </m:oMath>
      </m:oMathPara>
    </w:p>
    <w:p w:rsidR="00701841" w:rsidRPr="00701841" w:rsidRDefault="00701841" w:rsidP="00723AA9">
      <w:pPr>
        <w:rPr>
          <w:rFonts w:eastAsiaTheme="minorEastAsia"/>
        </w:rPr>
      </w:pPr>
      <w:r>
        <w:rPr>
          <w:rFonts w:eastAsiaTheme="minorEastAsia"/>
        </w:rPr>
        <w:t xml:space="preserve">Here, </w:t>
      </w:r>
      <m:oMath>
        <m:r>
          <w:rPr>
            <w:rFonts w:ascii="Cambria Math" w:eastAsiaTheme="minorEastAsia" w:hAnsi="Cambria Math"/>
          </w:rPr>
          <m:t>γ</m:t>
        </m:r>
      </m:oMath>
      <w:r>
        <w:rPr>
          <w:rFonts w:eastAsiaTheme="minorEastAsia"/>
        </w:rPr>
        <w:t xml:space="preserve"> is the recovery rate,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x=m, f, s</m:t>
        </m:r>
      </m:oMath>
      <w:r>
        <w:rPr>
          <w:rFonts w:eastAsiaTheme="minorEastAsia"/>
        </w:rPr>
        <w:t xml:space="preserve">  are the transmission rates, and </w:t>
      </w:r>
      <m:oMath>
        <m:r>
          <w:rPr>
            <w:rFonts w:ascii="Cambria Math" w:eastAsiaTheme="minorEastAsia" w:hAnsi="Cambria Math"/>
          </w:rPr>
          <m:t>c</m:t>
        </m:r>
      </m:oMath>
      <w:r>
        <w:rPr>
          <w:rFonts w:eastAsiaTheme="minorEastAsia"/>
        </w:rPr>
        <w:t xml:space="preserve"> is the weight placed on the female prevalence compared to the FSW prevalence in determining new infections in males.</w:t>
      </w:r>
    </w:p>
    <w:p w:rsidR="001305CA" w:rsidRDefault="00392E4C" w:rsidP="001305CA">
      <w:pPr>
        <w:pStyle w:val="MTDisplayEquation"/>
        <w:rPr>
          <w:rStyle w:val="MTConvertedEquation"/>
          <w:rFonts w:asciiTheme="majorHAnsi" w:eastAsiaTheme="minorEastAsia" w:hAnsiTheme="majorHAnsi"/>
        </w:rPr>
      </w:pPr>
      <w:r>
        <w:rPr>
          <w:rFonts w:eastAsiaTheme="minorEastAsia"/>
        </w:rPr>
        <w:t xml:space="preserve"> </w:t>
      </w:r>
      <w:r w:rsidR="001305CA">
        <w:rPr>
          <w:rStyle w:val="MTConvertedEquation"/>
          <w:rFonts w:asciiTheme="majorHAnsi" w:eastAsiaTheme="minorEastAsia" w:hAnsiTheme="majorHAnsi"/>
        </w:rPr>
        <w:t xml:space="preserve">In the intervention scenario, all of the existing dynamics still apply, but FSWs move into and out of an additional category.  FSWs who receive effective PPT move from whichever population they are in into the resistant population. They then leave this population at a constant rate calibrated to the half-life of the treatment they receive, and return to the susceptible population. </w:t>
      </w:r>
    </w:p>
    <w:p w:rsidR="001305CA" w:rsidRPr="003142D5" w:rsidRDefault="001305CA" w:rsidP="001305CA">
      <w:pPr>
        <w:pStyle w:val="MTDisplayEquation"/>
      </w:pPr>
      <w:r>
        <w:rPr>
          <w:rStyle w:val="MTConvertedEquation"/>
          <w:rFonts w:asciiTheme="majorHAnsi" w:eastAsiaTheme="minorEastAsia" w:hAnsiTheme="majorHAnsi"/>
        </w:rPr>
        <w:t xml:space="preserve">The FSW population is split into sub-populations based on whether they join the program, and if they join the program, in which period they receive treatment. For example, an FSW who receives treatment in the first time step would be in sub-group 1, an FSW who receives treatment in the second time step would be in sub-group 2, and so on up to G subgroups of FSWs who receive treatment. FSWs who do not join the program are in sub-group 0, but FSWs who join the program to the extent they are counted in the coverage statistics, but never receive a dose of treatment, are in the sub-group for when they would have received treatment. </w:t>
      </w:r>
      <w:r w:rsidR="00017C8A">
        <w:rPr>
          <w:rStyle w:val="MTConvertedEquation"/>
          <w:rFonts w:asciiTheme="majorHAnsi" w:eastAsiaTheme="minorEastAsia" w:hAnsiTheme="majorHAnsi"/>
        </w:rPr>
        <w:t xml:space="preserve">We assume that equal numbers of FSWs receive treatment each time step, and that FSWs do not move between groups. </w:t>
      </w:r>
    </w:p>
    <w:p w:rsidR="001305CA" w:rsidRDefault="001305CA" w:rsidP="00723AA9">
      <w:pPr>
        <w:rPr>
          <w:rStyle w:val="MTConvertedEquation"/>
          <w:rFonts w:asciiTheme="majorHAnsi" w:eastAsiaTheme="minorEastAsia" w:hAnsiTheme="majorHAnsi"/>
        </w:rPr>
      </w:pPr>
      <w:r>
        <w:rPr>
          <w:rStyle w:val="MTConvertedEquation"/>
          <w:rFonts w:asciiTheme="majorHAnsi" w:eastAsiaTheme="minorEastAsia" w:hAnsiTheme="majorHAnsi"/>
        </w:rPr>
        <w:t xml:space="preserve">We let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i</m:t>
            </m:r>
          </m:sub>
        </m:sSub>
        <m:r>
          <w:rPr>
            <w:rStyle w:val="MTConvertedEquation"/>
            <w:rFonts w:ascii="Cambria Math" w:eastAsiaTheme="minorEastAsia" w:hAnsi="Cambria Math"/>
          </w:rPr>
          <m:t>, i=0,..G</m:t>
        </m:r>
      </m:oMath>
      <w:r>
        <w:rPr>
          <w:rStyle w:val="MTConvertedEquation"/>
          <w:rFonts w:asciiTheme="majorHAnsi" w:eastAsiaTheme="minorEastAsia" w:hAnsiTheme="majorHAnsi"/>
        </w:rPr>
        <w:t xml:space="preserve"> denote the proportions of each FSW sub-population that are infected. </w:t>
      </w:r>
      <m:oMath>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s</m:t>
            </m:r>
          </m:e>
          <m:sub>
            <m:r>
              <w:rPr>
                <w:rStyle w:val="MTConvertedEquation"/>
                <w:rFonts w:ascii="Cambria Math" w:eastAsiaTheme="minorEastAsia" w:hAnsi="Cambria Math"/>
              </w:rPr>
              <m:t>i</m:t>
            </m:r>
          </m:sub>
          <m:sup>
            <m:r>
              <w:rPr>
                <w:rStyle w:val="MTConvertedEquation"/>
                <w:rFonts w:ascii="Cambria Math" w:eastAsiaTheme="minorEastAsia" w:hAnsi="Cambria Math"/>
              </w:rPr>
              <m:t>r</m:t>
            </m:r>
          </m:sup>
        </m:sSubSup>
      </m:oMath>
      <w:r>
        <w:rPr>
          <w:rStyle w:val="MTConvertedEquation"/>
          <w:rFonts w:asciiTheme="majorHAnsi" w:eastAsiaTheme="minorEastAsia" w:hAnsiTheme="majorHAnsi"/>
        </w:rPr>
        <w:t xml:space="preserve"> denotes the proportion of the </w:t>
      </w:r>
      <m:oMath>
        <m:r>
          <w:rPr>
            <w:rStyle w:val="MTConvertedEquation"/>
            <w:rFonts w:ascii="Cambria Math" w:eastAsiaTheme="minorEastAsia" w:hAnsi="Cambria Math"/>
          </w:rPr>
          <m:t>i</m:t>
        </m:r>
      </m:oMath>
      <w:r>
        <w:rPr>
          <w:rStyle w:val="MTConvertedEquation"/>
          <w:rFonts w:asciiTheme="majorHAnsi" w:eastAsiaTheme="minorEastAsia" w:hAnsiTheme="majorHAnsi"/>
          <w:vertAlign w:val="superscript"/>
        </w:rPr>
        <w:t>th</w:t>
      </w:r>
      <w:r>
        <w:rPr>
          <w:rStyle w:val="MTConvertedEquation"/>
          <w:rFonts w:asciiTheme="majorHAnsi" w:eastAsiaTheme="minorEastAsia" w:hAnsiTheme="majorHAnsi"/>
        </w:rPr>
        <w:t xml:space="preserve"> FSW sub-population that are currently resistant. For </w:t>
      </w:r>
      <w:r w:rsidR="00017C8A">
        <w:rPr>
          <w:rStyle w:val="MTConvertedEquation"/>
          <w:rFonts w:asciiTheme="majorHAnsi" w:eastAsiaTheme="minorEastAsia" w:hAnsiTheme="majorHAnsi"/>
        </w:rPr>
        <w:t xml:space="preserve">sub-groups </w:t>
      </w:r>
      <m:oMath>
        <m:r>
          <w:rPr>
            <w:rStyle w:val="MTConvertedEquation"/>
            <w:rFonts w:ascii="Cambria Math" w:eastAsiaTheme="minorEastAsia" w:hAnsi="Cambria Math"/>
          </w:rPr>
          <m:t>i</m:t>
        </m:r>
      </m:oMath>
      <w:r w:rsidR="00017C8A">
        <w:rPr>
          <w:rStyle w:val="MTConvertedEquation"/>
          <w:rFonts w:asciiTheme="majorHAnsi" w:eastAsiaTheme="minorEastAsia" w:hAnsiTheme="majorHAnsi"/>
        </w:rPr>
        <w:t xml:space="preserve"> which are not receiving treatment this time step,</w:t>
      </w:r>
    </w:p>
    <w:p w:rsidR="00F14D99" w:rsidRPr="002914AA" w:rsidRDefault="00E71A31" w:rsidP="00723AA9">
      <w:pPr>
        <w:rPr>
          <w:rFonts w:eastAsiaTheme="minorEastAsia"/>
          <w:i/>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r</m:t>
                  </m:r>
                </m:sup>
              </m:sSubSup>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m:t>
                  </m:r>
                </m:sup>
              </m:sSup>
            </m:e>
          </m:d>
        </m:oMath>
      </m:oMathPara>
    </w:p>
    <w:p w:rsidR="00B60685" w:rsidRDefault="00E71A31" w:rsidP="00B60685">
      <w:pPr>
        <w:pStyle w:val="MTDisplayEquation"/>
        <w:rPr>
          <w:rStyle w:val="MTConvertedEquation"/>
          <w:rFonts w:eastAsiaTheme="minorEastAsia"/>
          <w:i/>
        </w:rPr>
      </w:pPr>
      <m:oMathPara>
        <m:oMath>
          <m:sSubSup>
            <m:sSubSupPr>
              <m:ctrlPr>
                <w:rPr>
                  <w:rStyle w:val="MTConvertedEquation"/>
                  <w:rFonts w:ascii="Cambria Math" w:hAnsi="Cambria Math"/>
                  <w:i/>
                </w:rPr>
              </m:ctrlPr>
            </m:sSubSupPr>
            <m:e>
              <m:acc>
                <m:accPr>
                  <m:chr m:val="̇"/>
                  <m:ctrlPr>
                    <w:rPr>
                      <w:rStyle w:val="MTConvertedEquation"/>
                      <w:rFonts w:ascii="Cambria Math" w:hAnsi="Cambria Math"/>
                      <w:i/>
                    </w:rPr>
                  </m:ctrlPr>
                </m:accPr>
                <m:e>
                  <m:r>
                    <w:rPr>
                      <w:rStyle w:val="MTConvertedEquation"/>
                      <w:rFonts w:ascii="Cambria Math" w:hAnsi="Cambria Math"/>
                    </w:rPr>
                    <m:t>s</m:t>
                  </m:r>
                </m:e>
              </m:acc>
              <m:r>
                <w:rPr>
                  <w:rStyle w:val="MTConvertedEquation"/>
                  <w:rFonts w:ascii="Cambria Math" w:hAnsi="Cambria Math"/>
                </w:rPr>
                <m:t> </m:t>
              </m:r>
            </m:e>
            <m:sub>
              <m:r>
                <w:rPr>
                  <w:rStyle w:val="MTConvertedEquation"/>
                  <w:rFonts w:ascii="Cambria Math" w:hAnsi="Cambria Math"/>
                </w:rPr>
                <m:t>i</m:t>
              </m:r>
            </m:sub>
            <m:sup>
              <m:r>
                <w:rPr>
                  <w:rStyle w:val="MTConvertedEquation"/>
                  <w:rFonts w:ascii="Cambria Math" w:hAnsi="Cambria Math"/>
                </w:rPr>
                <m:t>r</m:t>
              </m:r>
            </m:sup>
          </m:sSubSup>
          <m:r>
            <w:rPr>
              <w:rStyle w:val="MTConvertedEquation"/>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i</m:t>
              </m:r>
            </m:sub>
            <m:sup>
              <m:r>
                <w:rPr>
                  <w:rStyle w:val="MTConvertedEquation"/>
                  <w:rFonts w:ascii="Cambria Math" w:hAnsi="Cambria Math"/>
                </w:rPr>
                <m:t>r</m:t>
              </m:r>
            </m:sup>
          </m:sSubSup>
          <m:d>
            <m:dPr>
              <m:ctrlPr>
                <w:rPr>
                  <w:rStyle w:val="MTConvertedEquation"/>
                  <w:rFonts w:ascii="Cambria Math" w:hAnsi="Cambria Math"/>
                  <w:i/>
                </w:rPr>
              </m:ctrlPr>
            </m:dPr>
            <m:e>
              <m:r>
                <w:rPr>
                  <w:rStyle w:val="MTConvertedEquation"/>
                  <w:rFonts w:ascii="Cambria Math" w:hAnsi="Cambria Math"/>
                </w:rPr>
                <m:t>1-θ</m:t>
              </m:r>
            </m:e>
          </m:d>
          <m:r>
            <w:rPr>
              <w:rStyle w:val="MTConvertedEquation"/>
              <w:rFonts w:ascii="Cambria Math" w:hAnsi="Cambria Math"/>
            </w:rPr>
            <m:t>.</m:t>
          </m:r>
        </m:oMath>
      </m:oMathPara>
    </w:p>
    <w:p w:rsidR="009C1FA8" w:rsidRDefault="00017C8A" w:rsidP="00017C8A">
      <w:r>
        <w:t xml:space="preserve">For the sub-group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9C1FA8">
        <w:rPr>
          <w:rFonts w:eastAsiaTheme="minorEastAsia"/>
        </w:rPr>
        <w:t xml:space="preserve"> </w:t>
      </w:r>
      <w:r>
        <w:t>receiving treatment time step</w:t>
      </w:r>
      <w:r w:rsidR="009C1FA8">
        <w:t xml:space="preserve"> </w:t>
      </w:r>
      <m:oMath>
        <m:r>
          <w:rPr>
            <w:rFonts w:ascii="Cambria Math" w:hAnsi="Cambria Math"/>
          </w:rPr>
          <m:t>t</m:t>
        </m:r>
      </m:oMath>
      <w:r>
        <w:t xml:space="preserve">, we assume that effective treatment will be provided to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t>, 0&lt;</w:t>
      </w:r>
      <w:r>
        <w:rPr>
          <w:lang w:val="el-GR"/>
        </w:rPr>
        <w:t>δ</w:t>
      </w:r>
      <w:r>
        <w:t xml:space="preserve">&lt;1, of people in that sub-population, independently of their disease status. Our equations are, </w:t>
      </w:r>
    </w:p>
    <w:p w:rsidR="00017C8A" w:rsidRPr="00017C8A" w:rsidRDefault="00E71A31" w:rsidP="00017C8A">
      <m:oMathPara>
        <m:oMath>
          <m:sSubSup>
            <m:sSubSupPr>
              <m:ctrlPr>
                <w:rPr>
                  <w:rStyle w:val="MTConvertedEquation"/>
                  <w:rFonts w:ascii="Cambria Math" w:hAnsi="Cambria Math"/>
                  <w:i/>
                </w:rPr>
              </m:ctrlPr>
            </m:sSubSupPr>
            <m:e>
              <m:acc>
                <m:accPr>
                  <m:chr m:val="̇"/>
                  <m:ctrlPr>
                    <w:rPr>
                      <w:rStyle w:val="MTConvertedEquation"/>
                      <w:rFonts w:ascii="Cambria Math" w:hAnsi="Cambria Math"/>
                      <w:i/>
                    </w:rPr>
                  </m:ctrlPr>
                </m:accPr>
                <m:e>
                  <m:r>
                    <w:rPr>
                      <w:rStyle w:val="MTConvertedEquation"/>
                      <w:rFonts w:ascii="Cambria Math" w:hAnsi="Cambria Math"/>
                    </w:rPr>
                    <m:t>s</m:t>
                  </m:r>
                </m:e>
              </m:acc>
            </m:e>
            <m:sub>
              <m:sSub>
                <m:sSubPr>
                  <m:ctrlPr>
                    <w:rPr>
                      <w:rStyle w:val="MTConvertedEquation"/>
                      <w:rFonts w:ascii="Cambria Math" w:hAnsi="Cambria Math"/>
                      <w:i/>
                    </w:rPr>
                  </m:ctrlPr>
                </m:sSubPr>
                <m:e>
                  <m:r>
                    <w:rPr>
                      <w:rStyle w:val="MTConvertedEquation"/>
                      <w:rFonts w:ascii="Cambria Math" w:hAnsi="Cambria Math"/>
                    </w:rPr>
                    <m:t>g</m:t>
                  </m:r>
                </m:e>
                <m:sub>
                  <m:r>
                    <w:rPr>
                      <w:rStyle w:val="MTConvertedEquation"/>
                      <w:rFonts w:ascii="Cambria Math" w:hAnsi="Cambria Math"/>
                    </w:rPr>
                    <m:t>t</m:t>
                  </m:r>
                </m:sub>
              </m:sSub>
            </m:sub>
            <m:sup>
              <m:r>
                <w:rPr>
                  <w:rStyle w:val="MTConvertedEquation"/>
                  <w:rFonts w:ascii="Cambria Math" w:hAnsi="Cambria Math"/>
                </w:rPr>
                <m:t>r</m:t>
              </m:r>
            </m:sup>
          </m:sSubSup>
          <m:r>
            <w:rPr>
              <w:rStyle w:val="MTConvertedEquation"/>
              <w:rFonts w:ascii="Cambria Math" w:hAnsi="Cambria Math"/>
            </w:rPr>
            <m:t>= </m:t>
          </m:r>
          <m:sSub>
            <m:sSubPr>
              <m:ctrlPr>
                <w:rPr>
                  <w:rStyle w:val="MTConvertedEquation"/>
                  <w:rFonts w:ascii="Cambria Math" w:eastAsiaTheme="minorEastAsia" w:hAnsi="Cambria Math"/>
                  <w:i/>
                </w:rPr>
              </m:ctrlPr>
            </m:sSubPr>
            <m:e>
              <m:r>
                <w:rPr>
                  <w:rStyle w:val="MTConvertedEquation"/>
                  <w:rFonts w:ascii="Cambria Math" w:hAnsi="Cambria Math"/>
                </w:rPr>
                <m:t>δ</m:t>
              </m:r>
              <m:ctrlPr>
                <w:rPr>
                  <w:rStyle w:val="MTConvertedEquation"/>
                  <w:rFonts w:ascii="Cambria Math" w:hAnsi="Cambria Math"/>
                  <w:i/>
                </w:rPr>
              </m:ctrlPr>
            </m:e>
            <m:sub>
              <m:r>
                <w:rPr>
                  <w:rStyle w:val="MTConvertedEquation"/>
                  <w:rFonts w:ascii="Cambria Math" w:eastAsiaTheme="minorEastAsia" w:hAnsi="Cambria Math"/>
                </w:rPr>
                <m:t>t</m:t>
              </m:r>
            </m:sub>
          </m:sSub>
        </m:oMath>
      </m:oMathPara>
    </w:p>
    <w:p w:rsidR="00B3763F" w:rsidRDefault="00E71A31" w:rsidP="00052D2A">
      <w:pPr>
        <w:pStyle w:val="MTDisplayEquation"/>
        <w:rPr>
          <w:rStyle w:val="MTConvertedEquation"/>
          <w:rFonts w:eastAsiaTheme="minorEastAsia"/>
          <w:i/>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s</m:t>
                  </m:r>
                </m:e>
              </m:acc>
            </m:e>
            <m:sub>
              <m:sSub>
                <m:sSubPr>
                  <m:ctrlPr>
                    <w:rPr>
                      <w:rStyle w:val="MTConvertedEquation"/>
                      <w:rFonts w:ascii="Cambria Math" w:hAnsi="Cambria Math"/>
                      <w:i/>
                    </w:rPr>
                  </m:ctrlPr>
                </m:sSubPr>
                <m:e>
                  <m:r>
                    <w:rPr>
                      <w:rStyle w:val="MTConvertedEquation"/>
                      <w:rFonts w:ascii="Cambria Math" w:hAnsi="Cambria Math"/>
                    </w:rPr>
                    <m:t>g</m:t>
                  </m:r>
                </m:e>
                <m:sub>
                  <m:r>
                    <w:rPr>
                      <w:rStyle w:val="MTConvertedEquation"/>
                      <w:rFonts w:ascii="Cambria Math" w:hAnsi="Cambria Math"/>
                    </w:rPr>
                    <m:t>t</m:t>
                  </m:r>
                </m:sub>
              </m:sSub>
            </m:sub>
          </m:sSub>
          <m:r>
            <w:rPr>
              <w:rStyle w:val="MTConvertedEquation"/>
              <w:rFonts w:ascii="Cambria Math"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m:t>
                      </m:r>
                    </m:sup>
                  </m:sSup>
                </m:e>
              </m:d>
            </m:e>
          </m:d>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t</m:t>
                  </m:r>
                </m:sub>
              </m:sSub>
            </m:e>
          </m:d>
          <m:r>
            <w:rPr>
              <w:rStyle w:val="MTConvertedEquation"/>
              <w:rFonts w:ascii="Cambria Math" w:hAnsi="Cambria Math"/>
            </w:rPr>
            <m:t>.</m:t>
          </m:r>
        </m:oMath>
      </m:oMathPara>
    </w:p>
    <w:p w:rsidR="00017C8A" w:rsidRDefault="00017C8A" w:rsidP="00017C8A">
      <w:pPr>
        <w:pStyle w:val="MTDisplayEquation"/>
        <w:rPr>
          <w:rStyle w:val="MTConvertedEquation"/>
          <w:rFonts w:asciiTheme="majorHAnsi" w:eastAsiaTheme="minorEastAsia" w:hAnsiTheme="majorHAnsi"/>
        </w:rPr>
      </w:pPr>
      <w:r>
        <w:rPr>
          <w:rStyle w:val="MTConvertedEquation"/>
          <w:rFonts w:asciiTheme="majorHAnsi" w:eastAsiaTheme="minorEastAsia" w:hAnsiTheme="majorHAnsi"/>
        </w:rPr>
        <w:t>We assume that treatment happens at the end of each time step, so that FSWs who receive treatment in a given time step infect people as normal during that time step.</w:t>
      </w:r>
    </w:p>
    <w:p w:rsidR="00017C8A" w:rsidRDefault="00017C8A" w:rsidP="00017C8A">
      <w:r>
        <w:t xml:space="preserve">We also modify our infection rate for men, to account for the different infection levels among the different FSW sub-populations. </w:t>
      </w:r>
    </w:p>
    <w:p w:rsidR="00017C8A" w:rsidRPr="00017C8A" w:rsidRDefault="00017C8A" w:rsidP="00017C8A">
      <m:oMathPara>
        <m:oMath>
          <m:r>
            <w:rPr>
              <w:rStyle w:val="MTConvertedEquation"/>
              <w:rFonts w:ascii="Cambria Math" w:hAnsi="Cambria Math"/>
            </w:rPr>
            <m:t xml:space="preserve">  </m:t>
          </m:r>
          <m:acc>
            <m:accPr>
              <m:chr m:val="̇"/>
              <m:ctrlPr>
                <w:rPr>
                  <w:rStyle w:val="MTConvertedEquation"/>
                  <w:rFonts w:ascii="Cambria Math" w:hAnsi="Cambria Math"/>
                  <w:i/>
                </w:rPr>
              </m:ctrlPr>
            </m:accPr>
            <m:e>
              <m:r>
                <w:rPr>
                  <w:rStyle w:val="MTConvertedEquation"/>
                  <w:rFonts w:ascii="Cambria Math" w:hAnsi="Cambria Math"/>
                </w:rPr>
                <m:t>m</m:t>
              </m:r>
            </m:e>
          </m:acc>
          <m:r>
            <w:rPr>
              <w:rStyle w:val="MTConvertedEquation"/>
              <w:rFonts w:ascii="Cambria Math" w:hAnsi="Cambria Math"/>
            </w:rPr>
            <m:t xml:space="preserve"> = m</m:t>
          </m:r>
          <m:d>
            <m:dPr>
              <m:ctrlPr>
                <w:rPr>
                  <w:rStyle w:val="MTConvertedEquation"/>
                  <w:rFonts w:ascii="Cambria Math" w:hAnsi="Cambria Math"/>
                  <w:i/>
                </w:rPr>
              </m:ctrlPr>
            </m:dPr>
            <m:e>
              <m:r>
                <w:rPr>
                  <w:rStyle w:val="MTConvertedEquation"/>
                  <w:rFonts w:ascii="Cambria Math" w:hAnsi="Cambria Math"/>
                </w:rPr>
                <m:t>1 – γ</m:t>
              </m:r>
            </m:e>
          </m:d>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 – m</m:t>
              </m:r>
            </m:e>
          </m:d>
          <m:d>
            <m:dPr>
              <m:begChr m:val=""/>
              <m:ctrlPr>
                <w:rPr>
                  <w:rStyle w:val="MTConvertedEquation"/>
                  <w:rFonts w:ascii="Cambria Math" w:hAnsi="Cambria Math"/>
                  <w:i/>
                </w:rPr>
              </m:ctrlPr>
            </m:dPr>
            <m:e>
              <m:d>
                <m:dPr>
                  <m:endChr m:val=""/>
                  <m:ctrlPr>
                    <w:rPr>
                      <w:rStyle w:val="MTConvertedEquation"/>
                      <w:rFonts w:ascii="Cambria Math" w:hAnsi="Cambria Math"/>
                      <w:i/>
                    </w:rPr>
                  </m:ctrlPr>
                </m:dPr>
                <m:e>
                  <m:r>
                    <w:rPr>
                      <w:rStyle w:val="MTConvertedEquation"/>
                      <w:rFonts w:ascii="Cambria Math" w:hAnsi="Cambria Math"/>
                    </w:rPr>
                    <m:t xml:space="preserve"> 1 – </m:t>
                  </m:r>
                  <m:sSup>
                    <m:sSupPr>
                      <m:ctrlPr>
                        <w:rPr>
                          <w:rStyle w:val="MTConvertedEquation"/>
                          <w:rFonts w:ascii="Cambria Math" w:hAnsi="Cambria Math"/>
                          <w:i/>
                        </w:rPr>
                      </m:ctrlPr>
                    </m:sSupPr>
                    <m:e>
                      <m:r>
                        <w:rPr>
                          <w:rStyle w:val="MTConvertedEquation"/>
                          <w:rFonts w:ascii="Cambria Math" w:hAnsi="Cambria Math"/>
                        </w:rPr>
                        <m:t>e</m:t>
                      </m:r>
                    </m:e>
                    <m:sup>
                      <m:sSub>
                        <m:sSubPr>
                          <m:ctrlPr>
                            <w:rPr>
                              <w:rStyle w:val="MTConvertedEquation"/>
                              <w:rFonts w:ascii="Cambria Math" w:hAnsi="Cambria Math"/>
                              <w:i/>
                            </w:rPr>
                          </m:ctrlPr>
                        </m:sSubPr>
                        <m:e>
                          <m:r>
                            <w:rPr>
                              <w:rStyle w:val="MTConvertedEquation"/>
                              <w:rFonts w:ascii="Cambria Math" w:hAnsi="Cambria Math"/>
                            </w:rPr>
                            <m:t>β</m:t>
                          </m:r>
                        </m:e>
                        <m:sub>
                          <m:r>
                            <w:rPr>
                              <w:rStyle w:val="MTConvertedEquation"/>
                              <w:rFonts w:ascii="Cambria Math" w:hAnsi="Cambria Math"/>
                            </w:rPr>
                            <m:t>m</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cf +</m:t>
                          </m:r>
                          <m:d>
                            <m:dPr>
                              <m:ctrlPr>
                                <w:rPr>
                                  <w:rStyle w:val="MTConvertedEquation"/>
                                  <w:rFonts w:ascii="Cambria Math" w:hAnsi="Cambria Math"/>
                                  <w:i/>
                                </w:rPr>
                              </m:ctrlPr>
                            </m:dPr>
                            <m:e>
                              <m:r>
                                <w:rPr>
                                  <w:rStyle w:val="MTConvertedEquation"/>
                                  <w:rFonts w:ascii="Cambria Math" w:hAnsi="Cambria Math"/>
                                </w:rPr>
                                <m:t>1-c</m:t>
                              </m:r>
                            </m:e>
                          </m:d>
                          <m:r>
                            <m:rPr>
                              <m:sty m:val="bi"/>
                            </m:rPr>
                            <w:rPr>
                              <w:rStyle w:val="MTConvertedEquation"/>
                              <w:rFonts w:ascii="Cambria Math" w:hAnsi="Cambria Math"/>
                            </w:rPr>
                            <m:t>S</m:t>
                          </m:r>
                          <m:ctrlPr>
                            <w:rPr>
                              <w:rStyle w:val="MTConvertedEquation"/>
                              <w:rFonts w:ascii="Cambria Math" w:hAnsi="Cambria Math"/>
                              <w:b/>
                              <w:i/>
                            </w:rPr>
                          </m:ctrlPr>
                        </m:e>
                      </m:d>
                    </m:sup>
                  </m:sSup>
                </m:e>
              </m:d>
            </m:e>
          </m:d>
          <m:r>
            <w:rPr>
              <w:rStyle w:val="MTConvertedEquation"/>
              <w:rFonts w:ascii="Cambria Math" w:hAnsi="Cambria Math"/>
            </w:rPr>
            <m:t>,</m:t>
          </m:r>
        </m:oMath>
      </m:oMathPara>
    </w:p>
    <w:p w:rsidR="00723AA9" w:rsidRPr="00F14D99" w:rsidRDefault="00017C8A" w:rsidP="00052D2A">
      <w:pPr>
        <w:pStyle w:val="MTDisplayEquation"/>
        <w:rPr>
          <w:rStyle w:val="MTConvertedEquation"/>
          <w:rFonts w:eastAsiaTheme="minorEastAsia"/>
          <w:i/>
        </w:rPr>
      </w:pPr>
      <m:oMathPara>
        <m:oMath>
          <m:r>
            <m:rPr>
              <m:nor/>
            </m:rPr>
            <w:rPr>
              <w:rFonts w:ascii="Cambria Math" w:hAnsi="Cambria Math"/>
            </w:rPr>
            <m:t xml:space="preserve">where  </m:t>
          </m:r>
          <m:r>
            <m:rPr>
              <m:sty m:val="bi"/>
            </m:rPr>
            <w:rPr>
              <w:rFonts w:ascii="Cambria Math" w:hAnsi="Cambria Math"/>
            </w:rPr>
            <m:t>S</m:t>
          </m:r>
          <m:r>
            <w:rPr>
              <w:rFonts w:ascii="Cambria Math" w:hAnsi="Cambria Math"/>
            </w:rPr>
            <m:t>=ζ</m:t>
          </m:r>
          <m:nary>
            <m:naryPr>
              <m:chr m:val="∑"/>
              <m:ctrlPr>
                <w:rPr>
                  <w:rFonts w:ascii="Cambria Math" w:hAnsi="Cambria Math"/>
                  <w:i/>
                </w:rPr>
              </m:ctrlPr>
            </m:naryPr>
            <m:sub>
              <m:r>
                <w:rPr>
                  <w:rFonts w:ascii="Cambria Math" w:hAnsi="Cambria Math"/>
                </w:rPr>
                <m:t>i=1</m:t>
              </m:r>
            </m:sub>
            <m:sup>
              <m:r>
                <w:rPr>
                  <w:rFonts w:ascii="Cambria Math" w:hAnsi="Cambria Math"/>
                </w:rPr>
                <m:t>G</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G</m:t>
                  </m:r>
                </m:den>
              </m:f>
            </m:e>
          </m:nary>
          <m:r>
            <w:rPr>
              <w:rFonts w:ascii="Cambria Math" w:hAnsi="Cambria Math"/>
            </w:rPr>
            <m:t>+</m:t>
          </m:r>
          <m:d>
            <m:dPr>
              <m:ctrlPr>
                <w:rPr>
                  <w:rFonts w:ascii="Cambria Math" w:hAnsi="Cambria Math"/>
                  <w:i/>
                </w:rPr>
              </m:ctrlPr>
            </m:dPr>
            <m:e>
              <m:r>
                <w:rPr>
                  <w:rFonts w:ascii="Cambria Math" w:hAnsi="Cambria Math"/>
                </w:rPr>
                <m:t>1-ζ</m:t>
              </m:r>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Theme="minorEastAsia" w:hAnsi="Cambria Math"/>
            </w:rPr>
            <m:t>.</m:t>
          </m:r>
        </m:oMath>
      </m:oMathPara>
    </w:p>
    <w:p w:rsidR="00D818A7" w:rsidRPr="00017C8A" w:rsidRDefault="009C1FA8" w:rsidP="00017C8A">
      <w:r>
        <w:t xml:space="preserve">In this model, every constant except </w:t>
      </w:r>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f</m:t>
            </m:r>
          </m:sub>
        </m:sSub>
        <m:r>
          <m:rPr>
            <m:nor/>
          </m:rPr>
          <w:rPr>
            <w:rFonts w:ascii="Cambria Math"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is an input. We input the levels of STI we want in the population, and fit </w:t>
      </w:r>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f</m:t>
            </m:r>
          </m:sub>
        </m:sSub>
        <m:r>
          <m:rPr>
            <m:nor/>
          </m:rPr>
          <w:rPr>
            <w:rFonts w:ascii="Cambria Math"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to these levels. </w:t>
      </w:r>
    </w:p>
    <w:p w:rsidR="00D818A7" w:rsidRDefault="00D818A7" w:rsidP="00D818A7">
      <w:pPr>
        <w:pStyle w:val="Heading2"/>
      </w:pPr>
      <w:r>
        <w:t>Parameter selection</w:t>
      </w:r>
    </w:p>
    <w:p w:rsidR="00D818A7" w:rsidRDefault="00D818A7" w:rsidP="00D818A7">
      <w:pPr>
        <w:ind w:left="709" w:hanging="709"/>
        <w:rPr>
          <w:rFonts w:asciiTheme="majorHAnsi" w:eastAsiaTheme="majorEastAsia" w:hAnsiTheme="majorHAnsi" w:cstheme="majorBidi"/>
        </w:rPr>
      </w:pPr>
      <m:oMath>
        <m:r>
          <w:rPr>
            <w:rFonts w:ascii="Cambria Math" w:eastAsiaTheme="majorEastAsia" w:hAnsi="Cambria Math" w:cstheme="majorBidi"/>
          </w:rPr>
          <m:t>γ</m:t>
        </m:r>
      </m:oMath>
      <w:r>
        <w:rPr>
          <w:rFonts w:asciiTheme="majorHAnsi" w:eastAsiaTheme="majorEastAsia" w:hAnsiTheme="majorHAnsi" w:cstheme="majorBidi"/>
        </w:rPr>
        <w:t>:</w:t>
      </w:r>
      <w:r>
        <w:rPr>
          <w:rFonts w:asciiTheme="majorHAnsi" w:eastAsiaTheme="majorEastAsia" w:hAnsiTheme="majorHAnsi" w:cstheme="majorBidi"/>
        </w:rPr>
        <w:tab/>
        <w:t xml:space="preserve">We  </w:t>
      </w:r>
    </w:p>
    <w:p w:rsidR="00D818A7" w:rsidRDefault="00D818A7" w:rsidP="00D818A7">
      <m:oMath>
        <m:r>
          <w:rPr>
            <w:rFonts w:ascii="Cambria Math" w:hAnsi="Cambria Math"/>
          </w:rPr>
          <m:t>c</m:t>
        </m:r>
      </m:oMath>
      <w:r>
        <w:rPr>
          <w:rFonts w:eastAsiaTheme="minorEastAsia"/>
        </w:rPr>
        <w:t>:</w:t>
      </w:r>
    </w:p>
    <w:p w:rsidR="00D818A7" w:rsidRPr="00D818A7" w:rsidRDefault="00D818A7" w:rsidP="00D818A7">
      <m:oMath>
        <m:r>
          <w:rPr>
            <w:rFonts w:ascii="Cambria Math" w:hAnsi="Cambria Math"/>
          </w:rPr>
          <m:t>ζ</m:t>
        </m:r>
      </m:oMath>
      <w:r>
        <w:rPr>
          <w:rFonts w:eastAsiaTheme="minorEastAsia"/>
        </w:rPr>
        <w:t>:</w:t>
      </w:r>
    </w:p>
    <w:p w:rsidR="00C90A05" w:rsidRDefault="00D818A7">
      <w:pPr>
        <w:rPr>
          <w:rFonts w:eastAsiaTheme="minorEastAsia"/>
        </w:rPr>
      </w:pPr>
      <m:oMath>
        <m:r>
          <w:rPr>
            <w:rFonts w:ascii="Cambria Math" w:hAnsi="Cambria Math"/>
          </w:rPr>
          <m:t>δ</m:t>
        </m:r>
      </m:oMath>
      <w:r>
        <w:rPr>
          <w:rFonts w:eastAsiaTheme="minorEastAsia"/>
        </w:rPr>
        <w:t>:</w:t>
      </w:r>
    </w:p>
    <w:p w:rsidR="00D818A7" w:rsidRPr="004F52C8" w:rsidRDefault="00D818A7">
      <m:oMath>
        <m:r>
          <w:rPr>
            <w:rFonts w:ascii="Cambria Math" w:hAnsi="Cambria Math"/>
          </w:rPr>
          <m:t>θ</m:t>
        </m:r>
      </m:oMath>
      <w:r>
        <w:rPr>
          <w:rFonts w:eastAsiaTheme="minorEastAsia"/>
        </w:rPr>
        <w:t>:</w:t>
      </w:r>
    </w:p>
    <w:sectPr w:rsidR="00D818A7" w:rsidRPr="004F52C8" w:rsidSect="00C90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779B"/>
    <w:rsid w:val="00017C8A"/>
    <w:rsid w:val="00052D2A"/>
    <w:rsid w:val="001305CA"/>
    <w:rsid w:val="002914AA"/>
    <w:rsid w:val="003142D5"/>
    <w:rsid w:val="0033348D"/>
    <w:rsid w:val="00392E4C"/>
    <w:rsid w:val="004A534F"/>
    <w:rsid w:val="004F52C8"/>
    <w:rsid w:val="00653C32"/>
    <w:rsid w:val="00681ADA"/>
    <w:rsid w:val="006E400A"/>
    <w:rsid w:val="00701841"/>
    <w:rsid w:val="00723AA9"/>
    <w:rsid w:val="007852B6"/>
    <w:rsid w:val="008532FA"/>
    <w:rsid w:val="009A03D9"/>
    <w:rsid w:val="009C1FA8"/>
    <w:rsid w:val="00A9779B"/>
    <w:rsid w:val="00AE2648"/>
    <w:rsid w:val="00B03100"/>
    <w:rsid w:val="00B3763F"/>
    <w:rsid w:val="00B537E8"/>
    <w:rsid w:val="00B60685"/>
    <w:rsid w:val="00C15059"/>
    <w:rsid w:val="00C90A05"/>
    <w:rsid w:val="00D818A7"/>
    <w:rsid w:val="00DC2385"/>
    <w:rsid w:val="00E71A31"/>
    <w:rsid w:val="00E91494"/>
    <w:rsid w:val="00F14D99"/>
    <w:rsid w:val="00F936E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8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8A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4</cp:revision>
  <cp:lastPrinted>2015-01-12T04:28:00Z</cp:lastPrinted>
  <dcterms:created xsi:type="dcterms:W3CDTF">2015-01-14T06:08:00Z</dcterms:created>
  <dcterms:modified xsi:type="dcterms:W3CDTF">2015-01-15T03:05:00Z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