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003366"/>
          <w:sz w:val="44"/>
        </w:rPr>
        <w:t>A股多次涨停概率评分框架</w:t>
      </w:r>
    </w:p>
    <w:p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32"/>
        </w:rPr>
        <w:t>完整1-10分评分对照表</w:t>
      </w:r>
    </w:p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2"/>
        </w:rPr>
        <w:t>版本：V1.0</w:t>
        <w:br/>
        <w:t>适用市场：A股主板/创业板/科创板</w:t>
        <w:br/>
        <w:t>编制日期：2024年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一、框架说明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1.1 框架目的</w:t>
      </w:r>
    </w:p>
    <w:p>
      <w:r>
        <w:rPr>
          <w:rFonts w:ascii="微软雅黑" w:hAnsi="微软雅黑" w:eastAsia="微软雅黑"/>
          <w:b w:val="0"/>
          <w:sz w:val="21"/>
        </w:rPr>
        <w:t>本评分框架旨在建立一套可解释、可量化的"多次涨停概率"评估体系，用于对A股市场潜在热点标的进行系统性筛选与分层排序。框架基于行为金融学与市场微观结构理论，结合A股市场特征（涨跌停板制度、散户占比高、政策驱动明显等），通过多维度评分机制识别具备连续涨停潜力的个股。核心目标是将主观经验转化为结构化评分标准，降低决策偏差，提高选股效率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1.2 框架设计原则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可解释性：</w:t>
      </w:r>
      <w:r>
        <w:rPr>
          <w:rFonts w:ascii="微软雅黑" w:hAnsi="微软雅黑" w:eastAsia="微软雅黑"/>
          <w:b w:val="0"/>
          <w:sz w:val="21"/>
        </w:rPr>
        <w:t>每个评分维度均有明确的定义、标准和数据来源，避免黑箱操作。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可量化性：</w:t>
      </w:r>
      <w:r>
        <w:rPr>
          <w:rFonts w:ascii="微软雅黑" w:hAnsi="微软雅黑" w:eastAsia="微软雅黑"/>
          <w:b w:val="0"/>
          <w:sz w:val="21"/>
        </w:rPr>
        <w:t>尽可能采用客观指标，减少主观判断空间，确保评分一致性。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动态适应性：</w:t>
      </w:r>
      <w:r>
        <w:rPr>
          <w:rFonts w:ascii="微软雅黑" w:hAnsi="微软雅黑" w:eastAsia="微软雅黑"/>
          <w:b w:val="0"/>
          <w:sz w:val="21"/>
        </w:rPr>
        <w:t>框架预留调整空间，可根据市场环境变化（如监管政策、资金流向）优化权重。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风险前置：</w:t>
      </w:r>
      <w:r>
        <w:rPr>
          <w:rFonts w:ascii="微软雅黑" w:hAnsi="微软雅黑" w:eastAsia="微软雅黑"/>
          <w:b w:val="0"/>
          <w:sz w:val="21"/>
        </w:rPr>
        <w:t>评分结果需结合风险提示使用，不作为投资建议。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1.3 权重依据</w:t>
      </w:r>
    </w:p>
    <w:p>
      <w:r>
        <w:rPr>
          <w:rFonts w:ascii="微软雅黑" w:hAnsi="微软雅黑" w:eastAsia="微软雅黑"/>
          <w:b w:val="0"/>
          <w:sz w:val="21"/>
        </w:rPr>
        <w:t>权重分配基于以下逻辑：事件重要性决定上涨逻辑强度（占40%），稀缺性决定资金聚焦程度（占60%）。这一比例反映了A股市场"强者恒强"的博弈特征——即使有重大利好，若标的缺乏辨识度，也难以形成连续涨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评分维度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权重依据说明</w:t>
            </w:r>
          </w:p>
        </w:tc>
      </w:tr>
      <w:tr>
        <w:tc>
          <w:tcPr>
            <w:tcW w:type="dxa" w:w="2880"/>
          </w:tcPr>
          <w:p>
            <w:r>
              <w:t>事件重要性(E)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880"/>
          </w:tcPr>
          <w:p>
            <w:r>
              <w:t>决定上涨逻辑的有效性和持续性。重大政策/事件是涨停的根本驱动力。</w:t>
            </w:r>
          </w:p>
        </w:tc>
      </w:tr>
      <w:tr>
        <w:tc>
          <w:tcPr>
            <w:tcW w:type="dxa" w:w="2880"/>
          </w:tcPr>
          <w:p>
            <w:r>
              <w:t>稀缺性(S)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60%</w:t>
            </w:r>
          </w:p>
        </w:tc>
        <w:tc>
          <w:tcPr>
            <w:tcW w:type="dxa" w:w="2880"/>
          </w:tcPr>
          <w:p>
            <w:r>
              <w:t>决定资金聚焦程度。标的越稀缺，越易形成共识，连续涨停概率越高。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二、事件重要性评分表(E)</w:t>
      </w:r>
    </w:p>
    <w:p>
      <w:r>
        <w:rPr>
          <w:rFonts w:ascii="微软雅黑" w:hAnsi="微软雅黑" w:eastAsia="微软雅黑"/>
          <w:b w:val="0"/>
          <w:sz w:val="21"/>
        </w:rPr>
        <w:t>事件重要性评估上涨驱动因素的有效性和持续性。评分基于三个维度：政策/事件级别、市场预期差、业绩弹性。最终重要性得分(E)为三维度加权聚合。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2.1 维度一：政策/事件级别(P)</w:t>
      </w:r>
    </w:p>
    <w:p>
      <w:r>
        <w:rPr>
          <w:rFonts w:ascii="微软雅黑" w:hAnsi="微软雅黑" w:eastAsia="微软雅黑"/>
          <w:b w:val="0"/>
          <w:sz w:val="21"/>
        </w:rPr>
        <w:t>评估驱动事件的行政层级和产业影响范围。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典型场景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2160"/>
          </w:tcPr>
          <w:p>
            <w:r>
              <w:t>国家级战略/重大突发事件</w:t>
            </w:r>
          </w:p>
        </w:tc>
        <w:tc>
          <w:tcPr>
            <w:tcW w:type="dxa" w:w="2160"/>
          </w:tcPr>
          <w:p>
            <w:r>
              <w:t>国家战略新兴产业规划、突发地缘冲突、重大技术突破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2160"/>
          </w:tcPr>
          <w:p>
            <w:r>
              <w:t>部委级政策/行业重大变革</w:t>
            </w:r>
          </w:p>
        </w:tc>
        <w:tc>
          <w:tcPr>
            <w:tcW w:type="dxa" w:w="2160"/>
          </w:tcPr>
          <w:p>
            <w:r>
              <w:t>工信部专项支持、证监会改革、行业准入政策调整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2160"/>
          </w:tcPr>
          <w:p>
            <w:r>
              <w:t>地方级重点政策/产业联盟</w:t>
            </w:r>
          </w:p>
        </w:tc>
        <w:tc>
          <w:tcPr>
            <w:tcW w:type="dxa" w:w="2160"/>
          </w:tcPr>
          <w:p>
            <w:r>
              <w:t>地方重点产业规划、央企重组、头部企业战略合作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2160"/>
          </w:tcPr>
          <w:p>
            <w:r>
              <w:t>企业级重大公告/订单</w:t>
            </w:r>
          </w:p>
        </w:tc>
        <w:tc>
          <w:tcPr>
            <w:tcW w:type="dxa" w:w="2160"/>
          </w:tcPr>
          <w:p>
            <w:r>
              <w:t>重大合同签订、并购重组、核心技术突破公告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160"/>
          </w:tcPr>
          <w:p>
            <w:r>
              <w:t>一般性利好/常规公告</w:t>
            </w:r>
          </w:p>
        </w:tc>
        <w:tc>
          <w:tcPr>
            <w:tcW w:type="dxa" w:w="2160"/>
          </w:tcPr>
          <w:p>
            <w:r>
              <w:t>季度业绩预增、普通合作协议、日常经营利好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2.2 维度二：市场预期差(M)</w:t>
      </w:r>
    </w:p>
    <w:p>
      <w:r>
        <w:rPr>
          <w:rFonts w:ascii="微软雅黑" w:hAnsi="微软雅黑" w:eastAsia="微软雅黑"/>
          <w:b w:val="0"/>
          <w:sz w:val="21"/>
        </w:rPr>
        <w:t>评估事件实际影响与市场已有预期的偏离程度。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判断依据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M4</w:t>
            </w:r>
          </w:p>
        </w:tc>
        <w:tc>
          <w:tcPr>
            <w:tcW w:type="dxa" w:w="2160"/>
          </w:tcPr>
          <w:p>
            <w:r>
              <w:t>超预期</w:t>
            </w:r>
          </w:p>
        </w:tc>
        <w:tc>
          <w:tcPr>
            <w:tcW w:type="dxa" w:w="2160"/>
          </w:tcPr>
          <w:p>
            <w:r>
              <w:t>事件强度/时间/范围显著超越市场主流预期，盘面出现突发性大涨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M3</w:t>
            </w:r>
          </w:p>
        </w:tc>
        <w:tc>
          <w:tcPr>
            <w:tcW w:type="dxa" w:w="2160"/>
          </w:tcPr>
          <w:p>
            <w:r>
              <w:t>符合预期偏上</w:t>
            </w:r>
          </w:p>
        </w:tc>
        <w:tc>
          <w:tcPr>
            <w:tcW w:type="dxa" w:w="2160"/>
          </w:tcPr>
          <w:p>
            <w:r>
              <w:t>事件符合预期但细节超预期，或市场存在分歧后确认利好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M2</w:t>
            </w:r>
          </w:p>
        </w:tc>
        <w:tc>
          <w:tcPr>
            <w:tcW w:type="dxa" w:w="2160"/>
          </w:tcPr>
          <w:p>
            <w:r>
              <w:t>符合预期</w:t>
            </w:r>
          </w:p>
        </w:tc>
        <w:tc>
          <w:tcPr>
            <w:tcW w:type="dxa" w:w="2160"/>
          </w:tcPr>
          <w:p>
            <w:r>
              <w:t>事件与市场主流预期基本一致，利好已被部分price 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M1</w:t>
            </w:r>
          </w:p>
        </w:tc>
        <w:tc>
          <w:tcPr>
            <w:tcW w:type="dxa" w:w="2160"/>
          </w:tcPr>
          <w:p>
            <w:r>
              <w:t>低于预期</w:t>
            </w:r>
          </w:p>
        </w:tc>
        <w:tc>
          <w:tcPr>
            <w:tcW w:type="dxa" w:w="2160"/>
          </w:tcPr>
          <w:p>
            <w:r>
              <w:t>事件落地但强度不及预期，或存在隐性利空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2.3 维度三：业绩弹性(R)</w:t>
      </w:r>
    </w:p>
    <w:p>
      <w:r>
        <w:rPr>
          <w:rFonts w:ascii="微软雅黑" w:hAnsi="微软雅黑" w:eastAsia="微软雅黑"/>
          <w:b w:val="0"/>
          <w:sz w:val="21"/>
        </w:rPr>
        <w:t>评估事件对公司未来业绩的潜在影响幅度。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测算标准</w:t>
            </w:r>
          </w:p>
        </w:tc>
        <w:tc>
          <w:tcPr>
            <w:tcW w:type="dxa" w:w="2160"/>
            <w:shd w:fill="2E75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R4</w:t>
            </w:r>
          </w:p>
        </w:tc>
        <w:tc>
          <w:tcPr>
            <w:tcW w:type="dxa" w:w="2160"/>
          </w:tcPr>
          <w:p>
            <w:r>
              <w:t>高弹性</w:t>
            </w:r>
          </w:p>
        </w:tc>
        <w:tc>
          <w:tcPr>
            <w:tcW w:type="dxa" w:w="2160"/>
          </w:tcPr>
          <w:p>
            <w:r>
              <w:t>预期净利润增长&gt;100%或营收增长&gt;200%，业务结构根本性改变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R3</w:t>
            </w:r>
          </w:p>
        </w:tc>
        <w:tc>
          <w:tcPr>
            <w:tcW w:type="dxa" w:w="2160"/>
          </w:tcPr>
          <w:p>
            <w:r>
              <w:t>中高弹性</w:t>
            </w:r>
          </w:p>
        </w:tc>
        <w:tc>
          <w:tcPr>
            <w:tcW w:type="dxa" w:w="2160"/>
          </w:tcPr>
          <w:p>
            <w:r>
              <w:t>预期净利润增长50-100%或营收增长100-200%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R2</w:t>
            </w:r>
          </w:p>
        </w:tc>
        <w:tc>
          <w:tcPr>
            <w:tcW w:type="dxa" w:w="2160"/>
          </w:tcPr>
          <w:p>
            <w:r>
              <w:t>中等弹性</w:t>
            </w:r>
          </w:p>
        </w:tc>
        <w:tc>
          <w:tcPr>
            <w:tcW w:type="dxa" w:w="2160"/>
          </w:tcPr>
          <w:p>
            <w:r>
              <w:t>预期净利润增长20-50%或营收增长50-100%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R1</w:t>
            </w:r>
          </w:p>
        </w:tc>
        <w:tc>
          <w:tcPr>
            <w:tcW w:type="dxa" w:w="2160"/>
          </w:tcPr>
          <w:p>
            <w:r>
              <w:t>低弹性</w:t>
            </w:r>
          </w:p>
        </w:tc>
        <w:tc>
          <w:tcPr>
            <w:tcW w:type="dxa" w:w="2160"/>
          </w:tcPr>
          <w:p>
            <w:r>
              <w:t>预期净利润增长&lt;20%，主要为概念性映射而非实质业绩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2.4 事件重要性聚合规则</w:t>
      </w:r>
    </w:p>
    <w:p>
      <w:r>
        <w:rPr>
          <w:rFonts w:ascii="微软雅黑" w:hAnsi="微软雅黑" w:eastAsia="微软雅黑"/>
          <w:b/>
          <w:sz w:val="21"/>
        </w:rPr>
        <w:t>事件重要性得分 E = P × 0.35 + M × 0.35 + R × 0.30</w:t>
      </w:r>
    </w:p>
    <w:p>
      <w:r>
        <w:rPr>
          <w:rFonts w:ascii="微软雅黑" w:hAnsi="微软雅黑" w:eastAsia="微软雅黑"/>
          <w:b w:val="0"/>
          <w:sz w:val="21"/>
        </w:rPr>
        <w:t>• 得分区间：E ∈ [1, 5]，保留两位小数</w:t>
      </w:r>
    </w:p>
    <w:p>
      <w:r>
        <w:rPr>
          <w:rFonts w:ascii="微软雅黑" w:hAnsi="微软雅黑" w:eastAsia="微软雅黑"/>
          <w:b w:val="0"/>
          <w:sz w:val="21"/>
        </w:rPr>
        <w:t>• P维度满分5分，M和R维度满分4分，经加权后E的理论范围为[1, 4.65]</w:t>
      </w:r>
    </w:p>
    <w:p>
      <w:r>
        <w:rPr>
          <w:rFonts w:ascii="微软雅黑" w:hAnsi="微软雅黑" w:eastAsia="微软雅黑"/>
          <w:b w:val="0"/>
          <w:sz w:val="21"/>
        </w:rPr>
        <w:t>• 为统一量纲，最终E按满分5分标准化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三、稀缺性评分表(S)</w:t>
      </w:r>
    </w:p>
    <w:p>
      <w:r>
        <w:rPr>
          <w:rFonts w:ascii="微软雅黑" w:hAnsi="微软雅黑" w:eastAsia="微软雅黑"/>
          <w:b w:val="0"/>
          <w:sz w:val="21"/>
        </w:rPr>
        <w:t>稀缺性评估标的在市场中的独特性和资金聚焦程度。评分基于三个维度：标的独特性、资金辨识度、筹码结构。稀缺性决定资金是否愿意持续流入并推动连续涨停。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3.1 维度一：标的独特性(U)</w:t>
      </w:r>
    </w:p>
    <w:p>
      <w:r>
        <w:rPr>
          <w:rFonts w:ascii="微软雅黑" w:hAnsi="微软雅黑" w:eastAsia="微软雅黑"/>
          <w:b w:val="0"/>
          <w:sz w:val="21"/>
        </w:rPr>
        <w:t>评估标的在所属题材中的独特地位和不可替代性。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U5</w:t>
            </w:r>
          </w:p>
        </w:tc>
        <w:tc>
          <w:tcPr>
            <w:tcW w:type="dxa" w:w="2160"/>
          </w:tcPr>
          <w:p>
            <w:r>
              <w:t>绝对龙头/唯一标的</w:t>
            </w:r>
          </w:p>
        </w:tc>
        <w:tc>
          <w:tcPr>
            <w:tcW w:type="dxa" w:w="2160"/>
          </w:tcPr>
          <w:p>
            <w:r>
              <w:t>细分领域市占率第一、唯一上市标的、无可替代性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U4</w:t>
            </w:r>
          </w:p>
        </w:tc>
        <w:tc>
          <w:tcPr>
            <w:tcW w:type="dxa" w:w="2160"/>
          </w:tcPr>
          <w:p>
            <w:r>
              <w:t>核心龙头</w:t>
            </w:r>
          </w:p>
        </w:tc>
        <w:tc>
          <w:tcPr>
            <w:tcW w:type="dxa" w:w="2160"/>
          </w:tcPr>
          <w:p>
            <w:r>
              <w:t>行业前三、技术壁垒高、资金共识度强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U3</w:t>
            </w:r>
          </w:p>
        </w:tc>
        <w:tc>
          <w:tcPr>
            <w:tcW w:type="dxa" w:w="2160"/>
          </w:tcPr>
          <w:p>
            <w:r>
              <w:t>重要参与者</w:t>
            </w:r>
          </w:p>
        </w:tc>
        <w:tc>
          <w:tcPr>
            <w:tcW w:type="dxa" w:w="2160"/>
          </w:tcPr>
          <w:p>
            <w:r>
              <w:t>行业前五、有明确竞争优势但非绝对龙头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U2</w:t>
            </w:r>
          </w:p>
        </w:tc>
        <w:tc>
          <w:tcPr>
            <w:tcW w:type="dxa" w:w="2160"/>
          </w:tcPr>
          <w:p>
            <w:r>
              <w:t>普通标的</w:t>
            </w:r>
          </w:p>
        </w:tc>
        <w:tc>
          <w:tcPr>
            <w:tcW w:type="dxa" w:w="2160"/>
          </w:tcPr>
          <w:p>
            <w:r>
              <w:t>行业跟随者、业务占比不高、可替代性强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U1</w:t>
            </w:r>
          </w:p>
        </w:tc>
        <w:tc>
          <w:tcPr>
            <w:tcW w:type="dxa" w:w="2160"/>
          </w:tcPr>
          <w:p>
            <w:r>
              <w:t>边缘标的</w:t>
            </w:r>
          </w:p>
        </w:tc>
        <w:tc>
          <w:tcPr>
            <w:tcW w:type="dxa" w:w="2160"/>
          </w:tcPr>
          <w:p>
            <w:r>
              <w:t>题材边缘沾边、主业关联度低、蹭概念嫌疑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3.2 维度二：资金辨识度(I)</w:t>
      </w:r>
    </w:p>
    <w:p>
      <w:r>
        <w:rPr>
          <w:rFonts w:ascii="微软雅黑" w:hAnsi="微软雅黑" w:eastAsia="微软雅黑"/>
          <w:b w:val="0"/>
          <w:sz w:val="21"/>
        </w:rPr>
        <w:t>评估标的对各类资金（游资/机构/散户）的吸引力与辨识度。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盘面特征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I5</w:t>
            </w:r>
          </w:p>
        </w:tc>
        <w:tc>
          <w:tcPr>
            <w:tcW w:type="dxa" w:w="2160"/>
          </w:tcPr>
          <w:p>
            <w:r>
              <w:t>全市场焦点</w:t>
            </w:r>
          </w:p>
        </w:tc>
        <w:tc>
          <w:tcPr>
            <w:tcW w:type="dxa" w:w="2160"/>
          </w:tcPr>
          <w:p>
            <w:r>
              <w:t>多路资金抢筹、龙虎榜豪华、市场讨论度极高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I4</w:t>
            </w:r>
          </w:p>
        </w:tc>
        <w:tc>
          <w:tcPr>
            <w:tcW w:type="dxa" w:w="2160"/>
          </w:tcPr>
          <w:p>
            <w:r>
              <w:t>游资核心标的</w:t>
            </w:r>
          </w:p>
        </w:tc>
        <w:tc>
          <w:tcPr>
            <w:tcW w:type="dxa" w:w="2160"/>
          </w:tcPr>
          <w:p>
            <w:r>
              <w:t>连板基因好、历史股性活跃、游资抱团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I3</w:t>
            </w:r>
          </w:p>
        </w:tc>
        <w:tc>
          <w:tcPr>
            <w:tcW w:type="dxa" w:w="2160"/>
          </w:tcPr>
          <w:p>
            <w:r>
              <w:t>机构+游资共振</w:t>
            </w:r>
          </w:p>
        </w:tc>
        <w:tc>
          <w:tcPr>
            <w:tcW w:type="dxa" w:w="2160"/>
          </w:tcPr>
          <w:p>
            <w:r>
              <w:t>有基本面支撑、机构调研密集、资金合力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I2</w:t>
            </w:r>
          </w:p>
        </w:tc>
        <w:tc>
          <w:tcPr>
            <w:tcW w:type="dxa" w:w="2160"/>
          </w:tcPr>
          <w:p>
            <w:r>
              <w:t>散户跟风标的</w:t>
            </w:r>
          </w:p>
        </w:tc>
        <w:tc>
          <w:tcPr>
            <w:tcW w:type="dxa" w:w="2160"/>
          </w:tcPr>
          <w:p>
            <w:r>
              <w:t>盘子适中、名字易记、跟风属性强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I1</w:t>
            </w:r>
          </w:p>
        </w:tc>
        <w:tc>
          <w:tcPr>
            <w:tcW w:type="dxa" w:w="2160"/>
          </w:tcPr>
          <w:p>
            <w:r>
              <w:t>冷门标的</w:t>
            </w:r>
          </w:p>
        </w:tc>
        <w:tc>
          <w:tcPr>
            <w:tcW w:type="dxa" w:w="2160"/>
          </w:tcPr>
          <w:p>
            <w:r>
              <w:t>成交低迷、关注度低、缺乏资金记忆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3.3 维度三：筹码结构(C)</w:t>
      </w:r>
    </w:p>
    <w:p>
      <w:r>
        <w:rPr>
          <w:rFonts w:ascii="微软雅黑" w:hAnsi="微软雅黑" w:eastAsia="微软雅黑"/>
          <w:b w:val="0"/>
          <w:sz w:val="21"/>
        </w:rPr>
        <w:t>评估标的流通筹码的分布状态和拉升阻力。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标准定义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量化标准</w:t>
            </w:r>
          </w:p>
        </w:tc>
        <w:tc>
          <w:tcPr>
            <w:tcW w:type="dxa" w:w="2160"/>
            <w:shd w:fill="70AD47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单项得分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C5</w:t>
            </w:r>
          </w:p>
        </w:tc>
        <w:tc>
          <w:tcPr>
            <w:tcW w:type="dxa" w:w="2160"/>
          </w:tcPr>
          <w:p>
            <w:r>
              <w:t>完美筹码结构</w:t>
            </w:r>
          </w:p>
        </w:tc>
        <w:tc>
          <w:tcPr>
            <w:tcW w:type="dxa" w:w="2160"/>
          </w:tcPr>
          <w:p>
            <w:r>
              <w:t>流通市值&lt;50亿、无大量解禁、股东户数少、套牢盘远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C4</w:t>
            </w:r>
          </w:p>
        </w:tc>
        <w:tc>
          <w:tcPr>
            <w:tcW w:type="dxa" w:w="2160"/>
          </w:tcPr>
          <w:p>
            <w:r>
              <w:t>优良筹码结构</w:t>
            </w:r>
          </w:p>
        </w:tc>
        <w:tc>
          <w:tcPr>
            <w:tcW w:type="dxa" w:w="2160"/>
          </w:tcPr>
          <w:p>
            <w:r>
              <w:t>流通市值50-100亿、近期无解禁、筹码集中度高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C3</w:t>
            </w:r>
          </w:p>
        </w:tc>
        <w:tc>
          <w:tcPr>
            <w:tcW w:type="dxa" w:w="2160"/>
          </w:tcPr>
          <w:p>
            <w:r>
              <w:t>中等筹码结构</w:t>
            </w:r>
          </w:p>
        </w:tc>
        <w:tc>
          <w:tcPr>
            <w:tcW w:type="dxa" w:w="2160"/>
          </w:tcPr>
          <w:p>
            <w:r>
              <w:t>流通市值100-200亿、有部分压力但可控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C2</w:t>
            </w:r>
          </w:p>
        </w:tc>
        <w:tc>
          <w:tcPr>
            <w:tcW w:type="dxa" w:w="2160"/>
          </w:tcPr>
          <w:p>
            <w:r>
              <w:t>较差筹码结构</w:t>
            </w:r>
          </w:p>
        </w:tc>
        <w:tc>
          <w:tcPr>
            <w:tcW w:type="dxa" w:w="2160"/>
          </w:tcPr>
          <w:p>
            <w:r>
              <w:t>流通市值&gt;200亿、近期有解禁或大额减持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C1</w:t>
            </w:r>
          </w:p>
        </w:tc>
        <w:tc>
          <w:tcPr>
            <w:tcW w:type="dxa" w:w="2160"/>
          </w:tcPr>
          <w:p>
            <w:r>
              <w:t>恶劣筹码结构</w:t>
            </w:r>
          </w:p>
        </w:tc>
        <w:tc>
          <w:tcPr>
            <w:tcW w:type="dxa" w:w="2160"/>
          </w:tcPr>
          <w:p>
            <w:r>
              <w:t>巨量解禁在即、基金重仓套牢盘密集、历史妖股套牢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1分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3.4 稀缺性聚合规则</w:t>
      </w:r>
    </w:p>
    <w:p>
      <w:r>
        <w:rPr>
          <w:rFonts w:ascii="微软雅黑" w:hAnsi="微软雅黑" w:eastAsia="微软雅黑"/>
          <w:b/>
          <w:sz w:val="21"/>
        </w:rPr>
        <w:t>稀缺性得分 S = U × 0.40 + I × 0.35 + C × 0.25</w:t>
      </w:r>
    </w:p>
    <w:p>
      <w:r>
        <w:rPr>
          <w:rFonts w:ascii="微软雅黑" w:hAnsi="微软雅黑" w:eastAsia="微软雅黑"/>
          <w:b w:val="0"/>
          <w:sz w:val="21"/>
        </w:rPr>
        <w:t>• 得分区间：S ∈ [1, 5]，保留两位小数</w:t>
      </w:r>
    </w:p>
    <w:p>
      <w:r>
        <w:rPr>
          <w:rFonts w:ascii="微软雅黑" w:hAnsi="微软雅黑" w:eastAsia="微软雅黑"/>
          <w:b w:val="0"/>
          <w:sz w:val="21"/>
        </w:rPr>
        <w:t>• 三个维度满分均为5分，经加权后S的理论范围为[1, 5]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四、综合评分公式与计算流程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4.1 综合评分公式</w:t>
      </w:r>
    </w:p>
    <w:p>
      <w:r>
        <w:rPr>
          <w:rFonts w:ascii="微软雅黑" w:hAnsi="微软雅黑" w:eastAsia="微软雅黑"/>
          <w:b/>
          <w:sz w:val="21"/>
        </w:rPr>
        <w:t>综合评分(Total Score, TS)计算公式：</w:t>
      </w:r>
    </w:p>
    <w:p>
      <w:r>
        <w:rPr>
          <w:rFonts w:ascii="微软雅黑" w:hAnsi="微软雅黑" w:eastAsia="微软雅黑"/>
          <w:b/>
          <w:sz w:val="24"/>
        </w:rPr>
        <w:t>TS = (E / 5) × 40% + (S / 5) × 60%</w:t>
      </w:r>
    </w:p>
    <w:p>
      <w:r>
        <w:rPr>
          <w:rFonts w:ascii="微软雅黑" w:hAnsi="微软雅黑" w:eastAsia="微软雅黑"/>
          <w:b w:val="0"/>
          <w:sz w:val="21"/>
        </w:rPr>
        <w:t>其中：E为事件重要性得分(1-5)，S为稀缺性得分(1-5)</w:t>
      </w:r>
    </w:p>
    <w:p>
      <w:r>
        <w:rPr>
          <w:rFonts w:ascii="微软雅黑" w:hAnsi="微软雅黑" w:eastAsia="微软雅黑"/>
          <w:b w:val="0"/>
          <w:sz w:val="21"/>
        </w:rPr>
        <w:t>公式说明：先将E和S标准化为[0.2, 1]区间（除以各自满分5），再按权重40%/60%加权求和，最终TS理论范围为[0.2, 1]。为便于使用，将TS映射到1-10分制（见第五章）。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4.2 计算流程图</w:t>
      </w:r>
    </w:p>
    <w:p>
      <w:r>
        <w:rPr>
          <w:rFonts w:ascii="微软雅黑" w:hAnsi="微软雅黑" w:eastAsia="微软雅黑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│                      评分计算流程                   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└──────────────────────────┬──────────────────────────────────┘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┌───────────────────┴───────────────────┐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▼                                       ▼</w:t>
      </w:r>
    </w:p>
    <w:p>
      <w:r>
        <w:rPr>
          <w:rFonts w:ascii="微软雅黑" w:hAnsi="微软雅黑" w:eastAsia="微软雅黑"/>
          <w:b w:val="0"/>
          <w:sz w:val="18"/>
        </w:rPr>
        <w:t xml:space="preserve">    ┌─────────────────┐                   ┌─────────────────┐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│   事件重要性E    │                   │    稀缺性S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│     (40%)       │                   │     (60%)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└────────┬────────┘                   └────────┬────────┘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│   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┌────────┴────────┐                   ┌────────┴────────┐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▼        ▼        ▼                   ▼        ▼        ▼</w:t>
      </w:r>
    </w:p>
    <w:p>
      <w:r>
        <w:rPr>
          <w:rFonts w:ascii="微软雅黑" w:hAnsi="微软雅黑" w:eastAsia="微软雅黑"/>
          <w:b w:val="0"/>
          <w:sz w:val="18"/>
        </w:rPr>
        <w:t xml:space="preserve">   政策     预期     业绩                 独特     资金     筹码</w:t>
      </w:r>
    </w:p>
    <w:p>
      <w:r>
        <w:rPr>
          <w:rFonts w:ascii="微软雅黑" w:hAnsi="微软雅黑" w:eastAsia="微软雅黑"/>
          <w:b w:val="0"/>
          <w:sz w:val="18"/>
        </w:rPr>
        <w:t xml:space="preserve">   级别     差       弹性                 性       辨识度   结构</w:t>
      </w:r>
    </w:p>
    <w:p>
      <w:r>
        <w:rPr>
          <w:rFonts w:ascii="微软雅黑" w:hAnsi="微软雅黑" w:eastAsia="微软雅黑"/>
          <w:b w:val="0"/>
          <w:sz w:val="18"/>
        </w:rPr>
        <w:t xml:space="preserve">    │        │        │                   │        │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└────────┴────────┘                   └────────┴────────┘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│   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│    E = Σ(维度×权重)                 │    S = Σ(维度×权重)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│      = P×0.35+M×0.35+R×0.30         │      = U×0.40+I×0.35+C×0.25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│                               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└─────────────┬───────────────────────┘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           ▼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┌─────────────────────┐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TS = (E/5)×0.4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     +(S/5)×0.6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└──────────┬──────────┘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           ▼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┌─────────────────────┐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  映射到1-10分区间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  Score = 2+TS×8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└──────────┬──────────┘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           ▼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┌─────────────────────┐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   输出最终评分 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│   附概率定性说明     │</w:t>
      </w:r>
    </w:p>
    <w:p>
      <w:r>
        <w:rPr>
          <w:rFonts w:ascii="微软雅黑" w:hAnsi="微软雅黑" w:eastAsia="微软雅黑"/>
          <w:b w:val="0"/>
          <w:sz w:val="18"/>
        </w:rPr>
        <w:t xml:space="preserve">                └─────────────────────┘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五、1-10分区间映射表</w:t>
      </w:r>
    </w:p>
    <w:p>
      <w:r>
        <w:rPr>
          <w:rFonts w:ascii="微软雅黑" w:hAnsi="微软雅黑" w:eastAsia="微软雅黑"/>
          <w:b w:val="0"/>
          <w:sz w:val="21"/>
        </w:rPr>
        <w:t>将标准化后的综合评分TS（范围[0.2, 1]）线性映射到1-10分区间，并给出对应的多次涨停概率定性描述。</w:t>
      </w:r>
    </w:p>
    <w:p>
      <w:r>
        <w:rPr>
          <w:rFonts w:ascii="微软雅黑" w:hAnsi="微软雅黑" w:eastAsia="微软雅黑"/>
          <w:b/>
          <w:sz w:val="24"/>
        </w:rPr>
        <w:t>映射公式：Final Score = 2 + TS × 8</w:t>
      </w:r>
    </w:p>
    <w:p>
      <w:r>
        <w:rPr>
          <w:rFonts w:ascii="微软雅黑" w:hAnsi="微软雅黑" w:eastAsia="微软雅黑"/>
          <w:b w:val="0"/>
          <w:sz w:val="21"/>
        </w:rPr>
        <w:t>（当TS=0.2时得2分，TS=1时得10分，中间线性插值）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5.1 评分区间详解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659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最终评分</w:t>
            </w:r>
          </w:p>
        </w:tc>
        <w:tc>
          <w:tcPr>
            <w:tcW w:type="dxa" w:w="1728"/>
            <w:shd w:fill="C659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TS范围</w:t>
            </w:r>
          </w:p>
        </w:tc>
        <w:tc>
          <w:tcPr>
            <w:tcW w:type="dxa" w:w="1728"/>
            <w:shd w:fill="C659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场景描述</w:t>
            </w:r>
          </w:p>
        </w:tc>
        <w:tc>
          <w:tcPr>
            <w:tcW w:type="dxa" w:w="1728"/>
            <w:shd w:fill="C659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多次涨停概率定性</w:t>
            </w:r>
          </w:p>
        </w:tc>
        <w:tc>
          <w:tcPr>
            <w:tcW w:type="dxa" w:w="1728"/>
            <w:shd w:fill="C6591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策略建议</w:t>
            </w:r>
          </w:p>
        </w:tc>
      </w:tr>
      <w:tr>
        <w:tc>
          <w:tcPr>
            <w:tcW w:type="dxa" w:w="1728"/>
            <w:shd w:fill="C6EFCE"/>
          </w:tcPr>
          <w:p>
            <w:pPr>
              <w:jc w:val="center"/>
            </w:pPr>
            <w:r>
              <w:t>10分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t>[0.95,1.00]</w:t>
            </w:r>
          </w:p>
        </w:tc>
        <w:tc>
          <w:tcPr>
            <w:tcW w:type="dxa" w:w="1728"/>
            <w:shd w:fill="C6EFCE"/>
          </w:tcPr>
          <w:p>
            <w:r>
              <w:t>国家级政策+绝对龙头+完美筹码</w:t>
            </w:r>
          </w:p>
        </w:tc>
        <w:tc>
          <w:tcPr>
            <w:tcW w:type="dxa" w:w="1728"/>
            <w:shd w:fill="C6EFCE"/>
          </w:tcPr>
          <w:p>
            <w:r>
              <w:t>极高(&gt;80%)</w:t>
            </w:r>
          </w:p>
        </w:tc>
        <w:tc>
          <w:tcPr>
            <w:tcW w:type="dxa" w:w="1728"/>
            <w:shd w:fill="C6EFCE"/>
          </w:tcPr>
          <w:p>
            <w:r>
              <w:t>重点关注</w:t>
            </w:r>
          </w:p>
        </w:tc>
      </w:tr>
      <w:tr>
        <w:tc>
          <w:tcPr>
            <w:tcW w:type="dxa" w:w="1728"/>
            <w:shd w:fill="C6EFCE"/>
          </w:tcPr>
          <w:p>
            <w:pPr>
              <w:jc w:val="center"/>
            </w:pPr>
            <w:r>
              <w:t>9分</w:t>
            </w:r>
          </w:p>
        </w:tc>
        <w:tc>
          <w:tcPr>
            <w:tcW w:type="dxa" w:w="1728"/>
            <w:shd w:fill="C6EFCE"/>
          </w:tcPr>
          <w:p>
            <w:pPr>
              <w:jc w:val="center"/>
            </w:pPr>
            <w:r>
              <w:t>[0.85,0.95)</w:t>
            </w:r>
          </w:p>
        </w:tc>
        <w:tc>
          <w:tcPr>
            <w:tcW w:type="dxa" w:w="1728"/>
            <w:shd w:fill="C6EFCE"/>
          </w:tcPr>
          <w:p>
            <w:r>
              <w:t>重大政策+核心龙头+优良筹码</w:t>
            </w:r>
          </w:p>
        </w:tc>
        <w:tc>
          <w:tcPr>
            <w:tcW w:type="dxa" w:w="1728"/>
            <w:shd w:fill="C6EFCE"/>
          </w:tcPr>
          <w:p>
            <w:r>
              <w:t>很高(60-80%)</w:t>
            </w:r>
          </w:p>
        </w:tc>
        <w:tc>
          <w:tcPr>
            <w:tcW w:type="dxa" w:w="1728"/>
            <w:shd w:fill="C6EFCE"/>
          </w:tcPr>
          <w:p>
            <w:r>
              <w:t>重点关注</w:t>
            </w:r>
          </w:p>
        </w:tc>
      </w:tr>
      <w:tr>
        <w:tc>
          <w:tcPr>
            <w:tcW w:type="dxa" w:w="1728"/>
            <w:shd w:fill="E2EFDA"/>
          </w:tcPr>
          <w:p>
            <w:pPr>
              <w:jc w:val="center"/>
            </w:pPr>
            <w:r>
              <w:t>8分</w:t>
            </w:r>
          </w:p>
        </w:tc>
        <w:tc>
          <w:tcPr>
            <w:tcW w:type="dxa" w:w="1728"/>
            <w:shd w:fill="E2EFDA"/>
          </w:tcPr>
          <w:p>
            <w:pPr>
              <w:jc w:val="center"/>
            </w:pPr>
            <w:r>
              <w:t>[0.75,0.85)</w:t>
            </w:r>
          </w:p>
        </w:tc>
        <w:tc>
          <w:tcPr>
            <w:tcW w:type="dxa" w:w="1728"/>
            <w:shd w:fill="E2EFDA"/>
          </w:tcPr>
          <w:p>
            <w:r>
              <w:t>部委政策+核心标的+较好筹码</w:t>
            </w:r>
          </w:p>
        </w:tc>
        <w:tc>
          <w:tcPr>
            <w:tcW w:type="dxa" w:w="1728"/>
            <w:shd w:fill="E2EFDA"/>
          </w:tcPr>
          <w:p>
            <w:r>
              <w:t>高(40-60%)</w:t>
            </w:r>
          </w:p>
        </w:tc>
        <w:tc>
          <w:tcPr>
            <w:tcW w:type="dxa" w:w="1728"/>
            <w:shd w:fill="E2EFDA"/>
          </w:tcPr>
          <w:p>
            <w:r>
              <w:t>积极关注</w:t>
            </w:r>
          </w:p>
        </w:tc>
      </w:tr>
      <w:tr>
        <w:tc>
          <w:tcPr>
            <w:tcW w:type="dxa" w:w="1728"/>
            <w:shd w:fill="FFEB9C"/>
          </w:tcPr>
          <w:p>
            <w:pPr>
              <w:jc w:val="center"/>
            </w:pPr>
            <w:r>
              <w:t>7分</w:t>
            </w:r>
          </w:p>
        </w:tc>
        <w:tc>
          <w:tcPr>
            <w:tcW w:type="dxa" w:w="1728"/>
            <w:shd w:fill="FFEB9C"/>
          </w:tcPr>
          <w:p>
            <w:pPr>
              <w:jc w:val="center"/>
            </w:pPr>
            <w:r>
              <w:t>[0.65,0.75)</w:t>
            </w:r>
          </w:p>
        </w:tc>
        <w:tc>
          <w:tcPr>
            <w:tcW w:type="dxa" w:w="1728"/>
            <w:shd w:fill="FFEB9C"/>
          </w:tcPr>
          <w:p>
            <w:r>
              <w:t>较好政策+重要标的+中等筹码</w:t>
            </w:r>
          </w:p>
        </w:tc>
        <w:tc>
          <w:tcPr>
            <w:tcW w:type="dxa" w:w="1728"/>
            <w:shd w:fill="FFEB9C"/>
          </w:tcPr>
          <w:p>
            <w:r>
              <w:t>中高(30-40%)</w:t>
            </w:r>
          </w:p>
        </w:tc>
        <w:tc>
          <w:tcPr>
            <w:tcW w:type="dxa" w:w="1728"/>
            <w:shd w:fill="FFEB9C"/>
          </w:tcPr>
          <w:p>
            <w:r>
              <w:t>适度关注</w:t>
            </w:r>
          </w:p>
        </w:tc>
      </w:tr>
      <w:tr>
        <w:tc>
          <w:tcPr>
            <w:tcW w:type="dxa" w:w="1728"/>
            <w:shd w:fill="FCE4D6"/>
          </w:tcPr>
          <w:p>
            <w:pPr>
              <w:jc w:val="center"/>
            </w:pPr>
            <w:r>
              <w:t>6分</w:t>
            </w:r>
          </w:p>
        </w:tc>
        <w:tc>
          <w:tcPr>
            <w:tcW w:type="dxa" w:w="1728"/>
            <w:shd w:fill="FCE4D6"/>
          </w:tcPr>
          <w:p>
            <w:pPr>
              <w:jc w:val="center"/>
            </w:pPr>
            <w:r>
              <w:t>[0.55,0.65)</w:t>
            </w:r>
          </w:p>
        </w:tc>
        <w:tc>
          <w:tcPr>
            <w:tcW w:type="dxa" w:w="1728"/>
            <w:shd w:fill="FCE4D6"/>
          </w:tcPr>
          <w:p>
            <w:r>
              <w:t>一般政策+普通标的+可控筹码</w:t>
            </w:r>
          </w:p>
        </w:tc>
        <w:tc>
          <w:tcPr>
            <w:tcW w:type="dxa" w:w="1728"/>
            <w:shd w:fill="FCE4D6"/>
          </w:tcPr>
          <w:p>
            <w:r>
              <w:t>中等(20-30%)</w:t>
            </w:r>
          </w:p>
        </w:tc>
        <w:tc>
          <w:tcPr>
            <w:tcW w:type="dxa" w:w="1728"/>
            <w:shd w:fill="FCE4D6"/>
          </w:tcPr>
          <w:p>
            <w:r>
              <w:t>观察</w:t>
            </w:r>
          </w:p>
        </w:tc>
      </w:tr>
      <w:tr>
        <w:tc>
          <w:tcPr>
            <w:tcW w:type="dxa" w:w="1728"/>
            <w:shd w:fill="FFC7CE"/>
          </w:tcPr>
          <w:p>
            <w:pPr>
              <w:jc w:val="center"/>
            </w:pPr>
            <w:r>
              <w:t>5分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t>[0.45,0.55)</w:t>
            </w:r>
          </w:p>
        </w:tc>
        <w:tc>
          <w:tcPr>
            <w:tcW w:type="dxa" w:w="1728"/>
            <w:shd w:fill="FFC7CE"/>
          </w:tcPr>
          <w:p>
            <w:r>
              <w:t>普通事件+一般标的+中性筹码</w:t>
            </w:r>
          </w:p>
        </w:tc>
        <w:tc>
          <w:tcPr>
            <w:tcW w:type="dxa" w:w="1728"/>
            <w:shd w:fill="FFC7CE"/>
          </w:tcPr>
          <w:p>
            <w:r>
              <w:t>一般(10-20%)</w:t>
            </w:r>
          </w:p>
        </w:tc>
        <w:tc>
          <w:tcPr>
            <w:tcW w:type="dxa" w:w="1728"/>
            <w:shd w:fill="FFC7CE"/>
          </w:tcPr>
          <w:p>
            <w:r>
              <w:t>谨慎</w:t>
            </w:r>
          </w:p>
        </w:tc>
      </w:tr>
      <w:tr>
        <w:tc>
          <w:tcPr>
            <w:tcW w:type="dxa" w:w="1728"/>
            <w:shd w:fill="FFC7CE"/>
          </w:tcPr>
          <w:p>
            <w:pPr>
              <w:jc w:val="center"/>
            </w:pPr>
            <w:r>
              <w:t>4分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t>[0.35,0.45)</w:t>
            </w:r>
          </w:p>
        </w:tc>
        <w:tc>
          <w:tcPr>
            <w:tcW w:type="dxa" w:w="1728"/>
            <w:shd w:fill="FFC7CE"/>
          </w:tcPr>
          <w:p>
            <w:r>
              <w:t>弱事件+边缘标的+较差筹码</w:t>
            </w:r>
          </w:p>
        </w:tc>
        <w:tc>
          <w:tcPr>
            <w:tcW w:type="dxa" w:w="1728"/>
            <w:shd w:fill="FFC7CE"/>
          </w:tcPr>
          <w:p>
            <w:r>
              <w:t>较低(5-10%)</w:t>
            </w:r>
          </w:p>
        </w:tc>
        <w:tc>
          <w:tcPr>
            <w:tcW w:type="dxa" w:w="1728"/>
            <w:shd w:fill="FFC7CE"/>
          </w:tcPr>
          <w:p>
            <w:r>
              <w:t>回避</w:t>
            </w:r>
          </w:p>
        </w:tc>
      </w:tr>
      <w:tr>
        <w:tc>
          <w:tcPr>
            <w:tcW w:type="dxa" w:w="1728"/>
            <w:shd w:fill="FFC7CE"/>
          </w:tcPr>
          <w:p>
            <w:pPr>
              <w:jc w:val="center"/>
            </w:pPr>
            <w:r>
              <w:t>3分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t>[0.25,0.35)</w:t>
            </w:r>
          </w:p>
        </w:tc>
        <w:tc>
          <w:tcPr>
            <w:tcW w:type="dxa" w:w="1728"/>
            <w:shd w:fill="FFC7CE"/>
          </w:tcPr>
          <w:p>
            <w:r>
              <w:t>极弱事件+弱势标的+恶劣筹码</w:t>
            </w:r>
          </w:p>
        </w:tc>
        <w:tc>
          <w:tcPr>
            <w:tcW w:type="dxa" w:w="1728"/>
            <w:shd w:fill="FFC7CE"/>
          </w:tcPr>
          <w:p>
            <w:r>
              <w:t>低(&lt;5%)</w:t>
            </w:r>
          </w:p>
        </w:tc>
        <w:tc>
          <w:tcPr>
            <w:tcW w:type="dxa" w:w="1728"/>
            <w:shd w:fill="FFC7CE"/>
          </w:tcPr>
          <w:p>
            <w:r>
              <w:t>回避</w:t>
            </w:r>
          </w:p>
        </w:tc>
      </w:tr>
      <w:tr>
        <w:tc>
          <w:tcPr>
            <w:tcW w:type="dxa" w:w="1728"/>
            <w:shd w:fill="FFC7CE"/>
          </w:tcPr>
          <w:p>
            <w:pPr>
              <w:jc w:val="center"/>
            </w:pPr>
            <w:r>
              <w:t>2分</w:t>
            </w:r>
          </w:p>
        </w:tc>
        <w:tc>
          <w:tcPr>
            <w:tcW w:type="dxa" w:w="1728"/>
            <w:shd w:fill="FFC7CE"/>
          </w:tcPr>
          <w:p>
            <w:pPr>
              <w:jc w:val="center"/>
            </w:pPr>
            <w:r>
              <w:t>[0.20,0.25)</w:t>
            </w:r>
          </w:p>
        </w:tc>
        <w:tc>
          <w:tcPr>
            <w:tcW w:type="dxa" w:w="1728"/>
            <w:shd w:fill="FFC7CE"/>
          </w:tcPr>
          <w:p>
            <w:r>
              <w:t>无实质驱动+弱势标的+恶劣筹码</w:t>
            </w:r>
          </w:p>
        </w:tc>
        <w:tc>
          <w:tcPr>
            <w:tcW w:type="dxa" w:w="1728"/>
            <w:shd w:fill="FFC7CE"/>
          </w:tcPr>
          <w:p>
            <w:r>
              <w:t>极低(&lt;2%)</w:t>
            </w:r>
          </w:p>
        </w:tc>
        <w:tc>
          <w:tcPr>
            <w:tcW w:type="dxa" w:w="1728"/>
            <w:shd w:fill="FFC7CE"/>
          </w:tcPr>
          <w:p>
            <w:r>
              <w:t>强烈回避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5.2 概率定性说明</w:t>
      </w:r>
    </w:p>
    <w:p>
      <w:r>
        <w:rPr>
          <w:rFonts w:ascii="微软雅黑" w:hAnsi="微软雅黑" w:eastAsia="微软雅黑"/>
          <w:b w:val="0"/>
          <w:sz w:val="21"/>
        </w:rPr>
        <w:t>注：概率定性基于历史数据统计和经验判断，仅供参考：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极高(&gt;80%)：</w:t>
      </w:r>
      <w:r>
        <w:rPr>
          <w:rFonts w:ascii="微软雅黑" w:hAnsi="微软雅黑" w:eastAsia="微软雅黑"/>
          <w:b w:val="0"/>
          <w:sz w:val="21"/>
        </w:rPr>
        <w:t>具备3次以上连续涨停潜力，可能成为阶段性龙头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很高(60-80%)：</w:t>
      </w:r>
      <w:r>
        <w:rPr>
          <w:rFonts w:ascii="微软雅黑" w:hAnsi="微软雅黑" w:eastAsia="微软雅黑"/>
          <w:b w:val="0"/>
          <w:sz w:val="21"/>
        </w:rPr>
        <w:t>具备2-3次连续涨停潜力，有望成为板块核心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高(40-60%)：</w:t>
      </w:r>
      <w:r>
        <w:rPr>
          <w:rFonts w:ascii="微软雅黑" w:hAnsi="微软雅黑" w:eastAsia="微软雅黑"/>
          <w:b w:val="0"/>
          <w:sz w:val="21"/>
        </w:rPr>
        <w:t>具备1-2次涨停潜力，但持续性存疑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中高(30-40%)：</w:t>
      </w:r>
      <w:r>
        <w:rPr>
          <w:rFonts w:ascii="微软雅黑" w:hAnsi="微软雅黑" w:eastAsia="微软雅黑"/>
          <w:b w:val="0"/>
          <w:sz w:val="21"/>
        </w:rPr>
        <w:t>可能触发1次涨停，多次涨停需额外催化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中等(20-30%)：</w:t>
      </w:r>
      <w:r>
        <w:rPr>
          <w:rFonts w:ascii="微软雅黑" w:hAnsi="微软雅黑" w:eastAsia="微软雅黑"/>
          <w:b w:val="0"/>
          <w:sz w:val="21"/>
        </w:rPr>
        <w:t>涨停概率接近随机，不建议专门布局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一般及以下(&lt;20%)：</w:t>
      </w:r>
      <w:r>
        <w:rPr>
          <w:rFonts w:ascii="微软雅黑" w:hAnsi="微软雅黑" w:eastAsia="微软雅黑"/>
          <w:b w:val="0"/>
          <w:sz w:val="21"/>
        </w:rPr>
        <w:t>多次涨停概率极低，建议回避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六、使用示例</w:t>
      </w:r>
    </w:p>
    <w:p>
      <w:r>
        <w:rPr>
          <w:rFonts w:ascii="微软雅黑" w:hAnsi="微软雅黑" w:eastAsia="微软雅黑"/>
          <w:b w:val="0"/>
          <w:sz w:val="21"/>
        </w:rPr>
        <w:t>以下通过两个假设场景演示完整评分过程，展示框架的实际应用。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示例一：政策驱动型（高分场景）</w:t>
      </w:r>
    </w:p>
    <w:p>
      <w:r>
        <w:rPr>
          <w:rFonts w:ascii="微软雅黑" w:hAnsi="微软雅黑" w:eastAsia="微软雅黑"/>
          <w:b w:val="0"/>
          <w:sz w:val="21"/>
        </w:rPr>
        <w:t>场景假设：某低市值芯片设计公司A，国家发布国产算力重大扶持政策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评分维度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子维度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评分依据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r>
              <w:t>事件重要性E</w:t>
              <w:br/>
              <w:t>(权重40%)</w:t>
            </w:r>
          </w:p>
        </w:tc>
        <w:tc>
          <w:tcPr>
            <w:tcW w:type="dxa" w:w="2160"/>
          </w:tcPr>
          <w:p>
            <w:r>
              <w:t>政策级别P</w:t>
            </w:r>
          </w:p>
        </w:tc>
        <w:tc>
          <w:tcPr>
            <w:tcW w:type="dxa" w:w="2160"/>
          </w:tcPr>
          <w:p>
            <w:r>
              <w:t>国家级战略政策</w:t>
            </w:r>
          </w:p>
        </w:tc>
        <w:tc>
          <w:tcPr>
            <w:tcW w:type="dxa" w:w="2160"/>
          </w:tcPr>
          <w:p>
            <w:r>
              <w:t>P5=5分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预期差M</w:t>
            </w:r>
          </w:p>
        </w:tc>
        <w:tc>
          <w:tcPr>
            <w:tcW w:type="dxa" w:w="2160"/>
          </w:tcPr>
          <w:p>
            <w:r>
              <w:t>政策力度超预期</w:t>
            </w:r>
          </w:p>
        </w:tc>
        <w:tc>
          <w:tcPr>
            <w:tcW w:type="dxa" w:w="2160"/>
          </w:tcPr>
          <w:p>
            <w:r>
              <w:t>M4=4分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业绩弹性R</w:t>
            </w:r>
          </w:p>
        </w:tc>
        <w:tc>
          <w:tcPr>
            <w:tcW w:type="dxa" w:w="2160"/>
          </w:tcPr>
          <w:p>
            <w:r>
              <w:t>订单预期翻倍</w:t>
            </w:r>
          </w:p>
        </w:tc>
        <w:tc>
          <w:tcPr>
            <w:tcW w:type="dxa" w:w="2160"/>
          </w:tcPr>
          <w:p>
            <w:r>
              <w:t>R4=4分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E计算</w:t>
            </w:r>
          </w:p>
        </w:tc>
        <w:tc>
          <w:tcPr>
            <w:tcW w:type="dxa" w:w="2160"/>
          </w:tcPr>
          <w:p>
            <w:r>
              <w:t>5×0.35+4×0.35+4×0.30</w:t>
            </w:r>
          </w:p>
        </w:tc>
        <w:tc>
          <w:tcPr>
            <w:tcW w:type="dxa" w:w="2160"/>
          </w:tcPr>
          <w:p>
            <w:r>
              <w:t>E=4.35</w:t>
            </w:r>
          </w:p>
        </w:tc>
      </w:tr>
      <w:tr>
        <w:tc>
          <w:tcPr>
            <w:tcW w:type="dxa" w:w="2160"/>
          </w:tcPr>
          <w:p>
            <w:r>
              <w:t>稀缺性S</w:t>
              <w:br/>
              <w:t>(权重60%)</w:t>
            </w:r>
          </w:p>
        </w:tc>
        <w:tc>
          <w:tcPr>
            <w:tcW w:type="dxa" w:w="2160"/>
          </w:tcPr>
          <w:p>
            <w:r>
              <w:t>独特性U</w:t>
            </w:r>
          </w:p>
        </w:tc>
        <w:tc>
          <w:tcPr>
            <w:tcW w:type="dxa" w:w="2160"/>
          </w:tcPr>
          <w:p>
            <w:r>
              <w:t>细分赛道唯一标的</w:t>
            </w:r>
          </w:p>
        </w:tc>
        <w:tc>
          <w:tcPr>
            <w:tcW w:type="dxa" w:w="2160"/>
          </w:tcPr>
          <w:p>
            <w:r>
              <w:t>U5=5分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辨识度I</w:t>
            </w:r>
          </w:p>
        </w:tc>
        <w:tc>
          <w:tcPr>
            <w:tcW w:type="dxa" w:w="2160"/>
          </w:tcPr>
          <w:p>
            <w:r>
              <w:t>游资抢筹、龙虎榜活跃</w:t>
            </w:r>
          </w:p>
        </w:tc>
        <w:tc>
          <w:tcPr>
            <w:tcW w:type="dxa" w:w="2160"/>
          </w:tcPr>
          <w:p>
            <w:r>
              <w:t>I4=4分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筹码C</w:t>
            </w:r>
          </w:p>
        </w:tc>
        <w:tc>
          <w:tcPr>
            <w:tcW w:type="dxa" w:w="2160"/>
          </w:tcPr>
          <w:p>
            <w:r>
              <w:t>流通市值30亿、无解禁</w:t>
            </w:r>
          </w:p>
        </w:tc>
        <w:tc>
          <w:tcPr>
            <w:tcW w:type="dxa" w:w="2160"/>
          </w:tcPr>
          <w:p>
            <w:r>
              <w:t>C5=5分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S计算</w:t>
            </w:r>
          </w:p>
        </w:tc>
        <w:tc>
          <w:tcPr>
            <w:tcW w:type="dxa" w:w="2160"/>
          </w:tcPr>
          <w:p>
            <w:r>
              <w:t>5×0.40+4×0.35+5×0.25</w:t>
            </w:r>
          </w:p>
        </w:tc>
        <w:tc>
          <w:tcPr>
            <w:tcW w:type="dxa" w:w="2160"/>
          </w:tcPr>
          <w:p>
            <w:r>
              <w:t>S=4.65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综合评分计算：TS = (4.35/5)×0.4 + (4.65/5)×0.6 = 0.348 + 0.558 = 0.906</w:t>
      </w:r>
    </w:p>
    <w:p>
      <w:r>
        <w:rPr>
          <w:rFonts w:ascii="微软雅黑" w:hAnsi="微软雅黑" w:eastAsia="微软雅黑"/>
          <w:b/>
          <w:color w:val="008000"/>
          <w:sz w:val="21"/>
        </w:rPr>
        <w:t>最终得分：2 + 0.906×8 = 9.25 ≈ 9分（很高概率多次涨停）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006699"/>
          <w:sz w:val="28"/>
        </w:rPr>
        <w:t>示例二：边缘沾边型（低分场景）</w:t>
      </w:r>
    </w:p>
    <w:p>
      <w:r>
        <w:rPr>
          <w:rFonts w:ascii="微软雅黑" w:hAnsi="微软雅黑" w:eastAsia="微软雅黑"/>
          <w:b w:val="0"/>
          <w:sz w:val="21"/>
        </w:rPr>
        <w:t>场景假设：某传统制造业公司B，宣布通过子公司间接参与新能源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评分维度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子维度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评分依据</w:t>
            </w:r>
          </w:p>
        </w:tc>
        <w:tc>
          <w:tcPr>
            <w:tcW w:type="dxa" w:w="2160"/>
            <w:shd w:fill="5B9BD5"/>
          </w:tcPr>
          <w:p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r>
              <w:t>事件重要性E</w:t>
              <w:br/>
              <w:t>(权重40%)</w:t>
            </w:r>
          </w:p>
        </w:tc>
        <w:tc>
          <w:tcPr>
            <w:tcW w:type="dxa" w:w="2160"/>
          </w:tcPr>
          <w:p>
            <w:r>
              <w:t>政策级别P</w:t>
            </w:r>
          </w:p>
        </w:tc>
        <w:tc>
          <w:tcPr>
            <w:tcW w:type="dxa" w:w="2160"/>
          </w:tcPr>
          <w:p>
            <w:r>
              <w:t>企业级公告</w:t>
            </w:r>
          </w:p>
        </w:tc>
        <w:tc>
          <w:tcPr>
            <w:tcW w:type="dxa" w:w="2160"/>
          </w:tcPr>
          <w:p>
            <w:r>
              <w:t>P2=2分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预期差M</w:t>
            </w:r>
          </w:p>
        </w:tc>
        <w:tc>
          <w:tcPr>
            <w:tcW w:type="dxa" w:w="2160"/>
          </w:tcPr>
          <w:p>
            <w:r>
              <w:t>市场已预期、低于预期</w:t>
            </w:r>
          </w:p>
        </w:tc>
        <w:tc>
          <w:tcPr>
            <w:tcW w:type="dxa" w:w="2160"/>
          </w:tcPr>
          <w:p>
            <w:r>
              <w:t>M1=1分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业绩弹性R</w:t>
            </w:r>
          </w:p>
        </w:tc>
        <w:tc>
          <w:tcPr>
            <w:tcW w:type="dxa" w:w="2160"/>
          </w:tcPr>
          <w:p>
            <w:r>
              <w:t>业务占比&lt;5%，几乎无弹性</w:t>
            </w:r>
          </w:p>
        </w:tc>
        <w:tc>
          <w:tcPr>
            <w:tcW w:type="dxa" w:w="2160"/>
          </w:tcPr>
          <w:p>
            <w:r>
              <w:t>R1=1分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E计算</w:t>
            </w:r>
          </w:p>
        </w:tc>
        <w:tc>
          <w:tcPr>
            <w:tcW w:type="dxa" w:w="2160"/>
          </w:tcPr>
          <w:p>
            <w:r>
              <w:t>2×0.35+1×0.35+1×0.30</w:t>
            </w:r>
          </w:p>
        </w:tc>
        <w:tc>
          <w:tcPr>
            <w:tcW w:type="dxa" w:w="2160"/>
          </w:tcPr>
          <w:p>
            <w:r>
              <w:t>E=1.35</w:t>
            </w:r>
          </w:p>
        </w:tc>
      </w:tr>
      <w:tr>
        <w:tc>
          <w:tcPr>
            <w:tcW w:type="dxa" w:w="2160"/>
          </w:tcPr>
          <w:p>
            <w:r>
              <w:t>稀缺性S</w:t>
              <w:br/>
              <w:t>(权重60%)</w:t>
            </w:r>
          </w:p>
        </w:tc>
        <w:tc>
          <w:tcPr>
            <w:tcW w:type="dxa" w:w="2160"/>
          </w:tcPr>
          <w:p>
            <w:r>
              <w:t>独特性U</w:t>
            </w:r>
          </w:p>
        </w:tc>
        <w:tc>
          <w:tcPr>
            <w:tcW w:type="dxa" w:w="2160"/>
          </w:tcPr>
          <w:p>
            <w:r>
              <w:t>边缘标的、蹭概念</w:t>
            </w:r>
          </w:p>
        </w:tc>
        <w:tc>
          <w:tcPr>
            <w:tcW w:type="dxa" w:w="2160"/>
          </w:tcPr>
          <w:p>
            <w:r>
              <w:t>U1=1分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辨识度I</w:t>
            </w:r>
          </w:p>
        </w:tc>
        <w:tc>
          <w:tcPr>
            <w:tcW w:type="dxa" w:w="2160"/>
          </w:tcPr>
          <w:p>
            <w:r>
              <w:t>无资金关注、成交低迷</w:t>
            </w:r>
          </w:p>
        </w:tc>
        <w:tc>
          <w:tcPr>
            <w:tcW w:type="dxa" w:w="2160"/>
          </w:tcPr>
          <w:p>
            <w:r>
              <w:t>I1=1分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筹码C</w:t>
            </w:r>
          </w:p>
        </w:tc>
        <w:tc>
          <w:tcPr>
            <w:tcW w:type="dxa" w:w="2160"/>
          </w:tcPr>
          <w:p>
            <w:r>
              <w:t>流通市值300亿、套牢盘多</w:t>
            </w:r>
          </w:p>
        </w:tc>
        <w:tc>
          <w:tcPr>
            <w:tcW w:type="dxa" w:w="2160"/>
          </w:tcPr>
          <w:p>
            <w:r>
              <w:t>C2=2分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S计算</w:t>
            </w:r>
          </w:p>
        </w:tc>
        <w:tc>
          <w:tcPr>
            <w:tcW w:type="dxa" w:w="2160"/>
          </w:tcPr>
          <w:p>
            <w:r>
              <w:t>1×0.40+1×0.35+2×0.25</w:t>
            </w:r>
          </w:p>
        </w:tc>
        <w:tc>
          <w:tcPr>
            <w:tcW w:type="dxa" w:w="2160"/>
          </w:tcPr>
          <w:p>
            <w:r>
              <w:t>S=1.25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综合评分计算：TS = (1.35/5)×0.4 + (1.25/5)×0.6 = 0.108 + 0.150 = 0.258</w:t>
      </w:r>
    </w:p>
    <w:p>
      <w:r>
        <w:rPr>
          <w:rFonts w:ascii="微软雅黑" w:hAnsi="微软雅黑" w:eastAsia="微软雅黑"/>
          <w:b/>
          <w:color w:val="C00000"/>
          <w:sz w:val="21"/>
        </w:rPr>
        <w:t>最终得分：2 + 0.258×8 = 4.06 ≈ 4分（多次涨停概率较低）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七、风险提示与免责声明</w:t>
      </w:r>
    </w:p>
    <w:p>
      <w:r>
        <w:rPr>
          <w:rFonts w:ascii="微软雅黑" w:hAnsi="微软雅黑" w:eastAsia="微软雅黑"/>
          <w:b/>
          <w:sz w:val="21"/>
        </w:rPr>
        <w:t>7.1 框架局限性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本框架基于历史规律总结，不保证未来有效性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市场情绪、资金流向等动态因素难以完全量化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突发政策变化（如监管窗口指导）可能快速改变评分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评分仅反映概率，不构成确定性预测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个股选择需结合大盘环境，系统性风险可能压倒个股逻辑</w:t>
      </w:r>
    </w:p>
    <w:p>
      <w:r>
        <w:rPr>
          <w:rFonts w:ascii="微软雅黑" w:hAnsi="微软雅黑" w:eastAsia="微软雅黑"/>
          <w:b/>
          <w:sz w:val="21"/>
        </w:rPr>
        <w:t>7.2 使用建议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建议将本框架作为初筛工具，高分标的需进一步基本面研究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评分结果应结合当日市场情绪、板块效应综合判断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设置止损纪律，不因高评分而忽视风险控制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定期回顾评分准确性，持续优化维度权重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关注监管动态，避免参与可能被重点监控的标的</w:t>
      </w:r>
    </w:p>
    <w:p>
      <w:r>
        <w:rPr>
          <w:rFonts w:ascii="微软雅黑" w:hAnsi="微软雅黑" w:eastAsia="微软雅黑"/>
          <w:b w:val="0"/>
          <w:sz w:val="24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1"/>
        </w:rPr>
        <w:t>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b/>
          <w:color w:val="C00000"/>
          <w:sz w:val="24"/>
        </w:rPr>
        <w:t>免责声明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本评分框架仅供学习研究使用，不构成任何投资建议。</w:t>
        <w:br/>
        <w:t>股市有风险，投资需谨慎。投资者应根据自身情况独立决策，</w:t>
        <w:br/>
        <w:t>自行承担投资风险。本框架作者不对使用本框架产生的任何损失承担责任。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1"/>
        </w:rPr>
        <w:t>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