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B3C" w:val="clear"/>
            <w:tcMar>
              <w:top w:type="dxa" w:w="480"/>
              <w:left w:type="dxa" w:w="480"/>
              <w:bottom w:type="dxa" w:w="480"/>
              <w:right w:type="dxa" w:w="480"/>
            </w:tcMar>
          </w:tcPr>
          <w:p>
            <w:pPr>
              <w:spacing w:after="120" w:before="0"/>
              <w:jc w:val="center"/>
            </w:pPr>
            <w:r>
              <w:rPr>
                <w:rFonts w:ascii="Arial" w:cs="Arial" w:eastAsia="Arial" w:hAnsi="Arial"/>
                <w:b/>
                <w:bCs/>
                <w:color w:val="E87722"/>
                <w:sz w:val="44"/>
                <w:szCs w:val="44"/>
              </w:rPr>
              <w:t xml:space="preserve">ONTRACK DISPATCH ACADEMY</w:t>
            </w:r>
          </w:p>
          <w:p>
            <w:pPr>
              <w:spacing w:after="240" w:before="0"/>
              <w:jc w:val="center"/>
            </w:pPr>
            <w:r>
              <w:rPr>
                <w:rFonts w:ascii="Arial" w:cs="Arial" w:eastAsia="Arial" w:hAnsi="Arial"/>
                <w:color w:val="FFFFFF"/>
                <w:sz w:val="32"/>
                <w:szCs w:val="32"/>
              </w:rPr>
              <w:t xml:space="preserve">Complete Course Outline</w:t>
            </w:r>
          </w:p>
          <w:p>
            <w:pPr>
              <w:spacing w:after="0" w:before="0"/>
              <w:jc w:val="center"/>
            </w:pPr>
            <w:r>
              <w:rPr>
                <w:rFonts w:ascii="Arial" w:cs="Arial" w:eastAsia="Arial" w:hAnsi="Arial"/>
                <w:i/>
                <w:iCs/>
                <w:color w:val="AACCE0"/>
                <w:sz w:val="22"/>
                <w:szCs w:val="22"/>
              </w:rPr>
              <w:t xml:space="preserve">Freight Dispatching Fundamentals  +  OnTrack Dispatch Dashboard</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0C8E0" w:sz="1"/>
              <w:left w:val="single" w:color="A0C8E0" w:sz="1"/>
              <w:bottom w:val="single" w:color="A0C8E0" w:sz="1"/>
              <w:right w:val="single" w:color="A0C8E0" w:sz="1"/>
            </w:tcBorders>
            <w:shd w:fill="D5E8F0" w:val="clear"/>
            <w:tcMar>
              <w:top w:type="dxa" w:w="120"/>
              <w:left w:type="dxa" w:w="160"/>
              <w:bottom w:type="dxa" w:w="120"/>
              <w:right w:type="dxa" w:w="160"/>
            </w:tcMar>
            <w:vAlign w:val="center"/>
          </w:tcPr>
          <w:p>
            <w:pPr>
              <w:spacing w:after="20" w:before="0"/>
              <w:jc w:val="center"/>
            </w:pPr>
            <w:r>
              <w:rPr>
                <w:rFonts w:ascii="Arial" w:cs="Arial" w:eastAsia="Arial" w:hAnsi="Arial"/>
                <w:b/>
                <w:bCs/>
                <w:color w:val="1A2B3C"/>
                <w:sz w:val="40"/>
                <w:szCs w:val="40"/>
              </w:rPr>
              <w:t xml:space="preserve">11</w:t>
            </w:r>
          </w:p>
          <w:p>
            <w:pPr>
              <w:spacing w:after="0" w:before="0"/>
              <w:jc w:val="center"/>
            </w:pPr>
            <w:r>
              <w:rPr>
                <w:rFonts w:ascii="Arial" w:cs="Arial" w:eastAsia="Arial" w:hAnsi="Arial"/>
                <w:color w:val="555555"/>
                <w:sz w:val="18"/>
                <w:szCs w:val="18"/>
              </w:rPr>
              <w:t xml:space="preserve">Total Modules</w:t>
            </w:r>
          </w:p>
        </w:tc>
        <w:tc>
          <w:tcPr>
            <w:tcW w:type="dxa" w:w="2340"/>
            <w:tcBorders>
              <w:top w:val="single" w:color="A0C8E0" w:sz="1"/>
              <w:left w:val="single" w:color="A0C8E0" w:sz="1"/>
              <w:bottom w:val="single" w:color="A0C8E0" w:sz="1"/>
              <w:right w:val="single" w:color="A0C8E0" w:sz="1"/>
            </w:tcBorders>
            <w:shd w:fill="D5E8F0" w:val="clear"/>
            <w:tcMar>
              <w:top w:type="dxa" w:w="120"/>
              <w:left w:type="dxa" w:w="160"/>
              <w:bottom w:type="dxa" w:w="120"/>
              <w:right w:type="dxa" w:w="160"/>
            </w:tcMar>
            <w:vAlign w:val="center"/>
          </w:tcPr>
          <w:p>
            <w:pPr>
              <w:spacing w:after="20" w:before="0"/>
              <w:jc w:val="center"/>
            </w:pPr>
            <w:r>
              <w:rPr>
                <w:rFonts w:ascii="Arial" w:cs="Arial" w:eastAsia="Arial" w:hAnsi="Arial"/>
                <w:b/>
                <w:bCs/>
                <w:color w:val="1A2B3C"/>
                <w:sz w:val="40"/>
                <w:szCs w:val="40"/>
              </w:rPr>
              <w:t xml:space="preserve">54</w:t>
            </w:r>
          </w:p>
          <w:p>
            <w:pPr>
              <w:spacing w:after="0" w:before="0"/>
              <w:jc w:val="center"/>
            </w:pPr>
            <w:r>
              <w:rPr>
                <w:rFonts w:ascii="Arial" w:cs="Arial" w:eastAsia="Arial" w:hAnsi="Arial"/>
                <w:color w:val="555555"/>
                <w:sz w:val="18"/>
                <w:szCs w:val="18"/>
              </w:rPr>
              <w:t xml:space="preserve">Total Lessons</w:t>
            </w:r>
          </w:p>
        </w:tc>
        <w:tc>
          <w:tcPr>
            <w:tcW w:type="dxa" w:w="2340"/>
            <w:tcBorders>
              <w:top w:val="single" w:color="A0C8E0" w:sz="1"/>
              <w:left w:val="single" w:color="A0C8E0" w:sz="1"/>
              <w:bottom w:val="single" w:color="A0C8E0" w:sz="1"/>
              <w:right w:val="single" w:color="A0C8E0" w:sz="1"/>
            </w:tcBorders>
            <w:shd w:fill="D5E8F0" w:val="clear"/>
            <w:tcMar>
              <w:top w:type="dxa" w:w="120"/>
              <w:left w:type="dxa" w:w="160"/>
              <w:bottom w:type="dxa" w:w="120"/>
              <w:right w:type="dxa" w:w="160"/>
            </w:tcMar>
            <w:vAlign w:val="center"/>
          </w:tcPr>
          <w:p>
            <w:pPr>
              <w:spacing w:after="20" w:before="0"/>
              <w:jc w:val="center"/>
            </w:pPr>
            <w:r>
              <w:rPr>
                <w:rFonts w:ascii="Arial" w:cs="Arial" w:eastAsia="Arial" w:hAnsi="Arial"/>
                <w:b/>
                <w:bCs/>
                <w:color w:val="1A2B3C"/>
                <w:sz w:val="40"/>
                <w:szCs w:val="40"/>
              </w:rPr>
              <w:t xml:space="preserve">~7 hrs</w:t>
            </w:r>
          </w:p>
          <w:p>
            <w:pPr>
              <w:spacing w:after="0" w:before="0"/>
              <w:jc w:val="center"/>
            </w:pPr>
            <w:r>
              <w:rPr>
                <w:rFonts w:ascii="Arial" w:cs="Arial" w:eastAsia="Arial" w:hAnsi="Arial"/>
                <w:color w:val="555555"/>
                <w:sz w:val="18"/>
                <w:szCs w:val="18"/>
              </w:rPr>
              <w:t xml:space="preserve">Est. Video Time</w:t>
            </w:r>
          </w:p>
        </w:tc>
        <w:tc>
          <w:tcPr>
            <w:tcW w:type="dxa" w:w="2340"/>
            <w:tcBorders>
              <w:top w:val="single" w:color="A0C8E0" w:sz="1"/>
              <w:left w:val="single" w:color="A0C8E0" w:sz="1"/>
              <w:bottom w:val="single" w:color="A0C8E0" w:sz="1"/>
              <w:right w:val="single" w:color="A0C8E0" w:sz="1"/>
            </w:tcBorders>
            <w:shd w:fill="D5E8F0" w:val="clear"/>
            <w:tcMar>
              <w:top w:type="dxa" w:w="120"/>
              <w:left w:type="dxa" w:w="160"/>
              <w:bottom w:type="dxa" w:w="120"/>
              <w:right w:type="dxa" w:w="160"/>
            </w:tcMar>
            <w:vAlign w:val="center"/>
          </w:tcPr>
          <w:p>
            <w:pPr>
              <w:spacing w:after="20" w:before="0"/>
              <w:jc w:val="center"/>
            </w:pPr>
            <w:r>
              <w:rPr>
                <w:rFonts w:ascii="Arial" w:cs="Arial" w:eastAsia="Arial" w:hAnsi="Arial"/>
                <w:b/>
                <w:bCs/>
                <w:color w:val="1A2B3C"/>
                <w:sz w:val="40"/>
                <w:szCs w:val="40"/>
              </w:rPr>
              <w:t xml:space="preserve">New Dispatchers</w:t>
            </w:r>
          </w:p>
          <w:p>
            <w:pPr>
              <w:spacing w:after="0" w:before="0"/>
              <w:jc w:val="center"/>
            </w:pPr>
            <w:r>
              <w:rPr>
                <w:rFonts w:ascii="Arial" w:cs="Arial" w:eastAsia="Arial" w:hAnsi="Arial"/>
                <w:color w:val="555555"/>
                <w:sz w:val="18"/>
                <w:szCs w:val="18"/>
              </w:rPr>
              <w:t xml:space="preserve">Target Audience</w:t>
            </w:r>
          </w:p>
        </w:tc>
      </w:tr>
    </w:tbl>
    <w:p>
      <w:pPr>
        <w:spacing w:after="60" w:before="60"/>
      </w:pPr>
      <w:r>
        <w:t xml:space="preserve"/>
      </w:r>
    </w:p>
    <w:p>
      <w:pPr>
        <w:spacing w:after="60" w:before="60"/>
      </w:pPr>
      <w:r>
        <w:t xml:space="preserve"/>
      </w:r>
    </w:p>
    <w:p>
      <w:pPr>
        <w:spacing w:after="40" w:before="40"/>
      </w:pPr>
      <w:r>
        <w:rPr>
          <w:rFonts w:ascii="Arial" w:cs="Arial" w:eastAsia="Arial" w:hAnsi="Arial"/>
          <w:color w:val="1A1A1A"/>
          <w:sz w:val="22"/>
          <w:szCs w:val="22"/>
        </w:rPr>
        <w:t xml:space="preserve">This outline is organized in two tracks that work together. The first five modules cover freight dispatching as a profession — the business model, industry vocabulary, daily operations, compliance, and how to grow. The final six modules are dedicated to the OnTrack Dispatch Dashboard software, walking students through every feature they will use on the job. Students who complete both tracks will be ready to dispatch loads professionally and operate the software from day one.</w:t>
      </w:r>
    </w:p>
    <w:p>
      <w:pPr>
        <w:spacing w:after="60" w:before="60"/>
      </w:pPr>
      <w:r>
        <w:t xml:space="preserve"/>
      </w:r>
    </w:p>
    <w:p>
      <w:pPr>
        <w:spacing w:after="40" w:before="40"/>
      </w:pPr>
      <w:r>
        <w:rPr>
          <w:rFonts w:ascii="Arial" w:cs="Arial" w:eastAsia="Arial" w:hAnsi="Arial"/>
          <w:color w:val="1A1A1A"/>
          <w:sz w:val="22"/>
          <w:szCs w:val="22"/>
        </w:rPr>
        <w:t xml:space="preserve">Each lesson is designed for OBS screen recording. App lessons should capture the live OnTrack Dispatch Dashboard. Dispatching lessons can use slides, a talking-head camera, or a combination. Aim for 5 to 12 minutes per lesson. Edit with Descript for AI-assisted voice overdub, filler word removal, and captions.</w:t>
      </w:r>
    </w:p>
    <w:p>
      <w:pPr>
        <w:spacing w:after="60" w:before="60"/>
      </w:pPr>
      <w:r>
        <w:t xml:space="preserve"/>
      </w:r>
    </w:p>
    <w:p>
      <w:pPr>
        <w:pBdr>
          <w:bottom w:val="single" w:color="2E5C8A" w:sz="4" w:space="1"/>
        </w:pBdr>
        <w:spacing w:after="80" w:before="80"/>
      </w:pPr>
      <w:r>
        <w:t xml:space="preserve"/>
      </w:r>
    </w:p>
    <w:p>
      <w:pPr>
        <w:spacing w:after="60" w:before="60"/>
      </w:pPr>
      <w:r>
        <w:t xml:space="preserve"/>
      </w:r>
    </w:p>
    <w:p>
      <w:pPr>
        <w:spacing w:after="60" w:before="120"/>
        <w:jc w:val="center"/>
      </w:pPr>
      <w:r>
        <w:rPr>
          <w:rFonts w:ascii="Arial" w:cs="Arial" w:eastAsia="Arial" w:hAnsi="Arial"/>
          <w:b/>
          <w:bCs/>
          <w:color w:val="E87722"/>
          <w:sz w:val="28"/>
          <w:szCs w:val="28"/>
        </w:rPr>
        <w:t xml:space="preserve">PART ONE</w:t>
      </w:r>
    </w:p>
    <w:p>
      <w:pPr>
        <w:spacing w:after="240" w:before="0"/>
        <w:jc w:val="center"/>
      </w:pPr>
      <w:r>
        <w:rPr>
          <w:rFonts w:ascii="Arial" w:cs="Arial" w:eastAsia="Arial" w:hAnsi="Arial"/>
          <w:b/>
          <w:bCs/>
          <w:color w:val="1A2B3C"/>
          <w:sz w:val="34"/>
          <w:szCs w:val="34"/>
        </w:rPr>
        <w:t xml:space="preserve">Freight Dispatching Fundamentals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160"/>
              <w:left w:type="dxa" w:w="240"/>
              <w:bottom w:type="dxa" w:w="160"/>
              <w:right w:type="dxa" w:w="240"/>
            </w:tcMar>
          </w:tcPr>
          <w:p>
            <w:pPr>
              <w:spacing w:after="0" w:before="0"/>
            </w:pPr>
            <w:r>
              <w:rPr>
                <w:rFonts w:ascii="Arial" w:cs="Arial" w:eastAsia="Arial" w:hAnsi="Arial"/>
                <w:b/>
                <w:bCs/>
                <w:color w:val="E87722"/>
                <w:sz w:val="20"/>
                <w:szCs w:val="20"/>
              </w:rPr>
              <w:t xml:space="preserve">MODULE 1   </w:t>
            </w:r>
            <w:r>
              <w:rPr>
                <w:rFonts w:ascii="Arial" w:cs="Arial" w:eastAsia="Arial" w:hAnsi="Arial"/>
                <w:b/>
                <w:bCs/>
                <w:color w:val="FFFFFF"/>
                <w:sz w:val="24"/>
                <w:szCs w:val="24"/>
              </w:rPr>
              <w:t xml:space="preserve">WHAT A DISPATCHER ACTUALLY DOES</w:t>
            </w:r>
          </w:p>
          <w:p>
            <w:pPr>
              <w:spacing w:after="0" w:before="40"/>
            </w:pPr>
            <w:r>
              <w:rPr>
                <w:rFonts w:ascii="Arial" w:cs="Arial" w:eastAsia="Arial" w:hAnsi="Arial"/>
                <w:i/>
                <w:iCs/>
                <w:color w:val="AACCE0"/>
                <w:sz w:val="20"/>
                <w:szCs w:val="20"/>
              </w:rPr>
              <w:t xml:space="preserve">The business model, your role, and how you make money</w:t>
            </w:r>
          </w:p>
        </w:tc>
      </w:tr>
    </w:tbl>
    <w:p>
      <w:pPr>
        <w:spacing w:after="60" w:before="60"/>
      </w:pPr>
      <w:r>
        <w:t xml:space="preserve"/>
      </w:r>
    </w:p>
    <w:p>
      <w:pPr>
        <w:spacing w:after="40" w:before="40"/>
      </w:pPr>
      <w:r>
        <w:rPr>
          <w:rFonts w:ascii="Arial" w:cs="Arial" w:eastAsia="Arial" w:hAnsi="Arial"/>
          <w:color w:val="1A1A1A"/>
          <w:sz w:val="22"/>
          <w:szCs w:val="22"/>
        </w:rPr>
        <w:t xml:space="preserve">Students coming in often confuse dispatchers with brokers, or they have an inflated idea of what the job pays without understanding the work behind it. This module strips it back to basics. By the end, they should be able to explain the dispatcher's role to a carrier without stumbling.</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4000"/>
        <w:gridCol w:w="600"/>
      </w:tblGrid>
      <w:tr>
        <w:tc>
          <w:tcPr>
            <w:tcW w:type="dxa" w:w="56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w:t>
            </w:r>
          </w:p>
        </w:tc>
        <w:tc>
          <w:tcPr>
            <w:tcW w:type="dxa" w:w="32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Lesson Title</w:t>
            </w:r>
          </w:p>
        </w:tc>
        <w:tc>
          <w:tcPr>
            <w:tcW w:type="dxa" w:w="40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Core Learning Objective</w:t>
            </w:r>
          </w:p>
        </w:tc>
        <w:tc>
          <w:tcPr>
            <w:tcW w:type="dxa" w:w="6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Min</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The Dispatcher vs. The Broker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Explain the legal and practical difference between a dispatcher and a freight broker, and why operating as an unlicensed broker is a compliance risk</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8</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2</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How Dispatchers Get Paid</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Describe the standard percentage-of-gross model (7-12%), flat-fee alternatives, and how to structure an agreement that protects both parties</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7</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What Carriers Expect From You</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List the core responsibilities a dispatcher takes on: load sourcing, paperwork handling, check calls, and problem resolution</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6</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4</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Setting Up Your Dispatch Business</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Outline the steps to operate legally: forming an LLC, opening a business bank account, obtaining a W-9, and using a written dispatcher-carrier agreement</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9</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160"/>
              <w:left w:type="dxa" w:w="240"/>
              <w:bottom w:type="dxa" w:w="160"/>
              <w:right w:type="dxa" w:w="240"/>
            </w:tcMar>
          </w:tcPr>
          <w:p>
            <w:pPr>
              <w:spacing w:after="0" w:before="0"/>
            </w:pPr>
            <w:r>
              <w:rPr>
                <w:rFonts w:ascii="Arial" w:cs="Arial" w:eastAsia="Arial" w:hAnsi="Arial"/>
                <w:b/>
                <w:bCs/>
                <w:color w:val="E87722"/>
                <w:sz w:val="20"/>
                <w:szCs w:val="20"/>
              </w:rPr>
              <w:t xml:space="preserve">MODULE 2   </w:t>
            </w:r>
            <w:r>
              <w:rPr>
                <w:rFonts w:ascii="Arial" w:cs="Arial" w:eastAsia="Arial" w:hAnsi="Arial"/>
                <w:b/>
                <w:bCs/>
                <w:color w:val="FFFFFF"/>
                <w:sz w:val="24"/>
                <w:szCs w:val="24"/>
              </w:rPr>
              <w:t xml:space="preserve">RECRUITING AND ONBOARDING OWNER-OPERATORS</w:t>
            </w:r>
          </w:p>
          <w:p>
            <w:pPr>
              <w:spacing w:after="0" w:before="40"/>
            </w:pPr>
            <w:r>
              <w:rPr>
                <w:rFonts w:ascii="Arial" w:cs="Arial" w:eastAsia="Arial" w:hAnsi="Arial"/>
                <w:i/>
                <w:iCs/>
                <w:color w:val="AACCE0"/>
                <w:sz w:val="20"/>
                <w:szCs w:val="20"/>
              </w:rPr>
              <w:t xml:space="preserve">How to find carriers and get them under contract</w:t>
            </w:r>
          </w:p>
        </w:tc>
      </w:tr>
    </w:tbl>
    <w:p>
      <w:pPr>
        <w:spacing w:after="60" w:before="60"/>
      </w:pPr>
      <w:r>
        <w:t xml:space="preserve"/>
      </w:r>
    </w:p>
    <w:p>
      <w:pPr>
        <w:spacing w:after="40" w:before="40"/>
      </w:pPr>
      <w:r>
        <w:rPr>
          <w:rFonts w:ascii="Arial" w:cs="Arial" w:eastAsia="Arial" w:hAnsi="Arial"/>
          <w:color w:val="1A1A1A"/>
          <w:sz w:val="22"/>
          <w:szCs w:val="22"/>
        </w:rPr>
        <w:t xml:space="preserve">No carriers means no business. This module covers where to find owner-operators, how to qualify them before wasting time on a carrier packet, and what to look for in their MC authority and insurance documents. The OnTrack Dashboard's Lead and Driver modules support this workflow directly.</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4000"/>
        <w:gridCol w:w="600"/>
      </w:tblGrid>
      <w:tr>
        <w:tc>
          <w:tcPr>
            <w:tcW w:type="dxa" w:w="56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w:t>
            </w:r>
          </w:p>
        </w:tc>
        <w:tc>
          <w:tcPr>
            <w:tcW w:type="dxa" w:w="32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Lesson Title</w:t>
            </w:r>
          </w:p>
        </w:tc>
        <w:tc>
          <w:tcPr>
            <w:tcW w:type="dxa" w:w="40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Core Learning Objective</w:t>
            </w:r>
          </w:p>
        </w:tc>
        <w:tc>
          <w:tcPr>
            <w:tcW w:type="dxa" w:w="6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Min</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Where to Find Owner-Operators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Identify the primary recruiting channels: Facebook trucking groups, load boards, referrals, and truck stops</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7</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2</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Qualifying a Carrier Before You Commit</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Use FMCSA QCMobile and the SAFER system to verify MC/DOT numbers, safety ratings, and insurance status before reaching out</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8</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The Carrier Packet Walkthrough</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Explain every document in a standard carrier packet: W-9, Certificate of Insurance, signed dispatch agreement, and voided check</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10</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4</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Common Red Flags and How to Spot Them</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Recognize warning signs in a carrier's history: safety violations, authority revocations, insurance lapses, and cargo theft records</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7</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Setting Expectations on Day One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Conduct an effective onboarding call that covers communication expectations, rate authority, check-in schedule, and preferred lanes</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7</w:t>
            </w:r>
          </w:p>
        </w:tc>
      </w:tr>
    </w:tbl>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160"/>
              <w:left w:type="dxa" w:w="240"/>
              <w:bottom w:type="dxa" w:w="160"/>
              <w:right w:type="dxa" w:w="240"/>
            </w:tcMar>
          </w:tcPr>
          <w:p>
            <w:pPr>
              <w:spacing w:after="0" w:before="0"/>
            </w:pPr>
            <w:r>
              <w:rPr>
                <w:rFonts w:ascii="Arial" w:cs="Arial" w:eastAsia="Arial" w:hAnsi="Arial"/>
                <w:b/>
                <w:bCs/>
                <w:color w:val="E87722"/>
                <w:sz w:val="20"/>
                <w:szCs w:val="20"/>
              </w:rPr>
              <w:t xml:space="preserve">MODULE 3   </w:t>
            </w:r>
            <w:r>
              <w:rPr>
                <w:rFonts w:ascii="Arial" w:cs="Arial" w:eastAsia="Arial" w:hAnsi="Arial"/>
                <w:b/>
                <w:bCs/>
                <w:color w:val="FFFFFF"/>
                <w:sz w:val="24"/>
                <w:szCs w:val="24"/>
              </w:rPr>
              <w:t xml:space="preserve">FINDING AND BOOKING LOADS</w:t>
            </w:r>
          </w:p>
          <w:p>
            <w:pPr>
              <w:spacing w:after="0" w:before="40"/>
            </w:pPr>
            <w:r>
              <w:rPr>
                <w:rFonts w:ascii="Arial" w:cs="Arial" w:eastAsia="Arial" w:hAnsi="Arial"/>
                <w:i/>
                <w:iCs/>
                <w:color w:val="AACCE0"/>
                <w:sz w:val="20"/>
                <w:szCs w:val="20"/>
              </w:rPr>
              <w:t xml:space="preserve">Load boards, rate negotiation, and what RPM actually means</w:t>
            </w:r>
          </w:p>
        </w:tc>
      </w:tr>
    </w:tbl>
    <w:p>
      <w:pPr>
        <w:spacing w:after="60" w:before="60"/>
      </w:pPr>
      <w:r>
        <w:t xml:space="preserve"/>
      </w:r>
    </w:p>
    <w:p>
      <w:pPr>
        <w:spacing w:after="40" w:before="40"/>
      </w:pPr>
      <w:r>
        <w:rPr>
          <w:rFonts w:ascii="Arial" w:cs="Arial" w:eastAsia="Arial" w:hAnsi="Arial"/>
          <w:color w:val="1A1A1A"/>
          <w:sz w:val="22"/>
          <w:szCs w:val="22"/>
        </w:rPr>
        <w:t xml:space="preserve">This is the core skill. Students will learn to read a load board, calculate whether a load is profitable, and negotiate with brokers confidently. Rate benchmarks for hotshot, dry van, reefer, and flatbed are covered so students know when to push back.</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4000"/>
        <w:gridCol w:w="600"/>
      </w:tblGrid>
      <w:tr>
        <w:tc>
          <w:tcPr>
            <w:tcW w:type="dxa" w:w="56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w:t>
            </w:r>
          </w:p>
        </w:tc>
        <w:tc>
          <w:tcPr>
            <w:tcW w:type="dxa" w:w="32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Lesson Title</w:t>
            </w:r>
          </w:p>
        </w:tc>
        <w:tc>
          <w:tcPr>
            <w:tcW w:type="dxa" w:w="40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Core Learning Objective</w:t>
            </w:r>
          </w:p>
        </w:tc>
        <w:tc>
          <w:tcPr>
            <w:tcW w:type="dxa" w:w="6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Min</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Load Board Basics: DAT and Truckstop</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Navigate the DAT and Truckstop interfaces to search available loads by lane, equipment type, and rate</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8</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2</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Reading a Load Posting</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Decode a load posting: weight, commodity, equipment requirements, pickup/delivery windows, and broker contact info</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6</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Revenue Per Mile — What It Is and Why It Matters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Calculate loaded RPM, empty miles, and dead-head cost to determine whether a load is worth running</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9</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4</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Rate Benchmarks by Equipment Type</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Recall current average RPM ranges for hotshot/flatbed (\$2.50-\$3.50), dry van (\$1.80-\$2.60), and reefer (\$2.00-\$3.00)</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8</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Negotiating With Brokers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Use rate history data, market conditions, and lane knowledge to counter-offer a broker's posted rate and secure a profitable load</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10</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6</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Building Repeat Broker Relationships</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Develop direct relationships with brokers who post consistently in your carrier's preferred lanes to reduce load board dependency</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6</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160"/>
              <w:left w:type="dxa" w:w="240"/>
              <w:bottom w:type="dxa" w:w="160"/>
              <w:right w:type="dxa" w:w="240"/>
            </w:tcMar>
          </w:tcPr>
          <w:p>
            <w:pPr>
              <w:spacing w:after="0" w:before="0"/>
            </w:pPr>
            <w:r>
              <w:rPr>
                <w:rFonts w:ascii="Arial" w:cs="Arial" w:eastAsia="Arial" w:hAnsi="Arial"/>
                <w:b/>
                <w:bCs/>
                <w:color w:val="E87722"/>
                <w:sz w:val="20"/>
                <w:szCs w:val="20"/>
              </w:rPr>
              <w:t xml:space="preserve">MODULE 4   </w:t>
            </w:r>
            <w:r>
              <w:rPr>
                <w:rFonts w:ascii="Arial" w:cs="Arial" w:eastAsia="Arial" w:hAnsi="Arial"/>
                <w:b/>
                <w:bCs/>
                <w:color w:val="FFFFFF"/>
                <w:sz w:val="24"/>
                <w:szCs w:val="24"/>
              </w:rPr>
              <w:t xml:space="preserve">MANAGING A LOAD FROM BOOKING TO PAYMENT</w:t>
            </w:r>
          </w:p>
          <w:p>
            <w:pPr>
              <w:spacing w:after="0" w:before="40"/>
            </w:pPr>
            <w:r>
              <w:rPr>
                <w:rFonts w:ascii="Arial" w:cs="Arial" w:eastAsia="Arial" w:hAnsi="Arial"/>
                <w:i/>
                <w:iCs/>
                <w:color w:val="AACCE0"/>
                <w:sz w:val="20"/>
                <w:szCs w:val="20"/>
              </w:rPr>
              <w:t xml:space="preserve">The full lifecycle of a load: paperwork, check calls, and invoicing</w:t>
            </w:r>
          </w:p>
        </w:tc>
      </w:tr>
    </w:tbl>
    <w:p>
      <w:pPr>
        <w:spacing w:after="60" w:before="60"/>
      </w:pPr>
      <w:r>
        <w:t xml:space="preserve"/>
      </w:r>
    </w:p>
    <w:p>
      <w:pPr>
        <w:spacing w:after="40" w:before="40"/>
      </w:pPr>
      <w:r>
        <w:rPr>
          <w:rFonts w:ascii="Arial" w:cs="Arial" w:eastAsia="Arial" w:hAnsi="Arial"/>
          <w:color w:val="1A1A1A"/>
          <w:sz w:val="22"/>
          <w:szCs w:val="22"/>
        </w:rPr>
        <w:t xml:space="preserve">Getting a load booked is only the beginning. This module walks through everything that happens next: confirming with the carrier, handling the rate confirmation, making check calls, collecting proof of delivery, and getting the invoice paid. Students learn what brokers expect and how to avoid the common mistakes that delay payment.</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4000"/>
        <w:gridCol w:w="600"/>
      </w:tblGrid>
      <w:tr>
        <w:tc>
          <w:tcPr>
            <w:tcW w:type="dxa" w:w="56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w:t>
            </w:r>
          </w:p>
        </w:tc>
        <w:tc>
          <w:tcPr>
            <w:tcW w:type="dxa" w:w="32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Lesson Title</w:t>
            </w:r>
          </w:p>
        </w:tc>
        <w:tc>
          <w:tcPr>
            <w:tcW w:type="dxa" w:w="40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Core Learning Objective</w:t>
            </w:r>
          </w:p>
        </w:tc>
        <w:tc>
          <w:tcPr>
            <w:tcW w:type="dxa" w:w="6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Min</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The Rate Confirmation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Review a rate confirmation for the key details that protect your carrier: pickup number, detention rate, TONU clause, and accessorial charges</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8</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2</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Check Calls: What to Say and When</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Conduct a professional check call at pickup, mid-transit, and delivery that satisfies broker requirements without annoying the driver</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7</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Bills of Lading and Proof of Delivery</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Explain what a BOL is, what information it must contain, and how to collect a clean POD that qualifies for payment</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7</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4</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Invoicing the Broker</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Submit a correctly formatted invoice with the BOL, POD, and rate confirmation attached so payment is processed without delays</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8</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Factoring vs. Net Terms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Compare freight factoring (same-day cash, 2-5% fee) against waiting 30-60 days on net terms, and explain when each makes sense</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8</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6</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Handling Problems: Detention, Lumpers, and Late Delivery</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Respond to common load issues in a way that protects the carrier financially while keeping the broker relationship intact</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9</w:t>
            </w:r>
          </w:p>
        </w:tc>
      </w:tr>
    </w:tbl>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160"/>
              <w:left w:type="dxa" w:w="240"/>
              <w:bottom w:type="dxa" w:w="160"/>
              <w:right w:type="dxa" w:w="240"/>
            </w:tcMar>
          </w:tcPr>
          <w:p>
            <w:pPr>
              <w:spacing w:after="0" w:before="0"/>
            </w:pPr>
            <w:r>
              <w:rPr>
                <w:rFonts w:ascii="Arial" w:cs="Arial" w:eastAsia="Arial" w:hAnsi="Arial"/>
                <w:b/>
                <w:bCs/>
                <w:color w:val="E87722"/>
                <w:sz w:val="20"/>
                <w:szCs w:val="20"/>
              </w:rPr>
              <w:t xml:space="preserve">MODULE 5   </w:t>
            </w:r>
            <w:r>
              <w:rPr>
                <w:rFonts w:ascii="Arial" w:cs="Arial" w:eastAsia="Arial" w:hAnsi="Arial"/>
                <w:b/>
                <w:bCs/>
                <w:color w:val="FFFFFF"/>
                <w:sz w:val="24"/>
                <w:szCs w:val="24"/>
              </w:rPr>
              <w:t xml:space="preserve">COMPLIANCE, GROWTH, AND DAILY HABITS</w:t>
            </w:r>
          </w:p>
          <w:p>
            <w:pPr>
              <w:spacing w:after="0" w:before="40"/>
            </w:pPr>
            <w:r>
              <w:rPr>
                <w:rFonts w:ascii="Arial" w:cs="Arial" w:eastAsia="Arial" w:hAnsi="Arial"/>
                <w:i/>
                <w:iCs/>
                <w:color w:val="AACCE0"/>
                <w:sz w:val="20"/>
                <w:szCs w:val="20"/>
              </w:rPr>
              <w:t xml:space="preserve">FMCSA basics, scaling your book of business, and staying organized</w:t>
            </w:r>
          </w:p>
        </w:tc>
      </w:tr>
    </w:tbl>
    <w:p>
      <w:pPr>
        <w:spacing w:after="60" w:before="60"/>
      </w:pPr>
      <w:r>
        <w:t xml:space="preserve"/>
      </w:r>
    </w:p>
    <w:p>
      <w:pPr>
        <w:spacing w:after="40" w:before="40"/>
      </w:pPr>
      <w:r>
        <w:rPr>
          <w:rFonts w:ascii="Arial" w:cs="Arial" w:eastAsia="Arial" w:hAnsi="Arial"/>
          <w:color w:val="1A1A1A"/>
          <w:sz w:val="22"/>
          <w:szCs w:val="22"/>
        </w:rPr>
        <w:t xml:space="preserve">This module ties together the professional side of dispatching. Students learn just enough about FMCSA and DOT rules to avoid stepping on a compliance landmine, and they see what the daily workflow of a working dispatcher actually looks like. The module closes with a roadmap for growing from one carrier to a small fleet.</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4000"/>
        <w:gridCol w:w="600"/>
      </w:tblGrid>
      <w:tr>
        <w:tc>
          <w:tcPr>
            <w:tcW w:type="dxa" w:w="56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w:t>
            </w:r>
          </w:p>
        </w:tc>
        <w:tc>
          <w:tcPr>
            <w:tcW w:type="dxa" w:w="32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Lesson Title</w:t>
            </w:r>
          </w:p>
        </w:tc>
        <w:tc>
          <w:tcPr>
            <w:tcW w:type="dxa" w:w="40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Core Learning Objective</w:t>
            </w:r>
          </w:p>
        </w:tc>
        <w:tc>
          <w:tcPr>
            <w:tcW w:type="dxa" w:w="6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Min</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FMCSA and DOT Basics Every Dispatcher Must Know</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Identify the regulations that most directly affect a dispatcher's work: HOS rules, CDL requirements, and the broker vs. dispatcher boundary</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9</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2</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The Dispatcher's Daily Workflow</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Describe a structured daily routine: morning load searches, mid-day check calls, afternoon paperwork, and end-of-day reconciliation</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7</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Staying Organized Across Multiple Carriers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Apply a system for tracking open loads, pending invoices, and follow-ups across two or more carriers without letting anything fall through</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8</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4</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Common Mistakes New Dispatchers Make</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Avoid the top errors that hurt new dispatchers: accepting every load without vetting, poor documentation habits, and under-charging</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8</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Growing Your Dispatch Business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Outline a realistic growth path: one carrier to three, expanding lane expertise, building referral sources, and when to consider hiring</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8</w:t>
            </w:r>
          </w:p>
        </w:tc>
      </w:tr>
    </w:tbl>
    <w:p>
      <w:pPr>
        <w:spacing w:after="60" w:before="60"/>
      </w:pPr>
      <w:r>
        <w:t xml:space="preserve"/>
      </w:r>
    </w:p>
    <w:p>
      <w:pPr>
        <w:pBdr>
          <w:bottom w:val="single" w:color="2E5C8A" w:sz="4" w:space="1"/>
        </w:pBdr>
        <w:spacing w:after="80" w:before="80"/>
      </w:pPr>
      <w:r>
        <w:t xml:space="preserve"/>
      </w:r>
    </w:p>
    <w:p>
      <w:pPr>
        <w:spacing w:after="60" w:before="60"/>
      </w:pPr>
      <w:r>
        <w:t xml:space="preserve"/>
      </w:r>
    </w:p>
    <w:p>
      <w:pPr>
        <w:spacing w:after="60" w:before="120"/>
        <w:jc w:val="center"/>
      </w:pPr>
      <w:r>
        <w:rPr>
          <w:rFonts w:ascii="Arial" w:cs="Arial" w:eastAsia="Arial" w:hAnsi="Arial"/>
          <w:b/>
          <w:bCs/>
          <w:color w:val="E87722"/>
          <w:sz w:val="28"/>
          <w:szCs w:val="28"/>
        </w:rPr>
        <w:t xml:space="preserve">PART TWO</w:t>
      </w:r>
    </w:p>
    <w:p>
      <w:pPr>
        <w:spacing w:after="240" w:before="0"/>
        <w:jc w:val="center"/>
      </w:pPr>
      <w:r>
        <w:rPr>
          <w:rFonts w:ascii="Arial" w:cs="Arial" w:eastAsia="Arial" w:hAnsi="Arial"/>
          <w:b/>
          <w:bCs/>
          <w:color w:val="1A2B3C"/>
          <w:sz w:val="34"/>
          <w:szCs w:val="34"/>
        </w:rPr>
        <w:t xml:space="preserve">OnTrack Dispatch Dashboard — Software Training</w:t>
      </w:r>
    </w:p>
    <w:p>
      <w:pPr>
        <w:spacing w:after="40" w:before="40"/>
      </w:pPr>
      <w:r>
        <w:rPr>
          <w:rFonts w:ascii="Arial" w:cs="Arial" w:eastAsia="Arial" w:hAnsi="Arial"/>
          <w:color w:val="1A1A1A"/>
          <w:sz w:val="22"/>
          <w:szCs w:val="22"/>
        </w:rPr>
        <w:t xml:space="preserve">Part Two is dedicated to the OnTrack Dispatch Dashboard, a desktop application built specifically for small dispatch operations. Each module covers a distinct section of the app and ties back to the dispatching concepts covered in Part One. Screen recordings should be captured directly from the live app using OBS.</w:t>
      </w:r>
    </w:p>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160"/>
              <w:left w:type="dxa" w:w="240"/>
              <w:bottom w:type="dxa" w:w="160"/>
              <w:right w:type="dxa" w:w="240"/>
            </w:tcMar>
          </w:tcPr>
          <w:p>
            <w:pPr>
              <w:spacing w:after="0" w:before="0"/>
            </w:pPr>
            <w:r>
              <w:rPr>
                <w:rFonts w:ascii="Arial" w:cs="Arial" w:eastAsia="Arial" w:hAnsi="Arial"/>
                <w:b/>
                <w:bCs/>
                <w:color w:val="E87722"/>
                <w:sz w:val="20"/>
                <w:szCs w:val="20"/>
              </w:rPr>
              <w:t xml:space="preserve">MODULE 6   </w:t>
            </w:r>
            <w:r>
              <w:rPr>
                <w:rFonts w:ascii="Arial" w:cs="Arial" w:eastAsia="Arial" w:hAnsi="Arial"/>
                <w:b/>
                <w:bCs/>
                <w:color w:val="FFFFFF"/>
                <w:sz w:val="24"/>
                <w:szCs w:val="24"/>
              </w:rPr>
              <w:t xml:space="preserve">GETTING STARTED WITH THE DASHBOARD</w:t>
            </w:r>
          </w:p>
          <w:p>
            <w:pPr>
              <w:spacing w:after="0" w:before="40"/>
            </w:pPr>
            <w:r>
              <w:rPr>
                <w:rFonts w:ascii="Arial" w:cs="Arial" w:eastAsia="Arial" w:hAnsi="Arial"/>
                <w:i/>
                <w:iCs/>
                <w:color w:val="AACCE0"/>
                <w:sz w:val="20"/>
                <w:szCs w:val="20"/>
              </w:rPr>
              <w:t xml:space="preserve">Installation, navigation, and first-time setup</w:t>
            </w:r>
          </w:p>
        </w:tc>
      </w:tr>
    </w:tbl>
    <w:p>
      <w:pPr>
        <w:spacing w:after="60" w:before="60"/>
      </w:pPr>
      <w:r>
        <w:t xml:space="preserve"/>
      </w:r>
    </w:p>
    <w:p>
      <w:pPr>
        <w:spacing w:after="40" w:before="40"/>
      </w:pPr>
      <w:r>
        <w:rPr>
          <w:rFonts w:ascii="Arial" w:cs="Arial" w:eastAsia="Arial" w:hAnsi="Arial"/>
          <w:color w:val="1A1A1A"/>
          <w:sz w:val="22"/>
          <w:szCs w:val="22"/>
        </w:rPr>
        <w:t xml:space="preserve">Before any other app training can happen, students need to understand the layout, know how to navigate, and complete initial settings. This module is short but critical — a student who starts here will feel comfortable in every subsequent lesson.</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4000"/>
        <w:gridCol w:w="600"/>
      </w:tblGrid>
      <w:tr>
        <w:tc>
          <w:tcPr>
            <w:tcW w:type="dxa" w:w="56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w:t>
            </w:r>
          </w:p>
        </w:tc>
        <w:tc>
          <w:tcPr>
            <w:tcW w:type="dxa" w:w="32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Lesson Title</w:t>
            </w:r>
          </w:p>
        </w:tc>
        <w:tc>
          <w:tcPr>
            <w:tcW w:type="dxa" w:w="40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Core Learning Objective</w:t>
            </w:r>
          </w:p>
        </w:tc>
        <w:tc>
          <w:tcPr>
            <w:tcW w:type="dxa" w:w="6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Min</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Installing and Launching the App</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Download, install, and launch the OnTrack Dispatch Dashboard on a Windows machine</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5</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2</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The Dashboard Overview</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Identify all sections visible on the main Dashboard: KPI cards (Leads, Active Loads, Revenue, Drivers), the quick-actions bar, revenue sparkline, and activity feed</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7</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Navigation and Settings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Navigate to every page using the left sidebar, and configure key Settings: company name, MC/DOT number, default email, factoring company name, and display preferences</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8</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4</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The Help Module and Support Resources</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Locate built-in FAQ entries, contact the OnTrack support team by email, and use the keyboard shortcut reference</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4</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160"/>
              <w:left w:type="dxa" w:w="240"/>
              <w:bottom w:type="dxa" w:w="160"/>
              <w:right w:type="dxa" w:w="240"/>
            </w:tcMar>
          </w:tcPr>
          <w:p>
            <w:pPr>
              <w:spacing w:after="0" w:before="0"/>
            </w:pPr>
            <w:r>
              <w:rPr>
                <w:rFonts w:ascii="Arial" w:cs="Arial" w:eastAsia="Arial" w:hAnsi="Arial"/>
                <w:b/>
                <w:bCs/>
                <w:color w:val="E87722"/>
                <w:sz w:val="20"/>
                <w:szCs w:val="20"/>
              </w:rPr>
              <w:t xml:space="preserve">MODULE 7   </w:t>
            </w:r>
            <w:r>
              <w:rPr>
                <w:rFonts w:ascii="Arial" w:cs="Arial" w:eastAsia="Arial" w:hAnsi="Arial"/>
                <w:b/>
                <w:bCs/>
                <w:color w:val="FFFFFF"/>
                <w:sz w:val="24"/>
                <w:szCs w:val="24"/>
              </w:rPr>
              <w:t xml:space="preserve">LEADS AND DRIVER ACQUISITION</w:t>
            </w:r>
          </w:p>
          <w:p>
            <w:pPr>
              <w:spacing w:after="0" w:before="40"/>
            </w:pPr>
            <w:r>
              <w:rPr>
                <w:rFonts w:ascii="Arial" w:cs="Arial" w:eastAsia="Arial" w:hAnsi="Arial"/>
                <w:i/>
                <w:iCs/>
                <w:color w:val="AACCE0"/>
                <w:sz w:val="20"/>
                <w:szCs w:val="20"/>
              </w:rPr>
              <w:t xml:space="preserve">Managing prospects from first contact to signed carrier</w:t>
            </w:r>
          </w:p>
        </w:tc>
      </w:tr>
    </w:tbl>
    <w:p>
      <w:pPr>
        <w:spacing w:after="60" w:before="60"/>
      </w:pPr>
      <w:r>
        <w:t xml:space="preserve"/>
      </w:r>
    </w:p>
    <w:p>
      <w:pPr>
        <w:spacing w:after="40" w:before="40"/>
      </w:pPr>
      <w:r>
        <w:rPr>
          <w:rFonts w:ascii="Arial" w:cs="Arial" w:eastAsia="Arial" w:hAnsi="Arial"/>
          <w:color w:val="1A1A1A"/>
          <w:sz w:val="22"/>
          <w:szCs w:val="22"/>
        </w:rPr>
        <w:t xml:space="preserve">The Leads module is the top of the funnel. It connects directly to the FMCSA database so students can pull carrier data without leaving the app. The Drivers module picks up where Leads leaves off once a carrier is officially onboarded.</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4000"/>
        <w:gridCol w:w="600"/>
      </w:tblGrid>
      <w:tr>
        <w:tc>
          <w:tcPr>
            <w:tcW w:type="dxa" w:w="56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w:t>
            </w:r>
          </w:p>
        </w:tc>
        <w:tc>
          <w:tcPr>
            <w:tcW w:type="dxa" w:w="32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Lesson Title</w:t>
            </w:r>
          </w:p>
        </w:tc>
        <w:tc>
          <w:tcPr>
            <w:tcW w:type="dxa" w:w="40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Core Learning Objective</w:t>
            </w:r>
          </w:p>
        </w:tc>
        <w:tc>
          <w:tcPr>
            <w:tcW w:type="dxa" w:w="6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Min</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The Leads Pipeline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Add a new lead manually, enter the key fields (name, MC/DOT, contact info, equipment type, preferred lanes, status), and move a lead through the Prospect to Active pipeline stages</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8</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2</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Importing from FMCSA</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Use the FMCSA QCMobile integration to search a carrier by MC number, review their authority and safety data, and import the record with one click</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8</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Converting a Lead to a Driver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Promote a qualified lead to the Drivers module, and understand what information carries over vs. what must be added during onboarding</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6</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4</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The Drivers Module</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Add a driver profile with all carrier packet fields: name, MC/DOT, CDL state/number, home base, equipment, insurance details, factoring company, and notes</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9</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Filtering and Searching Drivers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Filter the driver list by equipment type, status, or custom search to quickly locate a specific carrier when booking a load</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5</w:t>
            </w:r>
          </w:p>
        </w:tc>
      </w:tr>
    </w:tbl>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160"/>
              <w:left w:type="dxa" w:w="240"/>
              <w:bottom w:type="dxa" w:w="160"/>
              <w:right w:type="dxa" w:w="240"/>
            </w:tcMar>
          </w:tcPr>
          <w:p>
            <w:pPr>
              <w:spacing w:after="0" w:before="0"/>
            </w:pPr>
            <w:r>
              <w:rPr>
                <w:rFonts w:ascii="Arial" w:cs="Arial" w:eastAsia="Arial" w:hAnsi="Arial"/>
                <w:b/>
                <w:bCs/>
                <w:color w:val="E87722"/>
                <w:sz w:val="20"/>
                <w:szCs w:val="20"/>
              </w:rPr>
              <w:t xml:space="preserve">MODULE 8   </w:t>
            </w:r>
            <w:r>
              <w:rPr>
                <w:rFonts w:ascii="Arial" w:cs="Arial" w:eastAsia="Arial" w:hAnsi="Arial"/>
                <w:b/>
                <w:bCs/>
                <w:color w:val="FFFFFF"/>
                <w:sz w:val="24"/>
                <w:szCs w:val="24"/>
              </w:rPr>
              <w:t xml:space="preserve">LOADS, BROKERS, AND FIND LOADS</w:t>
            </w:r>
          </w:p>
          <w:p>
            <w:pPr>
              <w:spacing w:after="0" w:before="40"/>
            </w:pPr>
            <w:r>
              <w:rPr>
                <w:rFonts w:ascii="Arial" w:cs="Arial" w:eastAsia="Arial" w:hAnsi="Arial"/>
                <w:i/>
                <w:iCs/>
                <w:color w:val="AACCE0"/>
                <w:sz w:val="20"/>
                <w:szCs w:val="20"/>
              </w:rPr>
              <w:t xml:space="preserve">Booking loads, managing brokers, and searching the DAT board</w:t>
            </w:r>
          </w:p>
        </w:tc>
      </w:tr>
    </w:tbl>
    <w:p>
      <w:pPr>
        <w:spacing w:after="60" w:before="60"/>
      </w:pPr>
      <w:r>
        <w:t xml:space="preserve"/>
      </w:r>
    </w:p>
    <w:p>
      <w:pPr>
        <w:spacing w:after="40" w:before="40"/>
      </w:pPr>
      <w:r>
        <w:rPr>
          <w:rFonts w:ascii="Arial" w:cs="Arial" w:eastAsia="Arial" w:hAnsi="Arial"/>
          <w:color w:val="1A1A1A"/>
          <w:sz w:val="22"/>
          <w:szCs w:val="22"/>
        </w:rPr>
        <w:t xml:space="preserve">The Loads module is the operational heart of the app. Combined with the Brokers module and the Find Loads integration, it gives a dispatcher everything needed to source, book, and track loads without switching between multiple tools.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4000"/>
        <w:gridCol w:w="600"/>
      </w:tblGrid>
      <w:tr>
        <w:tc>
          <w:tcPr>
            <w:tcW w:type="dxa" w:w="56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w:t>
            </w:r>
          </w:p>
        </w:tc>
        <w:tc>
          <w:tcPr>
            <w:tcW w:type="dxa" w:w="32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Lesson Title</w:t>
            </w:r>
          </w:p>
        </w:tc>
        <w:tc>
          <w:tcPr>
            <w:tcW w:type="dxa" w:w="40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Core Learning Objective</w:t>
            </w:r>
          </w:p>
        </w:tc>
        <w:tc>
          <w:tcPr>
            <w:tcW w:type="dxa" w:w="6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Min</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Adding a New Load</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Create a load record with all required fields: driver assignment, broker, origin, destination, pickup/delivery dates, commodity, weight, equipment, rate, miles, and RPM</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10</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2</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Load Statuses and the Pipeline</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Move a load through every status stage — Pending, Booked, In Transit, Delivered, Invoiced, Paid, Cancelled — and understand what each represents</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7</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The Brokers Module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Add a broker record with contact info, MC number, payment terms, credit rating, and notes; edit and filter the broker list</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7</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4</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Find Loads: Searching the DAT Board</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Use the Find Loads page to search available loads by origin, destination, equipment, and date range through the integrated DAT feed</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8</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Linking Loads to Brokers and Drivers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Connect a load record to the correct broker and driver so all associated data is visible from one screen</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6</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6</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Editing, Duplicating, and Archiving Loads</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Edit a load record after booking, duplicate a repeating lane, and archive completed loads to keep the active list clean</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6</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160"/>
              <w:left w:type="dxa" w:w="240"/>
              <w:bottom w:type="dxa" w:w="160"/>
              <w:right w:type="dxa" w:w="240"/>
            </w:tcMar>
          </w:tcPr>
          <w:p>
            <w:pPr>
              <w:spacing w:after="0" w:before="0"/>
            </w:pPr>
            <w:r>
              <w:rPr>
                <w:rFonts w:ascii="Arial" w:cs="Arial" w:eastAsia="Arial" w:hAnsi="Arial"/>
                <w:b/>
                <w:bCs/>
                <w:color w:val="E87722"/>
                <w:sz w:val="20"/>
                <w:szCs w:val="20"/>
              </w:rPr>
              <w:t xml:space="preserve">MODULE 9   </w:t>
            </w:r>
            <w:r>
              <w:rPr>
                <w:rFonts w:ascii="Arial" w:cs="Arial" w:eastAsia="Arial" w:hAnsi="Arial"/>
                <w:b/>
                <w:bCs/>
                <w:color w:val="FFFFFF"/>
                <w:sz w:val="24"/>
                <w:szCs w:val="24"/>
              </w:rPr>
              <w:t xml:space="preserve">INVOICING AND DOCUMENTS</w:t>
            </w:r>
          </w:p>
          <w:p>
            <w:pPr>
              <w:spacing w:after="0" w:before="40"/>
            </w:pPr>
            <w:r>
              <w:rPr>
                <w:rFonts w:ascii="Arial" w:cs="Arial" w:eastAsia="Arial" w:hAnsi="Arial"/>
                <w:i/>
                <w:iCs/>
                <w:color w:val="AACCE0"/>
                <w:sz w:val="20"/>
                <w:szCs w:val="20"/>
              </w:rPr>
              <w:t xml:space="preserve">Generating invoices, uploading documents, and getting paid</w:t>
            </w:r>
          </w:p>
        </w:tc>
      </w:tr>
    </w:tbl>
    <w:p>
      <w:pPr>
        <w:spacing w:after="60" w:before="60"/>
      </w:pPr>
      <w:r>
        <w:t xml:space="preserve"/>
      </w:r>
    </w:p>
    <w:p>
      <w:pPr>
        <w:spacing w:after="40" w:before="40"/>
      </w:pPr>
      <w:r>
        <w:rPr>
          <w:rFonts w:ascii="Arial" w:cs="Arial" w:eastAsia="Arial" w:hAnsi="Arial"/>
          <w:color w:val="1A1A1A"/>
          <w:sz w:val="22"/>
          <w:szCs w:val="22"/>
        </w:rPr>
        <w:t xml:space="preserve">The Invoices module closes the financial loop. Students learn how to generate an invoice from a completed load, track its payment status, and store the supporting documents (BOL, POD, rate confirmation) in the Documents module so nothing gets lost when payment disputes arise.</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4000"/>
        <w:gridCol w:w="600"/>
      </w:tblGrid>
      <w:tr>
        <w:tc>
          <w:tcPr>
            <w:tcW w:type="dxa" w:w="56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w:t>
            </w:r>
          </w:p>
        </w:tc>
        <w:tc>
          <w:tcPr>
            <w:tcW w:type="dxa" w:w="32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Lesson Title</w:t>
            </w:r>
          </w:p>
        </w:tc>
        <w:tc>
          <w:tcPr>
            <w:tcW w:type="dxa" w:w="40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Core Learning Objective</w:t>
            </w:r>
          </w:p>
        </w:tc>
        <w:tc>
          <w:tcPr>
            <w:tcW w:type="dxa" w:w="6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Min</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Creating an Invoice from a Load</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Generate an invoice directly from a delivered load record, review the auto-populated fields, and confirm the amount and billing details</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8</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2</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Invoice Statuses: Draft, Sent, Paid, Overdue</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Track an invoice through every stage, mark it as sent and then paid, and identify overdue invoices that need follow-up</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7</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The Documents Module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Upload BOLs, PODs, rate confirmations, carrier packets, and certificates of insurance; search and filter the document library by carrier or load</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7</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4</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Attaching Documents to Loads and Invoices</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Link uploaded documents to the correct load and invoice records so the full paper trail is accessible in one place</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6</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Exporting Invoices and Records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Export an invoice and its associated documents as a PDF package ready to send to a broker or factoring company</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6</w:t>
            </w:r>
          </w:p>
        </w:tc>
      </w:tr>
    </w:tbl>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160"/>
              <w:left w:type="dxa" w:w="240"/>
              <w:bottom w:type="dxa" w:w="160"/>
              <w:right w:type="dxa" w:w="240"/>
            </w:tcMar>
          </w:tcPr>
          <w:p>
            <w:pPr>
              <w:spacing w:after="0" w:before="0"/>
            </w:pPr>
            <w:r>
              <w:rPr>
                <w:rFonts w:ascii="Arial" w:cs="Arial" w:eastAsia="Arial" w:hAnsi="Arial"/>
                <w:b/>
                <w:bCs/>
                <w:color w:val="E87722"/>
                <w:sz w:val="20"/>
                <w:szCs w:val="20"/>
              </w:rPr>
              <w:t xml:space="preserve">MODULE 10   </w:t>
            </w:r>
            <w:r>
              <w:rPr>
                <w:rFonts w:ascii="Arial" w:cs="Arial" w:eastAsia="Arial" w:hAnsi="Arial"/>
                <w:b/>
                <w:bCs/>
                <w:color w:val="FFFFFF"/>
                <w:sz w:val="24"/>
                <w:szCs w:val="24"/>
              </w:rPr>
              <w:t xml:space="preserve">TASKS, ANALYTICS, AND MARKETING</w:t>
            </w:r>
          </w:p>
          <w:p>
            <w:pPr>
              <w:spacing w:after="0" w:before="40"/>
            </w:pPr>
            <w:r>
              <w:rPr>
                <w:rFonts w:ascii="Arial" w:cs="Arial" w:eastAsia="Arial" w:hAnsi="Arial"/>
                <w:i/>
                <w:iCs/>
                <w:color w:val="AACCE0"/>
                <w:sz w:val="20"/>
                <w:szCs w:val="20"/>
              </w:rPr>
              <w:t xml:space="preserve">Daily task management, performance reporting, and social media tools</w:t>
            </w:r>
          </w:p>
        </w:tc>
      </w:tr>
    </w:tbl>
    <w:p>
      <w:pPr>
        <w:spacing w:after="60" w:before="60"/>
      </w:pPr>
      <w:r>
        <w:t xml:space="preserve"/>
      </w:r>
    </w:p>
    <w:p>
      <w:pPr>
        <w:spacing w:after="40" w:before="40"/>
      </w:pPr>
      <w:r>
        <w:rPr>
          <w:rFonts w:ascii="Arial" w:cs="Arial" w:eastAsia="Arial" w:hAnsi="Arial"/>
          <w:color w:val="1A1A1A"/>
          <w:sz w:val="22"/>
          <w:szCs w:val="22"/>
        </w:rPr>
        <w:t xml:space="preserve">The final operational modules cover three supporting systems that keep the business running smoothly day to day. Tasks replaces sticky notes. Analytics shows whether the business is growing. The Marketing module handles social media posting on a schedule so the dispatcher stays visible without spending time on it.</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4000"/>
        <w:gridCol w:w="600"/>
      </w:tblGrid>
      <w:tr>
        <w:tc>
          <w:tcPr>
            <w:tcW w:type="dxa" w:w="56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w:t>
            </w:r>
          </w:p>
        </w:tc>
        <w:tc>
          <w:tcPr>
            <w:tcW w:type="dxa" w:w="32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Lesson Title</w:t>
            </w:r>
          </w:p>
        </w:tc>
        <w:tc>
          <w:tcPr>
            <w:tcW w:type="dxa" w:w="40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Core Learning Objective</w:t>
            </w:r>
          </w:p>
        </w:tc>
        <w:tc>
          <w:tcPr>
            <w:tcW w:type="dxa" w:w="6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Min</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The Tasks Module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Create tasks with title, description, due date, priority level, and category; assign them to a load or driver; mark them complete; and use filtered views to manage a full workday</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8</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2</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Using Tasks for Daily Dispatch Workflow</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Build a recurring task template for the daily dispatcher routine: morning load search, check calls, document collection, and end-of-day invoicing</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7</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The Analytics Dashboard</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Read every chart and KPI on the Analytics page: total loads, revenue trends, RPM averages, load status distribution, top brokers, and top drivers</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9</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4</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Using Analytics to Make Business Decisions</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Apply analytics data to identify underperforming lanes, high-value brokers, and drivers who consistently run profitable freight</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7</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The Marketing Module: Post Templates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Select a post template, customize the auto-generated copy, and review the 90-day rotation logic that prevents duplicate posts</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6</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6</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Publishing Posts and Tracking Activity</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Publish a post from the Marketing module, review post history, and understand how consistent marketing builds the driver pipeline over time</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6</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3C" w:val="clear"/>
            <w:tcMar>
              <w:top w:type="dxa" w:w="160"/>
              <w:left w:type="dxa" w:w="240"/>
              <w:bottom w:type="dxa" w:w="160"/>
              <w:right w:type="dxa" w:w="240"/>
            </w:tcMar>
          </w:tcPr>
          <w:p>
            <w:pPr>
              <w:spacing w:after="0" w:before="0"/>
            </w:pPr>
            <w:r>
              <w:rPr>
                <w:rFonts w:ascii="Arial" w:cs="Arial" w:eastAsia="Arial" w:hAnsi="Arial"/>
                <w:b/>
                <w:bCs/>
                <w:color w:val="E87722"/>
                <w:sz w:val="20"/>
                <w:szCs w:val="20"/>
              </w:rPr>
              <w:t xml:space="preserve">MODULE 11   </w:t>
            </w:r>
            <w:r>
              <w:rPr>
                <w:rFonts w:ascii="Arial" w:cs="Arial" w:eastAsia="Arial" w:hAnsi="Arial"/>
                <w:b/>
                <w:bCs/>
                <w:color w:val="FFFFFF"/>
                <w:sz w:val="24"/>
                <w:szCs w:val="24"/>
              </w:rPr>
              <w:t xml:space="preserve">PUTTING IT ALL TOGETHER</w:t>
            </w:r>
          </w:p>
          <w:p>
            <w:pPr>
              <w:spacing w:after="0" w:before="40"/>
            </w:pPr>
            <w:r>
              <w:rPr>
                <w:rFonts w:ascii="Arial" w:cs="Arial" w:eastAsia="Arial" w:hAnsi="Arial"/>
                <w:i/>
                <w:iCs/>
                <w:color w:val="AACCE0"/>
                <w:sz w:val="20"/>
                <w:szCs w:val="20"/>
              </w:rPr>
              <w:t xml:space="preserve">A full dispatch cycle from lead to payment inside the app</w:t>
            </w:r>
          </w:p>
        </w:tc>
      </w:tr>
    </w:tbl>
    <w:p>
      <w:pPr>
        <w:spacing w:after="60" w:before="60"/>
      </w:pPr>
      <w:r>
        <w:t xml:space="preserve"/>
      </w:r>
    </w:p>
    <w:p>
      <w:pPr>
        <w:spacing w:after="40" w:before="40"/>
      </w:pPr>
      <w:r>
        <w:rPr>
          <w:rFonts w:ascii="Arial" w:cs="Arial" w:eastAsia="Arial" w:hAnsi="Arial"/>
          <w:color w:val="1A1A1A"/>
          <w:sz w:val="22"/>
          <w:szCs w:val="22"/>
        </w:rPr>
        <w:t xml:space="preserve">The capstone module runs a complete dispatch cycle from start to finish using every part of the app. No new concepts are introduced — this is pure applied practice. By the end, the student will have walked through the exact workflow they will repeat every working day.</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4000"/>
        <w:gridCol w:w="600"/>
      </w:tblGrid>
      <w:tr>
        <w:tc>
          <w:tcPr>
            <w:tcW w:type="dxa" w:w="56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w:t>
            </w:r>
          </w:p>
        </w:tc>
        <w:tc>
          <w:tcPr>
            <w:tcW w:type="dxa" w:w="32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Lesson Title</w:t>
            </w:r>
          </w:p>
        </w:tc>
        <w:tc>
          <w:tcPr>
            <w:tcW w:type="dxa" w:w="40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Core Learning Objective</w:t>
            </w:r>
          </w:p>
        </w:tc>
        <w:tc>
          <w:tcPr>
            <w:tcW w:type="dxa" w:w="6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Min</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Importing a New Lead and Qualifying the Carrier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Use FMCSA import to pull a carrier, review their compliance data, and move them through the lead pipeline to Active</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8</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2</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Onboarding the Driver and Storing the Carrier Packet</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Convert the lead to a driver profile, complete all onboarding fields, and upload the carrier packet documents</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7</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Finding a Load and Booking It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Search the Find Loads feed for a suitable load, create the load record with all fields, and link it to the driver and broker</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9</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4</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Managing the Load in Transit</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Update the load status at each stage, log check call notes in the task system, and handle a simulated detention scenario</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8</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Closing Out: Invoice, POD, and Payment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Mark the load as delivered, generate the invoice, attach the BOL and POD, submit to the broker, and mark the invoice paid</w:t>
            </w:r>
          </w:p>
        </w:tc>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8</w:t>
            </w:r>
          </w:p>
        </w:tc>
      </w:tr>
      <w:tr>
        <w:tc>
          <w:tcPr>
            <w:tcW w:type="dxa" w:w="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6</w:t>
            </w:r>
          </w:p>
        </w:tc>
        <w:tc>
          <w:tcPr>
            <w:tcW w:type="dxa" w:w="32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What Comes Next: Resources and Continued Learning</w:t>
            </w:r>
          </w:p>
        </w:tc>
        <w:tc>
          <w:tcPr>
            <w:tcW w:type="dxa" w:w="4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Identify resources for staying current in freight dispatching: load board training, FMCSA updates, dispatcher communities, and the OnTrack support channel</w:t>
            </w:r>
          </w:p>
        </w:tc>
        <w:tc>
          <w:tcPr>
            <w:tcW w:type="dxa" w:w="6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vAlign w:val="top"/>
          </w:tcPr>
          <w:p>
            <w:pPr>
              <w:spacing w:after="0" w:before="0"/>
            </w:pPr>
            <w:r>
              <w:rPr>
                <w:rFonts w:ascii="Arial" w:cs="Arial" w:eastAsia="Arial" w:hAnsi="Arial"/>
                <w:b w:val="false"/>
                <w:bCs w:val="false"/>
                <w:color w:val="1A1A1A"/>
                <w:sz w:val="20"/>
                <w:szCs w:val="20"/>
              </w:rPr>
              <w:t xml:space="preserve">6</w:t>
            </w:r>
          </w:p>
        </w:tc>
      </w:tr>
    </w:tbl>
    <w:p>
      <w:pPr>
        <w:spacing w:after="60" w:before="60"/>
      </w:pPr>
      <w:r>
        <w:t xml:space="preserve"/>
      </w:r>
    </w:p>
    <w:p>
      <w:pPr>
        <w:spacing w:after="60" w:before="60"/>
      </w:pPr>
      <w:r>
        <w:t xml:space="preserve"/>
      </w:r>
    </w:p>
    <w:p>
      <w:pPr>
        <w:pBdr>
          <w:bottom w:val="single" w:color="2E5C8A" w:sz="4" w:space="1"/>
        </w:pBdr>
        <w:spacing w:after="80" w:before="80"/>
      </w:pPr>
      <w:r>
        <w:t xml:space="preserve"/>
      </w:r>
    </w:p>
    <w:p>
      <w:pPr>
        <w:spacing w:after="60" w:before="60"/>
      </w:pPr>
      <w:r>
        <w:t xml:space="preserve"/>
      </w:r>
    </w:p>
    <w:p>
      <w:pPr>
        <w:pStyle w:val="Heading2"/>
        <w:spacing w:after="80" w:before="280"/>
      </w:pPr>
      <w:r>
        <w:rPr>
          <w:rFonts w:ascii="Arial" w:cs="Arial" w:eastAsia="Arial" w:hAnsi="Arial"/>
          <w:b/>
          <w:bCs/>
          <w:color w:val="2E5C8A"/>
          <w:sz w:val="28"/>
          <w:szCs w:val="28"/>
        </w:rPr>
        <w:t xml:space="preserve">Production Notes</w:t>
      </w:r>
    </w:p>
    <w:p>
      <w:pPr>
        <w:spacing w:after="60" w:before="60"/>
      </w:pPr>
      <w:r>
        <w:t xml:space="preserve"/>
      </w:r>
    </w:p>
    <w:p>
      <w:pPr>
        <w:pStyle w:val="Heading3"/>
        <w:spacing w:after="60" w:before="200"/>
      </w:pPr>
      <w:r>
        <w:rPr>
          <w:rFonts w:ascii="Arial" w:cs="Arial" w:eastAsia="Arial" w:hAnsi="Arial"/>
          <w:b/>
          <w:bCs/>
          <w:color w:val="1A2B3C"/>
          <w:sz w:val="24"/>
          <w:szCs w:val="24"/>
        </w:rPr>
        <w:t xml:space="preserve">Recording Setup</w:t>
      </w:r>
    </w:p>
    <w:p>
      <w:pPr>
        <w:spacing w:after="40" w:before="40"/>
      </w:pPr>
      <w:r>
        <w:rPr>
          <w:rFonts w:ascii="Arial" w:cs="Arial" w:eastAsia="Arial" w:hAnsi="Arial"/>
          <w:color w:val="1A1A1A"/>
          <w:sz w:val="22"/>
          <w:szCs w:val="22"/>
        </w:rPr>
        <w:t xml:space="preserve">Use OBS for all recordings. For app lessons, capture the OnTrack Dispatch Dashboard window at full resolution with a system audio mix. For dispatching fundamentals lessons, a slide deck with voice narration works well. Aim for 1080p at 30fps minimum. Record in shorter segments (one lesson at a time) rather than long sessions so editing is manageable.</w:t>
      </w:r>
    </w:p>
    <w:p>
      <w:pPr>
        <w:spacing w:after="60" w:before="60"/>
      </w:pPr>
      <w:r>
        <w:t xml:space="preserve"/>
      </w:r>
    </w:p>
    <w:p>
      <w:pPr>
        <w:pStyle w:val="Heading3"/>
        <w:spacing w:after="60" w:before="200"/>
      </w:pPr>
      <w:r>
        <w:rPr>
          <w:rFonts w:ascii="Arial" w:cs="Arial" w:eastAsia="Arial" w:hAnsi="Arial"/>
          <w:b/>
          <w:bCs/>
          <w:color w:val="1A2B3C"/>
          <w:sz w:val="24"/>
          <w:szCs w:val="24"/>
        </w:rPr>
        <w:t xml:space="preserve">Voice and Editing</w:t>
      </w:r>
    </w:p>
    <w:p>
      <w:pPr>
        <w:spacing w:after="40" w:before="40"/>
      </w:pPr>
      <w:r>
        <w:rPr>
          <w:rFonts w:ascii="Arial" w:cs="Arial" w:eastAsia="Arial" w:hAnsi="Arial"/>
          <w:color w:val="1A1A1A"/>
          <w:sz w:val="22"/>
          <w:szCs w:val="22"/>
        </w:rPr>
        <w:t xml:space="preserve">Record your own voice for authenticity. Import the raw recordings into Descript. Use the Remove Filler Words tool before editing anything else. Edit the transcript like a document — delete entire sentences by selecting them. Use the Overdub tool sparingly for punch-ins when you mispronounce something rather than re-recording the full segment. Export with auto-captions enabled.</w:t>
      </w:r>
    </w:p>
    <w:p>
      <w:pPr>
        <w:spacing w:after="60" w:before="60"/>
      </w:pPr>
      <w:r>
        <w:t xml:space="preserve"/>
      </w:r>
    </w:p>
    <w:p>
      <w:pPr>
        <w:pStyle w:val="Heading3"/>
        <w:spacing w:after="60" w:before="200"/>
      </w:pPr>
      <w:r>
        <w:rPr>
          <w:rFonts w:ascii="Arial" w:cs="Arial" w:eastAsia="Arial" w:hAnsi="Arial"/>
          <w:b/>
          <w:bCs/>
          <w:color w:val="1A2B3C"/>
          <w:sz w:val="24"/>
          <w:szCs w:val="24"/>
        </w:rPr>
        <w:t xml:space="preserve">Hosting on Squarespace Member Areas</w:t>
      </w:r>
    </w:p>
    <w:p>
      <w:pPr>
        <w:spacing w:after="40" w:before="40"/>
      </w:pPr>
      <w:r>
        <w:rPr>
          <w:rFonts w:ascii="Arial" w:cs="Arial" w:eastAsia="Arial" w:hAnsi="Arial"/>
          <w:color w:val="1A1A1A"/>
          <w:sz w:val="22"/>
          <w:szCs w:val="22"/>
        </w:rPr>
        <w:t xml:space="preserve">Upload finished videos to a Squarespace Member Areas course. Organize by Part (Part One: Dispatching Fundamentals, Part Two: OnTrack Dashboard). Set a single membership tier that grants access to the full course. Price point recommendation: position it between a one-off purchase (\$97-\$197) and a monthly subscription (\$27-\$47/month) depending on whether ongoing updates justify recurring billing.</w:t>
      </w:r>
    </w:p>
    <w:p>
      <w:pPr>
        <w:spacing w:after="60" w:before="60"/>
      </w:pPr>
      <w:r>
        <w:t xml:space="preserve"/>
      </w:r>
    </w:p>
    <w:p>
      <w:pPr>
        <w:pStyle w:val="Heading3"/>
        <w:spacing w:after="60" w:before="200"/>
      </w:pPr>
      <w:r>
        <w:rPr>
          <w:rFonts w:ascii="Arial" w:cs="Arial" w:eastAsia="Arial" w:hAnsi="Arial"/>
          <w:b/>
          <w:bCs/>
          <w:color w:val="1A2B3C"/>
          <w:sz w:val="24"/>
          <w:szCs w:val="24"/>
        </w:rPr>
        <w:t xml:space="preserve">Recording Order Recommendation</w:t>
      </w:r>
    </w:p>
    <w:p>
      <w:pPr>
        <w:spacing w:after="40" w:before="40"/>
      </w:pPr>
      <w:r>
        <w:rPr>
          <w:rFonts w:ascii="Arial" w:cs="Arial" w:eastAsia="Arial" w:hAnsi="Arial"/>
          <w:color w:val="1A1A1A"/>
          <w:sz w:val="22"/>
          <w:szCs w:val="22"/>
        </w:rPr>
        <w:t xml:space="preserve">Record Part Two (the app modules) first. The app is immediately visual, the content is concrete, and it builds confidence. Record Part One after you have Part Two complete. By then you will have found your recording rhythm and the dispatching fundamentals will feel easier to explain with authority.</w:t>
      </w:r>
    </w:p>
    <w:p>
      <w:pPr>
        <w:spacing w:after="60" w:before="60"/>
      </w:pPr>
      <w:r>
        <w:t xml:space="preserve"/>
      </w:r>
    </w:p>
    <w:p>
      <w:pPr>
        <w:pBdr>
          <w:bottom w:val="single" w:color="2E5C8A" w:sz="4" w:space="1"/>
        </w:pBdr>
        <w:spacing w:after="80" w:before="80"/>
      </w:pPr>
      <w:r>
        <w:t xml:space="preserve"/>
      </w:r>
    </w:p>
    <w:p>
      <w:pPr>
        <w:spacing w:after="60" w:before="60"/>
      </w:pPr>
      <w:r>
        <w:t xml:space="preserve"/>
      </w:r>
    </w:p>
    <w:p>
      <w:pPr>
        <w:pStyle w:val="Heading2"/>
        <w:spacing w:after="80" w:before="280"/>
      </w:pPr>
      <w:r>
        <w:rPr>
          <w:rFonts w:ascii="Arial" w:cs="Arial" w:eastAsia="Arial" w:hAnsi="Arial"/>
          <w:b/>
          <w:bCs/>
          <w:color w:val="2E5C8A"/>
          <w:sz w:val="28"/>
          <w:szCs w:val="28"/>
        </w:rPr>
        <w:t xml:space="preserve">Course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0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200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Lessons</w:t>
            </w:r>
          </w:p>
        </w:tc>
        <w:tc>
          <w:tcPr>
            <w:tcW w:type="dxa" w:w="2560"/>
            <w:tcBorders>
              <w:top w:val="single" w:color="DDDDDD" w:sz="1"/>
              <w:left w:val="single" w:color="DDDDDD" w:sz="1"/>
              <w:bottom w:val="single" w:color="DDDDDD" w:sz="1"/>
              <w:right w:val="single" w:color="DDDDDD"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Est. Video Time</w:t>
            </w:r>
          </w:p>
        </w:tc>
      </w:tr>
      <w:tr>
        <w:tc>
          <w:tcPr>
            <w:tcW w:type="dxa" w:w="28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1 — What a Dispatcher Does</w:t>
            </w:r>
          </w:p>
        </w:tc>
        <w:tc>
          <w:tcPr>
            <w:tcW w:type="dxa" w:w="2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r>
              <w:rPr>
                <w:rFonts w:ascii="Arial" w:cs="Arial" w:eastAsia="Arial" w:hAnsi="Arial"/>
                <w:b w:val="false"/>
                <w:bCs w:val="false"/>
                <w:color w:val="1A1A1A"/>
                <w:sz w:val="20"/>
                <w:szCs w:val="20"/>
              </w:rPr>
              <w:t xml:space="preserve">Fundamentals</w:t>
            </w:r>
          </w:p>
        </w:tc>
        <w:tc>
          <w:tcPr>
            <w:tcW w:type="dxa" w:w="2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pPr>
              <w:jc w:val="center"/>
            </w:pPr>
            <w:r>
              <w:rPr>
                <w:rFonts w:ascii="Arial" w:cs="Arial" w:eastAsia="Arial" w:hAnsi="Arial"/>
                <w:color w:val="1A1A1A"/>
                <w:sz w:val="20"/>
                <w:szCs w:val="20"/>
              </w:rPr>
              <w:t xml:space="preserve">4</w:t>
            </w:r>
          </w:p>
        </w:tc>
        <w:tc>
          <w:tcPr>
            <w:tcW w:type="dxa" w:w="2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pPr>
              <w:jc w:val="center"/>
            </w:pPr>
            <w:r>
              <w:rPr>
                <w:rFonts w:ascii="Arial" w:cs="Arial" w:eastAsia="Arial" w:hAnsi="Arial"/>
                <w:color w:val="1A1A1A"/>
                <w:sz w:val="20"/>
                <w:szCs w:val="20"/>
              </w:rPr>
              <w:t xml:space="preserve">~30 min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 Recruiting Owner-Operators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Fundamentals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~39 min</w:t>
            </w:r>
          </w:p>
        </w:tc>
      </w:tr>
      <w:tr>
        <w:tc>
          <w:tcPr>
            <w:tcW w:type="dxa" w:w="28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3 — Finding and Booking Loads</w:t>
            </w:r>
          </w:p>
        </w:tc>
        <w:tc>
          <w:tcPr>
            <w:tcW w:type="dxa" w:w="2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r>
              <w:rPr>
                <w:rFonts w:ascii="Arial" w:cs="Arial" w:eastAsia="Arial" w:hAnsi="Arial"/>
                <w:b w:val="false"/>
                <w:bCs w:val="false"/>
                <w:color w:val="1A1A1A"/>
                <w:sz w:val="20"/>
                <w:szCs w:val="20"/>
              </w:rPr>
              <w:t xml:space="preserve">Fundamentals</w:t>
            </w:r>
          </w:p>
        </w:tc>
        <w:tc>
          <w:tcPr>
            <w:tcW w:type="dxa" w:w="2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pPr>
              <w:jc w:val="center"/>
            </w:pPr>
            <w:r>
              <w:rPr>
                <w:rFonts w:ascii="Arial" w:cs="Arial" w:eastAsia="Arial" w:hAnsi="Arial"/>
                <w:color w:val="1A1A1A"/>
                <w:sz w:val="20"/>
                <w:szCs w:val="20"/>
              </w:rPr>
              <w:t xml:space="preserve">6</w:t>
            </w:r>
          </w:p>
        </w:tc>
        <w:tc>
          <w:tcPr>
            <w:tcW w:type="dxa" w:w="2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pPr>
              <w:jc w:val="center"/>
            </w:pPr>
            <w:r>
              <w:rPr>
                <w:rFonts w:ascii="Arial" w:cs="Arial" w:eastAsia="Arial" w:hAnsi="Arial"/>
                <w:color w:val="1A1A1A"/>
                <w:sz w:val="20"/>
                <w:szCs w:val="20"/>
              </w:rPr>
              <w:t xml:space="preserve">~47 min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 Managing a Load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Fundamentals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6</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~47 min</w:t>
            </w:r>
          </w:p>
        </w:tc>
      </w:tr>
      <w:tr>
        <w:tc>
          <w:tcPr>
            <w:tcW w:type="dxa" w:w="28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5 — Compliance, Growth, Daily Habits</w:t>
            </w:r>
          </w:p>
        </w:tc>
        <w:tc>
          <w:tcPr>
            <w:tcW w:type="dxa" w:w="2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r>
              <w:rPr>
                <w:rFonts w:ascii="Arial" w:cs="Arial" w:eastAsia="Arial" w:hAnsi="Arial"/>
                <w:b w:val="false"/>
                <w:bCs w:val="false"/>
                <w:color w:val="1A1A1A"/>
                <w:sz w:val="20"/>
                <w:szCs w:val="20"/>
              </w:rPr>
              <w:t xml:space="preserve">Fundamentals</w:t>
            </w:r>
          </w:p>
        </w:tc>
        <w:tc>
          <w:tcPr>
            <w:tcW w:type="dxa" w:w="2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pPr>
              <w:jc w:val="center"/>
            </w:pPr>
            <w:r>
              <w:rPr>
                <w:rFonts w:ascii="Arial" w:cs="Arial" w:eastAsia="Arial" w:hAnsi="Arial"/>
                <w:color w:val="1A1A1A"/>
                <w:sz w:val="20"/>
                <w:szCs w:val="20"/>
              </w:rPr>
              <w:t xml:space="preserve">5</w:t>
            </w:r>
          </w:p>
        </w:tc>
        <w:tc>
          <w:tcPr>
            <w:tcW w:type="dxa" w:w="2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pPr>
              <w:jc w:val="center"/>
            </w:pPr>
            <w:r>
              <w:rPr>
                <w:rFonts w:ascii="Arial" w:cs="Arial" w:eastAsia="Arial" w:hAnsi="Arial"/>
                <w:color w:val="1A1A1A"/>
                <w:sz w:val="20"/>
                <w:szCs w:val="20"/>
              </w:rPr>
              <w:t xml:space="preserve">~40 min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 — Getting Started with the App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Software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~24 min</w:t>
            </w:r>
          </w:p>
        </w:tc>
      </w:tr>
      <w:tr>
        <w:tc>
          <w:tcPr>
            <w:tcW w:type="dxa" w:w="28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7 — Leads and Driver Acquisition</w:t>
            </w:r>
          </w:p>
        </w:tc>
        <w:tc>
          <w:tcPr>
            <w:tcW w:type="dxa" w:w="2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Software</w:t>
            </w:r>
          </w:p>
        </w:tc>
        <w:tc>
          <w:tcPr>
            <w:tcW w:type="dxa" w:w="2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pPr>
              <w:jc w:val="center"/>
            </w:pPr>
            <w:r>
              <w:rPr>
                <w:rFonts w:ascii="Arial" w:cs="Arial" w:eastAsia="Arial" w:hAnsi="Arial"/>
                <w:color w:val="1A1A1A"/>
                <w:sz w:val="20"/>
                <w:szCs w:val="20"/>
              </w:rPr>
              <w:t xml:space="preserve">5</w:t>
            </w:r>
          </w:p>
        </w:tc>
        <w:tc>
          <w:tcPr>
            <w:tcW w:type="dxa" w:w="2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pPr>
              <w:jc w:val="center"/>
            </w:pPr>
            <w:r>
              <w:rPr>
                <w:rFonts w:ascii="Arial" w:cs="Arial" w:eastAsia="Arial" w:hAnsi="Arial"/>
                <w:color w:val="1A1A1A"/>
                <w:sz w:val="20"/>
                <w:szCs w:val="20"/>
              </w:rPr>
              <w:t xml:space="preserve">~36 min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 — Loads, Brokers, and Find Loads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Software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6</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~44 min</w:t>
            </w:r>
          </w:p>
        </w:tc>
      </w:tr>
      <w:tr>
        <w:tc>
          <w:tcPr>
            <w:tcW w:type="dxa" w:w="28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9 — Invoicing and Documents</w:t>
            </w:r>
          </w:p>
        </w:tc>
        <w:tc>
          <w:tcPr>
            <w:tcW w:type="dxa" w:w="2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Software</w:t>
            </w:r>
          </w:p>
        </w:tc>
        <w:tc>
          <w:tcPr>
            <w:tcW w:type="dxa" w:w="2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pPr>
              <w:jc w:val="center"/>
            </w:pPr>
            <w:r>
              <w:rPr>
                <w:rFonts w:ascii="Arial" w:cs="Arial" w:eastAsia="Arial" w:hAnsi="Arial"/>
                <w:color w:val="1A1A1A"/>
                <w:sz w:val="20"/>
                <w:szCs w:val="20"/>
              </w:rPr>
              <w:t xml:space="preserve">5</w:t>
            </w:r>
          </w:p>
        </w:tc>
        <w:tc>
          <w:tcPr>
            <w:tcW w:type="dxa" w:w="2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pPr>
              <w:jc w:val="center"/>
            </w:pPr>
            <w:r>
              <w:rPr>
                <w:rFonts w:ascii="Arial" w:cs="Arial" w:eastAsia="Arial" w:hAnsi="Arial"/>
                <w:color w:val="1A1A1A"/>
                <w:sz w:val="20"/>
                <w:szCs w:val="20"/>
              </w:rPr>
              <w:t xml:space="preserve">~34 min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 Tasks, Analytics, and Marketing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Software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6</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~43 min</w:t>
            </w:r>
          </w:p>
        </w:tc>
      </w:tr>
      <w:tr>
        <w:tc>
          <w:tcPr>
            <w:tcW w:type="dxa" w:w="28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11 — Putting It All Together</w:t>
            </w:r>
          </w:p>
        </w:tc>
        <w:tc>
          <w:tcPr>
            <w:tcW w:type="dxa" w:w="2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r>
              <w:rPr>
                <w:rFonts w:ascii="Arial" w:cs="Arial" w:eastAsia="Arial" w:hAnsi="Arial"/>
                <w:b/>
                <w:bCs/>
                <w:color w:val="E87722"/>
                <w:sz w:val="20"/>
                <w:szCs w:val="20"/>
              </w:rPr>
              <w:t xml:space="preserve">Capstone</w:t>
            </w:r>
          </w:p>
        </w:tc>
        <w:tc>
          <w:tcPr>
            <w:tcW w:type="dxa" w:w="200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pPr>
              <w:jc w:val="center"/>
            </w:pPr>
            <w:r>
              <w:rPr>
                <w:rFonts w:ascii="Arial" w:cs="Arial" w:eastAsia="Arial" w:hAnsi="Arial"/>
                <w:color w:val="1A1A1A"/>
                <w:sz w:val="20"/>
                <w:szCs w:val="20"/>
              </w:rPr>
              <w:t xml:space="preserve">6</w:t>
            </w:r>
          </w:p>
        </w:tc>
        <w:tc>
          <w:tcPr>
            <w:tcW w:type="dxa" w:w="2560"/>
            <w:tcBorders>
              <w:top w:val="single" w:color="DDDDDD" w:sz="1"/>
              <w:left w:val="single" w:color="DDDDDD" w:sz="1"/>
              <w:bottom w:val="single" w:color="DDDDDD" w:sz="1"/>
              <w:right w:val="single" w:color="DDDDDD" w:sz="1"/>
            </w:tcBorders>
            <w:shd w:fill="F2F4F6" w:val="clear"/>
            <w:tcMar>
              <w:top w:type="dxa" w:w="80"/>
              <w:left w:type="dxa" w:w="120"/>
              <w:bottom w:type="dxa" w:w="80"/>
              <w:right w:type="dxa" w:w="120"/>
            </w:tcMar>
          </w:tcPr>
          <w:p>
            <w:pPr>
              <w:jc w:val="center"/>
            </w:pPr>
            <w:r>
              <w:rPr>
                <w:rFonts w:ascii="Arial" w:cs="Arial" w:eastAsia="Arial" w:hAnsi="Arial"/>
                <w:color w:val="1A1A1A"/>
                <w:sz w:val="20"/>
                <w:szCs w:val="20"/>
              </w:rPr>
              <w:t xml:space="preserve">~46 min</w:t>
            </w:r>
          </w:p>
        </w:tc>
      </w:tr>
      <w:tr>
        <w:tc>
          <w:tcPr>
            <w:tcW w:type="dxa" w:w="2800"/>
            <w:tcBorders>
              <w:top w:val="single" w:color="DDDDDD" w:sz="1"/>
              <w:left w:val="single" w:color="DDDDDD" w:sz="1"/>
              <w:bottom w:val="single" w:color="DDDDDD" w:sz="1"/>
              <w:right w:val="single" w:color="DDDDDD" w:sz="1"/>
            </w:tcBorders>
            <w:shd w:fill="1A2B3C"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2000"/>
            <w:tcBorders>
              <w:top w:val="single" w:color="DDDDDD" w:sz="1"/>
              <w:left w:val="single" w:color="DDDDDD" w:sz="1"/>
              <w:bottom w:val="single" w:color="DDDDDD" w:sz="1"/>
              <w:right w:val="single" w:color="DDDDDD" w:sz="1"/>
            </w:tcBorders>
            <w:shd w:fill="1A2B3C" w:val="clear"/>
            <w:tcMar>
              <w:top w:type="dxa" w:w="80"/>
              <w:left w:type="dxa" w:w="120"/>
              <w:bottom w:type="dxa" w:w="80"/>
              <w:right w:type="dxa" w:w="120"/>
            </w:tcMar>
          </w:tcPr>
          <w:p>
            <w:r>
              <w:rPr>
                <w:rFonts w:ascii="Arial" w:cs="Arial" w:eastAsia="Arial" w:hAnsi="Arial"/>
                <w:b/>
                <w:bCs/>
                <w:color w:val="FFFFFF"/>
                <w:sz w:val="20"/>
                <w:szCs w:val="20"/>
              </w:rPr>
              <w:t xml:space="preserve">11 Modules</w:t>
            </w:r>
          </w:p>
        </w:tc>
        <w:tc>
          <w:tcPr>
            <w:tcW w:type="dxa" w:w="2000"/>
            <w:tcBorders>
              <w:top w:val="single" w:color="DDDDDD" w:sz="1"/>
              <w:left w:val="single" w:color="DDDDDD" w:sz="1"/>
              <w:bottom w:val="single" w:color="DDDDDD" w:sz="1"/>
              <w:right w:val="single" w:color="DDDDDD" w:sz="1"/>
            </w:tcBorders>
            <w:shd w:fill="1A2B3C" w:val="clear"/>
            <w:tcMar>
              <w:top w:type="dxa" w:w="80"/>
              <w:left w:type="dxa" w:w="120"/>
              <w:bottom w:type="dxa" w:w="80"/>
              <w:right w:type="dxa" w:w="120"/>
            </w:tcMar>
          </w:tcPr>
          <w:p>
            <w:pPr>
              <w:jc w:val="center"/>
            </w:pPr>
            <w:r>
              <w:rPr>
                <w:rFonts w:ascii="Arial" w:cs="Arial" w:eastAsia="Arial" w:hAnsi="Arial"/>
                <w:b/>
                <w:bCs/>
                <w:color w:val="E87722"/>
                <w:sz w:val="20"/>
                <w:szCs w:val="20"/>
              </w:rPr>
              <w:t xml:space="preserve">54</w:t>
            </w:r>
          </w:p>
        </w:tc>
        <w:tc>
          <w:tcPr>
            <w:tcW w:type="dxa" w:w="2560"/>
            <w:tcBorders>
              <w:top w:val="single" w:color="DDDDDD" w:sz="1"/>
              <w:left w:val="single" w:color="DDDDDD" w:sz="1"/>
              <w:bottom w:val="single" w:color="DDDDDD" w:sz="1"/>
              <w:right w:val="single" w:color="DDDDDD" w:sz="1"/>
            </w:tcBorders>
            <w:shd w:fill="1A2B3C" w:val="clear"/>
            <w:tcMar>
              <w:top w:type="dxa" w:w="80"/>
              <w:left w:type="dxa" w:w="120"/>
              <w:bottom w:type="dxa" w:w="80"/>
              <w:right w:type="dxa" w:w="120"/>
            </w:tcMar>
          </w:tcPr>
          <w:p>
            <w:pPr>
              <w:jc w:val="center"/>
            </w:pPr>
            <w:r>
              <w:rPr>
                <w:rFonts w:ascii="Arial" w:cs="Arial" w:eastAsia="Arial" w:hAnsi="Arial"/>
                <w:b/>
                <w:bCs/>
                <w:color w:val="E87722"/>
                <w:sz w:val="20"/>
                <w:szCs w:val="20"/>
              </w:rPr>
              <w:t xml:space="preserve">~7 hrs</w:t>
            </w:r>
          </w:p>
        </w:tc>
      </w:tr>
    </w:tbl>
    <w:p>
      <w:pPr>
        <w:spacing w:after="60" w:before="60"/>
      </w:pPr>
      <w:r>
        <w:t xml:space="preserve"/>
      </w:r>
    </w:p>
    <w:p>
      <w:pPr>
        <w:spacing w:after="60" w:before="60"/>
      </w:pPr>
      <w:r>
        <w:t xml:space="preserve"/>
      </w:r>
    </w:p>
    <w:p>
      <w:pPr>
        <w:spacing w:after="40" w:before="40"/>
      </w:pPr>
      <w:r>
        <w:rPr>
          <w:rFonts w:ascii="Arial" w:cs="Arial" w:eastAsia="Arial" w:hAnsi="Arial"/>
          <w:i/>
          <w:iCs/>
          <w:color w:val="555555"/>
          <w:sz w:val="22"/>
          <w:szCs w:val="22"/>
        </w:rPr>
        <w:t xml:space="preserve">Lesson times are estimates based on typical pacing for instructional screen recordings. Actual times will vary. Budget 25-40% additional time for editing and re-takes when planning your production schedule.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C8A" w:sz="4" w:space="4"/>
      </w:pBdr>
      <w:spacing w:after="0" w:before="120"/>
    </w:pPr>
    <w:r>
      <w:rPr>
        <w:rFonts w:ascii="Arial" w:cs="Arial" w:eastAsia="Arial" w:hAnsi="Arial"/>
        <w:color w:val="888888"/>
        <w:sz w:val="16"/>
        <w:szCs w:val="16"/>
      </w:rPr>
      <w:t xml:space="preserve">OnTrack Hauling Solutions  |  dispatch@ontrackhaulingsolutions.com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8A" w:sz="4" w:space="4"/>
      </w:pBdr>
      <w:spacing w:after="120" w:before="0"/>
    </w:pPr>
    <w:r>
      <w:rPr>
        <w:rFonts w:ascii="Arial" w:cs="Arial" w:eastAsia="Arial" w:hAnsi="Arial"/>
        <w:b/>
        <w:bCs/>
        <w:color w:val="2E5C8A"/>
        <w:sz w:val="18"/>
        <w:szCs w:val="18"/>
      </w:rPr>
      <w:t xml:space="preserve">OnTrack Dispatch Academy</w:t>
    </w:r>
    <w:r>
      <w:rPr>
        <w:rFonts w:ascii="Arial" w:cs="Arial" w:eastAsia="Arial" w:hAnsi="Arial"/>
        <w:color w:val="888888"/>
        <w:sz w:val="18"/>
        <w:szCs w:val="18"/>
      </w:rPr>
      <w:t xml:space="preserve">   |   Course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B3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2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2026-04-07T20:01:28.148Z</dcterms:created>
  <dcterms:modified xsi:type="dcterms:W3CDTF">2026-04-07T20:01:28.148Z</dcterms:modified>
</cp:coreProperties>
</file>

<file path=docProps/custom.xml><?xml version="1.0" encoding="utf-8"?>
<Properties xmlns="http://schemas.openxmlformats.org/officeDocument/2006/custom-properties" xmlns:vt="http://schemas.openxmlformats.org/officeDocument/2006/docPropsVTypes"/>
</file>