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color w:val="E4002B"/>
          <w:sz w:val="26"/>
        </w:rPr>
        <w:t>AIRTEL AFRICA</w:t>
      </w:r>
    </w:p>
    <w:p>
      <w:pPr>
        <w:spacing w:after="80" w:before="0"/>
        <w:jc w:val="center"/>
      </w:pPr>
      <w:r>
        <w:rPr>
          <w:b/>
          <w:i w:val="0"/>
          <w:color w:val="1A2233"/>
          <w:sz w:val="40"/>
        </w:rPr>
        <w:t>Shadow IT Deployment Justification and Architecture Document</w:t>
      </w:r>
    </w:p>
    <w:p>
      <w:pPr>
        <w:spacing w:after="360" w:before="0"/>
        <w:jc w:val="center"/>
      </w:pPr>
      <w:r>
        <w:rPr>
          <w:b/>
          <w:i w:val="0"/>
          <w:color w:val="2C5AA0"/>
          <w:sz w:val="26"/>
        </w:rPr>
        <w:t>Virtual Machine / Infrastructure Approval Request</w:t>
      </w:r>
    </w:p>
    <w:p>
      <w:pPr>
        <w:spacing w:after="40" w:before="0"/>
        <w:jc w:val="center"/>
      </w:pPr>
      <w:r>
        <w:rPr>
          <w:b/>
          <w:i w:val="0"/>
          <w:color w:val="1A2233"/>
          <w:sz w:val="24"/>
        </w:rPr>
        <w:t>Application:  Airtel Champions Field Force and HBB Operations Platform</w:t>
      </w:r>
    </w:p>
    <w:p>
      <w:pPr>
        <w:spacing w:after="480" w:before="0"/>
        <w:jc w:val="center"/>
      </w:pPr>
      <w:r>
        <w:rPr>
          <w:b w:val="0"/>
          <w:i/>
          <w:color w:val="5A6B87"/>
          <w:sz w:val="20"/>
        </w:rPr>
        <w:t>(Sales Champions, Home Broadband install, Airtel Money agent and ODU retrieval modules)</w:t>
      </w:r>
    </w:p>
    <w:tbl>
      <w:tblPr>
        <w:tblW w:type="auto" w:w="0"/>
        <w:jc w:val="center"/>
        <w:tblLook w:firstColumn="1" w:firstRow="1" w:lastColumn="0" w:lastRow="0" w:noHBand="0" w:noVBand="1" w:val="04A0"/>
      </w:tblPr>
      <w:tblGrid>
        <w:gridCol w:w="4658"/>
        <w:gridCol w:w="4658"/>
      </w:tblGrid>
      <w:tr>
        <w:tc>
          <w:tcPr>
            <w:tcW w:type="dxa" w:w="3312"/>
            <w:shd w:val="clear" w:color="auto" w:fill="D9E2F3"/>
          </w:tcPr>
          <w:p>
            <w:pPr>
              <w:spacing w:after="40" w:before="40"/>
              <w:jc w:val="left"/>
            </w:pPr>
            <w:r/>
            <w:r>
              <w:rPr>
                <w:rFonts w:ascii="Calibri" w:hAnsi="Calibri"/>
                <w:b/>
                <w:color w:val="1A2233"/>
                <w:sz w:val="19"/>
              </w:rPr>
              <w:t>Document classification</w:t>
            </w:r>
          </w:p>
        </w:tc>
        <w:tc>
          <w:tcPr>
            <w:tcW w:type="dxa" w:w="5760"/>
          </w:tcPr>
          <w:p>
            <w:pPr>
              <w:spacing w:after="40" w:before="40"/>
              <w:jc w:val="left"/>
            </w:pPr>
            <w:r/>
            <w:r>
              <w:rPr>
                <w:rFonts w:ascii="Calibri" w:hAnsi="Calibri"/>
                <w:b w:val="0"/>
                <w:color w:val="1A2233"/>
                <w:sz w:val="19"/>
              </w:rPr>
              <w:t>Internal</w:t>
            </w:r>
          </w:p>
        </w:tc>
      </w:tr>
      <w:tr>
        <w:tc>
          <w:tcPr>
            <w:tcW w:type="dxa" w:w="3312"/>
            <w:shd w:val="clear" w:color="auto" w:fill="D9E2F3"/>
          </w:tcPr>
          <w:p>
            <w:pPr>
              <w:spacing w:after="40" w:before="40"/>
              <w:jc w:val="left"/>
            </w:pPr>
            <w:r/>
            <w:r>
              <w:rPr>
                <w:rFonts w:ascii="Calibri" w:hAnsi="Calibri"/>
                <w:b/>
                <w:color w:val="1A2233"/>
                <w:sz w:val="19"/>
              </w:rPr>
              <w:t>Document version</w:t>
            </w:r>
          </w:p>
        </w:tc>
        <w:tc>
          <w:tcPr>
            <w:tcW w:type="dxa" w:w="5760"/>
          </w:tcPr>
          <w:p>
            <w:pPr>
              <w:spacing w:after="40" w:before="40"/>
              <w:jc w:val="left"/>
            </w:pPr>
            <w:r/>
            <w:r>
              <w:rPr>
                <w:rFonts w:ascii="Calibri" w:hAnsi="Calibri"/>
                <w:b w:val="0"/>
                <w:color w:val="1A2233"/>
                <w:sz w:val="19"/>
              </w:rPr>
              <w:t>1.0 (Draft for IT Architectural Review Board and IT Security)</w:t>
            </w:r>
          </w:p>
        </w:tc>
      </w:tr>
      <w:tr>
        <w:tc>
          <w:tcPr>
            <w:tcW w:type="dxa" w:w="3312"/>
            <w:shd w:val="clear" w:color="auto" w:fill="D9E2F3"/>
          </w:tcPr>
          <w:p>
            <w:pPr>
              <w:spacing w:after="40" w:before="40"/>
              <w:jc w:val="left"/>
            </w:pPr>
            <w:r/>
            <w:r>
              <w:rPr>
                <w:rFonts w:ascii="Calibri" w:hAnsi="Calibri"/>
                <w:b/>
                <w:color w:val="1A2233"/>
                <w:sz w:val="19"/>
              </w:rPr>
              <w:t>Prepared for</w:t>
            </w:r>
          </w:p>
        </w:tc>
        <w:tc>
          <w:tcPr>
            <w:tcW w:type="dxa" w:w="5760"/>
          </w:tcPr>
          <w:p>
            <w:pPr>
              <w:spacing w:after="40" w:before="40"/>
              <w:jc w:val="left"/>
            </w:pPr>
            <w:r/>
            <w:r>
              <w:rPr>
                <w:rFonts w:ascii="Calibri" w:hAnsi="Calibri"/>
                <w:b w:val="0"/>
                <w:color w:val="1A2233"/>
                <w:sz w:val="19"/>
              </w:rPr>
              <w:t>Airtel Kenya (Airtel Networks Kenya Ltd) - Opco ITD  [confirm Opco]</w:t>
            </w:r>
          </w:p>
        </w:tc>
      </w:tr>
      <w:tr>
        <w:tc>
          <w:tcPr>
            <w:tcW w:type="dxa" w:w="3312"/>
            <w:shd w:val="clear" w:color="auto" w:fill="D9E2F3"/>
          </w:tcPr>
          <w:p>
            <w:pPr>
              <w:spacing w:after="40" w:before="40"/>
              <w:jc w:val="left"/>
            </w:pPr>
            <w:r/>
            <w:r>
              <w:rPr>
                <w:rFonts w:ascii="Calibri" w:hAnsi="Calibri"/>
                <w:b/>
                <w:color w:val="1A2233"/>
                <w:sz w:val="19"/>
              </w:rPr>
              <w:t>Prepared by</w:t>
            </w:r>
          </w:p>
        </w:tc>
        <w:tc>
          <w:tcPr>
            <w:tcW w:type="dxa" w:w="5760"/>
          </w:tcPr>
          <w:p>
            <w:pPr>
              <w:spacing w:after="40" w:before="40"/>
              <w:jc w:val="left"/>
            </w:pPr>
            <w:r/>
            <w:r>
              <w:rPr>
                <w:rFonts w:ascii="Calibri" w:hAnsi="Calibri"/>
                <w:b w:val="0"/>
                <w:color w:val="1A2233"/>
                <w:sz w:val="19"/>
              </w:rPr>
              <w:t>[Requestor name / business function]</w:t>
            </w:r>
          </w:p>
        </w:tc>
      </w:tr>
      <w:tr>
        <w:tc>
          <w:tcPr>
            <w:tcW w:type="dxa" w:w="3312"/>
            <w:shd w:val="clear" w:color="auto" w:fill="D9E2F3"/>
          </w:tcPr>
          <w:p>
            <w:pPr>
              <w:spacing w:after="40" w:before="40"/>
              <w:jc w:val="left"/>
            </w:pPr>
            <w:r/>
            <w:r>
              <w:rPr>
                <w:rFonts w:ascii="Calibri" w:hAnsi="Calibri"/>
                <w:b/>
                <w:color w:val="1A2233"/>
                <w:sz w:val="19"/>
              </w:rPr>
              <w:t>Date</w:t>
            </w:r>
          </w:p>
        </w:tc>
        <w:tc>
          <w:tcPr>
            <w:tcW w:type="dxa" w:w="5760"/>
          </w:tcPr>
          <w:p>
            <w:pPr>
              <w:spacing w:after="40" w:before="40"/>
              <w:jc w:val="left"/>
            </w:pPr>
            <w:r/>
            <w:r>
              <w:rPr>
                <w:rFonts w:ascii="Calibri" w:hAnsi="Calibri"/>
                <w:b w:val="0"/>
                <w:color w:val="1A2233"/>
                <w:sz w:val="19"/>
              </w:rPr>
              <w:t>August 2026</w:t>
            </w:r>
          </w:p>
        </w:tc>
      </w:tr>
      <w:tr>
        <w:tc>
          <w:tcPr>
            <w:tcW w:type="dxa" w:w="3312"/>
            <w:shd w:val="clear" w:color="auto" w:fill="D9E2F3"/>
          </w:tcPr>
          <w:p>
            <w:pPr>
              <w:spacing w:after="40" w:before="40"/>
              <w:jc w:val="left"/>
            </w:pPr>
            <w:r/>
            <w:r>
              <w:rPr>
                <w:rFonts w:ascii="Calibri" w:hAnsi="Calibri"/>
                <w:b/>
                <w:color w:val="1A2233"/>
                <w:sz w:val="19"/>
              </w:rPr>
              <w:t>Governing policy</w:t>
            </w:r>
          </w:p>
        </w:tc>
        <w:tc>
          <w:tcPr>
            <w:tcW w:type="dxa" w:w="5760"/>
          </w:tcPr>
          <w:p>
            <w:pPr>
              <w:spacing w:after="40" w:before="40"/>
              <w:jc w:val="left"/>
            </w:pPr>
            <w:r/>
            <w:r>
              <w:rPr>
                <w:rFonts w:ascii="Calibri" w:hAnsi="Calibri"/>
                <w:b w:val="0"/>
                <w:color w:val="1A2233"/>
                <w:sz w:val="19"/>
              </w:rPr>
              <w:t>Airtel Africa Shadow IT Policy v2.0 (Doc code IT-ShadowIT, released 19-Mar-2026)</w:t>
            </w:r>
          </w:p>
        </w:tc>
      </w:tr>
      <w:tr>
        <w:tc>
          <w:tcPr>
            <w:tcW w:type="dxa" w:w="3312"/>
            <w:shd w:val="clear" w:color="auto" w:fill="D9E2F3"/>
          </w:tcPr>
          <w:p>
            <w:pPr>
              <w:spacing w:after="40" w:before="40"/>
              <w:jc w:val="left"/>
            </w:pPr>
            <w:r/>
            <w:r>
              <w:rPr>
                <w:rFonts w:ascii="Calibri" w:hAnsi="Calibri"/>
                <w:b/>
                <w:color w:val="1A2233"/>
                <w:sz w:val="19"/>
              </w:rPr>
              <w:t>Mandatory approvers</w:t>
            </w:r>
          </w:p>
        </w:tc>
        <w:tc>
          <w:tcPr>
            <w:tcW w:type="dxa" w:w="5760"/>
          </w:tcPr>
          <w:p>
            <w:pPr>
              <w:spacing w:after="40" w:before="40"/>
              <w:jc w:val="left"/>
            </w:pPr>
            <w:r/>
            <w:r>
              <w:rPr>
                <w:rFonts w:ascii="Calibri" w:hAnsi="Calibri"/>
                <w:b w:val="0"/>
                <w:color w:val="1A2233"/>
                <w:sz w:val="19"/>
              </w:rPr>
              <w:t>CIO, GCIO, GCISO (per policy Section 6)</w:t>
            </w:r>
          </w:p>
        </w:tc>
      </w:tr>
    </w:tbl>
    <w:p/>
    <w:p>
      <w:pPr>
        <w:spacing w:after="120" w:before="0"/>
        <w:jc w:val="center"/>
      </w:pPr>
      <w:r>
        <w:rPr>
          <w:b w:val="0"/>
          <w:i/>
          <w:color w:val="5A6B87"/>
          <w:sz w:val="17"/>
        </w:rPr>
        <w:t>Confidentiality: This document contains architecture and security information about an Airtel Africa business application. Handle as INTERNAL. Do not distribute outside the Airtel IT governance, security and approval chain.</w:t>
      </w:r>
    </w:p>
    <w:p>
      <w:r>
        <w:br w:type="page"/>
      </w:r>
    </w:p>
    <w:p>
      <w:pPr>
        <w:pStyle w:val="Heading1"/>
      </w:pPr>
      <w:r>
        <w:t>1. Document Control</w:t>
      </w:r>
    </w:p>
    <w:p>
      <w:pPr>
        <w:pStyle w:val="Heading2"/>
      </w:pPr>
      <w:r>
        <w:t>1.1 Document Information</w:t>
      </w:r>
    </w:p>
    <w:tbl>
      <w:tblPr>
        <w:tblStyle w:val="TableGrid"/>
        <w:tblW w:type="auto" w:w="0"/>
        <w:jc w:val="center"/>
        <w:tblLayout w:type="fixed"/>
        <w:tblLook w:firstColumn="1" w:firstRow="1" w:lastColumn="0" w:lastRow="0" w:noHBand="0" w:noVBand="1" w:val="04A0"/>
      </w:tblPr>
      <w:tblGrid>
        <w:gridCol w:w="4658"/>
        <w:gridCol w:w="4658"/>
      </w:tblGrid>
      <w:tr>
        <w:tc>
          <w:tcPr>
            <w:tcW w:type="dxa" w:w="3312"/>
            <w:shd w:val="clear" w:color="auto" w:fill="D9E2F3"/>
          </w:tcPr>
          <w:p>
            <w:pPr>
              <w:spacing w:after="40" w:before="40"/>
              <w:jc w:val="left"/>
            </w:pPr>
            <w:r/>
            <w:r>
              <w:rPr>
                <w:rFonts w:ascii="Calibri" w:hAnsi="Calibri"/>
                <w:b/>
                <w:color w:val="1A2233"/>
                <w:sz w:val="18"/>
              </w:rPr>
              <w:t>Type of information</w:t>
            </w:r>
          </w:p>
        </w:tc>
        <w:tc>
          <w:tcPr>
            <w:tcW w:type="dxa" w:w="5760"/>
            <w:shd w:val="clear" w:color="auto" w:fill="D9E2F3"/>
          </w:tcPr>
          <w:p>
            <w:pPr>
              <w:spacing w:after="40" w:before="40"/>
              <w:jc w:val="left"/>
            </w:pPr>
            <w:r/>
            <w:r>
              <w:rPr>
                <w:rFonts w:ascii="Calibri" w:hAnsi="Calibri"/>
                <w:b/>
                <w:color w:val="1A2233"/>
                <w:sz w:val="18"/>
              </w:rPr>
              <w:t>Document data</w:t>
            </w:r>
          </w:p>
        </w:tc>
      </w:tr>
      <w:tr>
        <w:tc>
          <w:tcPr>
            <w:tcW w:type="dxa" w:w="3312"/>
          </w:tcPr>
          <w:p>
            <w:pPr>
              <w:spacing w:after="40" w:before="40"/>
              <w:jc w:val="left"/>
            </w:pPr>
            <w:r/>
            <w:r>
              <w:rPr>
                <w:rFonts w:ascii="Calibri" w:hAnsi="Calibri"/>
                <w:b w:val="0"/>
                <w:color w:val="1A2233"/>
                <w:sz w:val="18"/>
              </w:rPr>
              <w:t>Document title</w:t>
            </w:r>
          </w:p>
        </w:tc>
        <w:tc>
          <w:tcPr>
            <w:tcW w:type="dxa" w:w="5760"/>
          </w:tcPr>
          <w:p>
            <w:pPr>
              <w:spacing w:after="40" w:before="40"/>
              <w:jc w:val="left"/>
            </w:pPr>
            <w:r/>
            <w:r>
              <w:rPr>
                <w:rFonts w:ascii="Calibri" w:hAnsi="Calibri"/>
                <w:b w:val="0"/>
                <w:color w:val="1A2233"/>
                <w:sz w:val="18"/>
              </w:rPr>
              <w:t>Airtel Champions App - Shadow IT Justification and Architecture (VM Approval)</w:t>
            </w:r>
          </w:p>
        </w:tc>
      </w:tr>
      <w:tr>
        <w:tc>
          <w:tcPr>
            <w:tcW w:type="dxa" w:w="3312"/>
            <w:shd w:val="clear" w:color="auto" w:fill="F2F5FB"/>
          </w:tcPr>
          <w:p>
            <w:pPr>
              <w:spacing w:after="40" w:before="40"/>
              <w:jc w:val="left"/>
            </w:pPr>
            <w:r/>
            <w:r>
              <w:rPr>
                <w:rFonts w:ascii="Calibri" w:hAnsi="Calibri"/>
                <w:b w:val="0"/>
                <w:color w:val="1A2233"/>
                <w:sz w:val="18"/>
              </w:rPr>
              <w:t>Document code</w:t>
            </w:r>
          </w:p>
        </w:tc>
        <w:tc>
          <w:tcPr>
            <w:tcW w:type="dxa" w:w="5760"/>
            <w:shd w:val="clear" w:color="auto" w:fill="F2F5FB"/>
          </w:tcPr>
          <w:p>
            <w:pPr>
              <w:spacing w:after="40" w:before="40"/>
              <w:jc w:val="left"/>
            </w:pPr>
            <w:r/>
            <w:r>
              <w:rPr>
                <w:rFonts w:ascii="Calibri" w:hAnsi="Calibri"/>
                <w:b w:val="0"/>
                <w:color w:val="1A2233"/>
                <w:sz w:val="18"/>
              </w:rPr>
              <w:t>[to be assigned by Opco ITD]</w:t>
            </w:r>
          </w:p>
        </w:tc>
      </w:tr>
      <w:tr>
        <w:tc>
          <w:tcPr>
            <w:tcW w:type="dxa" w:w="3312"/>
          </w:tcPr>
          <w:p>
            <w:pPr>
              <w:spacing w:after="40" w:before="40"/>
              <w:jc w:val="left"/>
            </w:pPr>
            <w:r/>
            <w:r>
              <w:rPr>
                <w:rFonts w:ascii="Calibri" w:hAnsi="Calibri"/>
                <w:b w:val="0"/>
                <w:color w:val="1A2233"/>
                <w:sz w:val="18"/>
              </w:rPr>
              <w:t>Application / product</w:t>
            </w:r>
          </w:p>
        </w:tc>
        <w:tc>
          <w:tcPr>
            <w:tcW w:type="dxa" w:w="5760"/>
          </w:tcPr>
          <w:p>
            <w:pPr>
              <w:spacing w:after="40" w:before="40"/>
              <w:jc w:val="left"/>
            </w:pPr>
            <w:r/>
            <w:r>
              <w:rPr>
                <w:rFonts w:ascii="Calibri" w:hAnsi="Calibri"/>
                <w:b w:val="0"/>
                <w:color w:val="1A2233"/>
                <w:sz w:val="18"/>
              </w:rPr>
              <w:t>Airtel Champions Field Force and HBB Operations Platform</w:t>
            </w:r>
          </w:p>
        </w:tc>
      </w:tr>
      <w:tr>
        <w:tc>
          <w:tcPr>
            <w:tcW w:type="dxa" w:w="3312"/>
            <w:shd w:val="clear" w:color="auto" w:fill="F2F5FB"/>
          </w:tcPr>
          <w:p>
            <w:pPr>
              <w:spacing w:after="40" w:before="40"/>
              <w:jc w:val="left"/>
            </w:pPr>
            <w:r/>
            <w:r>
              <w:rPr>
                <w:rFonts w:ascii="Calibri" w:hAnsi="Calibri"/>
                <w:b w:val="0"/>
                <w:color w:val="1A2233"/>
                <w:sz w:val="18"/>
              </w:rPr>
              <w:t>Business function / owner</w:t>
            </w:r>
          </w:p>
        </w:tc>
        <w:tc>
          <w:tcPr>
            <w:tcW w:type="dxa" w:w="5760"/>
            <w:shd w:val="clear" w:color="auto" w:fill="F2F5FB"/>
          </w:tcPr>
          <w:p>
            <w:pPr>
              <w:spacing w:after="40" w:before="40"/>
              <w:jc w:val="left"/>
            </w:pPr>
            <w:r/>
            <w:r>
              <w:rPr>
                <w:rFonts w:ascii="Calibri" w:hAnsi="Calibri"/>
                <w:b w:val="0"/>
                <w:color w:val="1A2233"/>
                <w:sz w:val="18"/>
              </w:rPr>
              <w:t>[Sales and Distribution / HBB Operations - confirm owner]</w:t>
            </w:r>
          </w:p>
        </w:tc>
      </w:tr>
      <w:tr>
        <w:tc>
          <w:tcPr>
            <w:tcW w:type="dxa" w:w="3312"/>
          </w:tcPr>
          <w:p>
            <w:pPr>
              <w:spacing w:after="40" w:before="40"/>
              <w:jc w:val="left"/>
            </w:pPr>
            <w:r/>
            <w:r>
              <w:rPr>
                <w:rFonts w:ascii="Calibri" w:hAnsi="Calibri"/>
                <w:b w:val="0"/>
                <w:color w:val="1A2233"/>
                <w:sz w:val="18"/>
              </w:rPr>
              <w:t>Requestor</w:t>
            </w:r>
          </w:p>
        </w:tc>
        <w:tc>
          <w:tcPr>
            <w:tcW w:type="dxa" w:w="5760"/>
          </w:tcPr>
          <w:p>
            <w:pPr>
              <w:spacing w:after="40" w:before="40"/>
              <w:jc w:val="left"/>
            </w:pPr>
            <w:r/>
            <w:r>
              <w:rPr>
                <w:rFonts w:ascii="Calibri" w:hAnsi="Calibri"/>
                <w:b w:val="0"/>
                <w:color w:val="1A2233"/>
                <w:sz w:val="18"/>
              </w:rPr>
              <w:t>[Name, title, AAUID]</w:t>
            </w:r>
          </w:p>
        </w:tc>
      </w:tr>
      <w:tr>
        <w:tc>
          <w:tcPr>
            <w:tcW w:type="dxa" w:w="3312"/>
            <w:shd w:val="clear" w:color="auto" w:fill="F2F5FB"/>
          </w:tcPr>
          <w:p>
            <w:pPr>
              <w:spacing w:after="40" w:before="40"/>
              <w:jc w:val="left"/>
            </w:pPr>
            <w:r/>
            <w:r>
              <w:rPr>
                <w:rFonts w:ascii="Calibri" w:hAnsi="Calibri"/>
                <w:b w:val="0"/>
                <w:color w:val="1A2233"/>
                <w:sz w:val="18"/>
              </w:rPr>
              <w:t>Opco</w:t>
            </w:r>
          </w:p>
        </w:tc>
        <w:tc>
          <w:tcPr>
            <w:tcW w:type="dxa" w:w="5760"/>
            <w:shd w:val="clear" w:color="auto" w:fill="F2F5FB"/>
          </w:tcPr>
          <w:p>
            <w:pPr>
              <w:spacing w:after="40" w:before="40"/>
              <w:jc w:val="left"/>
            </w:pPr>
            <w:r/>
            <w:r>
              <w:rPr>
                <w:rFonts w:ascii="Calibri" w:hAnsi="Calibri"/>
                <w:b w:val="0"/>
                <w:color w:val="1A2233"/>
                <w:sz w:val="18"/>
              </w:rPr>
              <w:t>Airtel Kenya (Airtel Networks Kenya Ltd)  [confirm]</w:t>
            </w:r>
          </w:p>
        </w:tc>
      </w:tr>
      <w:tr>
        <w:tc>
          <w:tcPr>
            <w:tcW w:type="dxa" w:w="3312"/>
          </w:tcPr>
          <w:p>
            <w:pPr>
              <w:spacing w:after="40" w:before="40"/>
              <w:jc w:val="left"/>
            </w:pPr>
            <w:r/>
            <w:r>
              <w:rPr>
                <w:rFonts w:ascii="Calibri" w:hAnsi="Calibri"/>
                <w:b w:val="0"/>
                <w:color w:val="1A2233"/>
                <w:sz w:val="18"/>
              </w:rPr>
              <w:t>Applicability</w:t>
            </w:r>
          </w:p>
        </w:tc>
        <w:tc>
          <w:tcPr>
            <w:tcW w:type="dxa" w:w="5760"/>
          </w:tcPr>
          <w:p>
            <w:pPr>
              <w:spacing w:after="40" w:before="40"/>
              <w:jc w:val="left"/>
            </w:pPr>
            <w:r/>
            <w:r>
              <w:rPr>
                <w:rFonts w:ascii="Calibri" w:hAnsi="Calibri"/>
                <w:b w:val="0"/>
                <w:color w:val="1A2233"/>
                <w:sz w:val="18"/>
              </w:rPr>
              <w:t>Airtel Africa Plc and its entities</w:t>
            </w:r>
          </w:p>
        </w:tc>
      </w:tr>
      <w:tr>
        <w:tc>
          <w:tcPr>
            <w:tcW w:type="dxa" w:w="3312"/>
            <w:shd w:val="clear" w:color="auto" w:fill="F2F5FB"/>
          </w:tcPr>
          <w:p>
            <w:pPr>
              <w:spacing w:after="40" w:before="40"/>
              <w:jc w:val="left"/>
            </w:pPr>
            <w:r/>
            <w:r>
              <w:rPr>
                <w:rFonts w:ascii="Calibri" w:hAnsi="Calibri"/>
                <w:b w:val="0"/>
                <w:color w:val="1A2233"/>
                <w:sz w:val="18"/>
              </w:rPr>
              <w:t>Classification</w:t>
            </w:r>
          </w:p>
        </w:tc>
        <w:tc>
          <w:tcPr>
            <w:tcW w:type="dxa" w:w="5760"/>
            <w:shd w:val="clear" w:color="auto" w:fill="F2F5FB"/>
          </w:tcPr>
          <w:p>
            <w:pPr>
              <w:spacing w:after="40" w:before="40"/>
              <w:jc w:val="left"/>
            </w:pPr>
            <w:r/>
            <w:r>
              <w:rPr>
                <w:rFonts w:ascii="Calibri" w:hAnsi="Calibri"/>
                <w:b w:val="0"/>
                <w:color w:val="1A2233"/>
                <w:sz w:val="18"/>
              </w:rPr>
              <w:t>Internal</w:t>
            </w:r>
          </w:p>
        </w:tc>
      </w:tr>
      <w:tr>
        <w:tc>
          <w:tcPr>
            <w:tcW w:type="dxa" w:w="3312"/>
          </w:tcPr>
          <w:p>
            <w:pPr>
              <w:spacing w:after="40" w:before="40"/>
              <w:jc w:val="left"/>
            </w:pPr>
            <w:r/>
            <w:r>
              <w:rPr>
                <w:rFonts w:ascii="Calibri" w:hAnsi="Calibri"/>
                <w:b w:val="0"/>
                <w:color w:val="1A2233"/>
                <w:sz w:val="18"/>
              </w:rPr>
              <w:t>Version</w:t>
            </w:r>
          </w:p>
        </w:tc>
        <w:tc>
          <w:tcPr>
            <w:tcW w:type="dxa" w:w="5760"/>
          </w:tcPr>
          <w:p>
            <w:pPr>
              <w:spacing w:after="40" w:before="40"/>
              <w:jc w:val="left"/>
            </w:pPr>
            <w:r/>
            <w:r>
              <w:rPr>
                <w:rFonts w:ascii="Calibri" w:hAnsi="Calibri"/>
                <w:b w:val="0"/>
                <w:color w:val="1A2233"/>
                <w:sz w:val="18"/>
              </w:rPr>
              <w:t>1.1</w:t>
            </w:r>
          </w:p>
        </w:tc>
      </w:tr>
      <w:tr>
        <w:tc>
          <w:tcPr>
            <w:tcW w:type="dxa" w:w="3312"/>
            <w:shd w:val="clear" w:color="auto" w:fill="F2F5FB"/>
          </w:tcPr>
          <w:p>
            <w:pPr>
              <w:spacing w:after="40" w:before="40"/>
              <w:jc w:val="left"/>
            </w:pPr>
            <w:r/>
            <w:r>
              <w:rPr>
                <w:rFonts w:ascii="Calibri" w:hAnsi="Calibri"/>
                <w:b w:val="0"/>
                <w:color w:val="1A2233"/>
                <w:sz w:val="18"/>
              </w:rPr>
              <w:t>Status</w:t>
            </w:r>
          </w:p>
        </w:tc>
        <w:tc>
          <w:tcPr>
            <w:tcW w:type="dxa" w:w="5760"/>
            <w:shd w:val="clear" w:color="auto" w:fill="F2F5FB"/>
          </w:tcPr>
          <w:p>
            <w:pPr>
              <w:spacing w:after="40" w:before="40"/>
              <w:jc w:val="left"/>
            </w:pPr>
            <w:r/>
            <w:r>
              <w:rPr>
                <w:rFonts w:ascii="Calibri" w:hAnsi="Calibri"/>
                <w:b w:val="0"/>
                <w:color w:val="1A2233"/>
                <w:sz w:val="18"/>
              </w:rPr>
              <w:t>Draft for review and approval</w:t>
            </w:r>
          </w:p>
        </w:tc>
      </w:tr>
    </w:tbl>
    <w:p>
      <w:pPr>
        <w:spacing w:after="40"/>
      </w:pPr>
    </w:p>
    <w:p>
      <w:pPr>
        <w:pStyle w:val="Heading2"/>
      </w:pPr>
      <w:r>
        <w:t>1.2 Reviewers (per policy Section 6)</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c>
          <w:tcPr>
            <w:tcW w:type="dxa" w:w="576"/>
            <w:shd w:val="clear" w:color="auto" w:fill="D9E2F3"/>
          </w:tcPr>
          <w:p>
            <w:pPr>
              <w:spacing w:after="40" w:before="40"/>
              <w:jc w:val="left"/>
            </w:pPr>
            <w:r/>
            <w:r>
              <w:rPr>
                <w:rFonts w:ascii="Calibri" w:hAnsi="Calibri"/>
                <w:b/>
                <w:color w:val="1A2233"/>
                <w:sz w:val="18"/>
              </w:rPr>
              <w:t>Sl.</w:t>
            </w:r>
          </w:p>
        </w:tc>
        <w:tc>
          <w:tcPr>
            <w:tcW w:type="dxa" w:w="4320"/>
            <w:shd w:val="clear" w:color="auto" w:fill="D9E2F3"/>
          </w:tcPr>
          <w:p>
            <w:pPr>
              <w:spacing w:after="40" w:before="40"/>
              <w:jc w:val="left"/>
            </w:pPr>
            <w:r/>
            <w:r>
              <w:rPr>
                <w:rFonts w:ascii="Calibri" w:hAnsi="Calibri"/>
                <w:b/>
                <w:color w:val="1A2233"/>
                <w:sz w:val="18"/>
              </w:rPr>
              <w:t>Review body / responsibility</w:t>
            </w:r>
          </w:p>
        </w:tc>
        <w:tc>
          <w:tcPr>
            <w:tcW w:type="dxa" w:w="2592"/>
            <w:shd w:val="clear" w:color="auto" w:fill="D9E2F3"/>
          </w:tcPr>
          <w:p>
            <w:pPr>
              <w:spacing w:after="40" w:before="40"/>
              <w:jc w:val="left"/>
            </w:pPr>
            <w:r/>
            <w:r>
              <w:rPr>
                <w:rFonts w:ascii="Calibri" w:hAnsi="Calibri"/>
                <w:b/>
                <w:color w:val="1A2233"/>
                <w:sz w:val="18"/>
              </w:rPr>
              <w:t>Name</w:t>
            </w:r>
          </w:p>
        </w:tc>
        <w:tc>
          <w:tcPr>
            <w:tcW w:type="dxa" w:w="1584"/>
            <w:shd w:val="clear" w:color="auto" w:fill="D9E2F3"/>
          </w:tcPr>
          <w:p>
            <w:pPr>
              <w:spacing w:after="40" w:before="40"/>
              <w:jc w:val="left"/>
            </w:pPr>
            <w:r/>
            <w:r>
              <w:rPr>
                <w:rFonts w:ascii="Calibri" w:hAnsi="Calibri"/>
                <w:b/>
                <w:color w:val="1A2233"/>
                <w:sz w:val="18"/>
              </w:rPr>
              <w:t>Outcome / date</w:t>
            </w:r>
          </w:p>
        </w:tc>
      </w:tr>
      <w:tr>
        <w:tc>
          <w:tcPr>
            <w:tcW w:type="dxa" w:w="576"/>
          </w:tcPr>
          <w:p>
            <w:pPr>
              <w:spacing w:after="40" w:before="40"/>
              <w:jc w:val="left"/>
            </w:pPr>
            <w:r/>
            <w:r>
              <w:rPr>
                <w:rFonts w:ascii="Calibri" w:hAnsi="Calibri"/>
                <w:b w:val="0"/>
                <w:color w:val="1A2233"/>
                <w:sz w:val="18"/>
              </w:rPr>
              <w:t>1</w:t>
            </w:r>
          </w:p>
        </w:tc>
        <w:tc>
          <w:tcPr>
            <w:tcW w:type="dxa" w:w="4320"/>
          </w:tcPr>
          <w:p>
            <w:pPr>
              <w:spacing w:after="40" w:before="40"/>
              <w:jc w:val="left"/>
            </w:pPr>
            <w:r/>
            <w:r>
              <w:rPr>
                <w:rFonts w:ascii="Calibri" w:hAnsi="Calibri"/>
                <w:b w:val="0"/>
                <w:color w:val="1A2233"/>
                <w:sz w:val="18"/>
              </w:rPr>
              <w:t>IT Architectural Review Board</w:t>
            </w:r>
          </w:p>
        </w:tc>
        <w:tc>
          <w:tcPr>
            <w:tcW w:type="dxa" w:w="2592"/>
          </w:tcPr>
          <w:p>
            <w:pPr>
              <w:spacing w:after="40" w:before="40"/>
              <w:jc w:val="left"/>
            </w:pPr>
            <w:r/>
            <w:r>
              <w:rPr>
                <w:rFonts w:ascii="Calibri" w:hAnsi="Calibri"/>
                <w:b w:val="0"/>
                <w:color w:val="1A2233"/>
                <w:sz w:val="18"/>
              </w:rPr>
              <w:t>[to be completed]</w:t>
            </w:r>
          </w:p>
        </w:tc>
        <w:tc>
          <w:tcPr>
            <w:tcW w:type="dxa" w:w="1584"/>
          </w:tcPr>
          <w:p>
            <w:pPr>
              <w:spacing w:after="40" w:before="40"/>
              <w:jc w:val="left"/>
            </w:pPr>
            <w:r/>
            <w:r>
              <w:rPr>
                <w:rFonts w:ascii="Calibri" w:hAnsi="Calibri"/>
                <w:b w:val="0"/>
                <w:color w:val="1A2233"/>
                <w:sz w:val="18"/>
              </w:rPr>
            </w:r>
          </w:p>
        </w:tc>
      </w:tr>
      <w:tr>
        <w:tc>
          <w:tcPr>
            <w:tcW w:type="dxa" w:w="576"/>
            <w:shd w:val="clear" w:color="auto" w:fill="F2F5FB"/>
          </w:tcPr>
          <w:p>
            <w:pPr>
              <w:spacing w:after="40" w:before="40"/>
              <w:jc w:val="left"/>
            </w:pPr>
            <w:r/>
            <w:r>
              <w:rPr>
                <w:rFonts w:ascii="Calibri" w:hAnsi="Calibri"/>
                <w:b w:val="0"/>
                <w:color w:val="1A2233"/>
                <w:sz w:val="18"/>
              </w:rPr>
              <w:t>2</w:t>
            </w:r>
          </w:p>
        </w:tc>
        <w:tc>
          <w:tcPr>
            <w:tcW w:type="dxa" w:w="4320"/>
            <w:shd w:val="clear" w:color="auto" w:fill="F2F5FB"/>
          </w:tcPr>
          <w:p>
            <w:pPr>
              <w:spacing w:after="40" w:before="40"/>
              <w:jc w:val="left"/>
            </w:pPr>
            <w:r/>
            <w:r>
              <w:rPr>
                <w:rFonts w:ascii="Calibri" w:hAnsi="Calibri"/>
                <w:b w:val="0"/>
                <w:color w:val="1A2233"/>
                <w:sz w:val="18"/>
              </w:rPr>
              <w:t>IT Security</w:t>
            </w:r>
          </w:p>
        </w:tc>
        <w:tc>
          <w:tcPr>
            <w:tcW w:type="dxa" w:w="2592"/>
            <w:shd w:val="clear" w:color="auto" w:fill="F2F5FB"/>
          </w:tcPr>
          <w:p>
            <w:pPr>
              <w:spacing w:after="40" w:before="40"/>
              <w:jc w:val="left"/>
            </w:pPr>
            <w:r/>
            <w:r>
              <w:rPr>
                <w:rFonts w:ascii="Calibri" w:hAnsi="Calibri"/>
                <w:b w:val="0"/>
                <w:color w:val="1A2233"/>
                <w:sz w:val="18"/>
              </w:rPr>
              <w:t>[to be completed]</w:t>
            </w:r>
          </w:p>
        </w:tc>
        <w:tc>
          <w:tcPr>
            <w:tcW w:type="dxa" w:w="1584"/>
            <w:shd w:val="clear" w:color="auto" w:fill="F2F5FB"/>
          </w:tcPr>
          <w:p>
            <w:pPr>
              <w:spacing w:after="40" w:before="40"/>
              <w:jc w:val="left"/>
            </w:pPr>
            <w:r/>
            <w:r>
              <w:rPr>
                <w:rFonts w:ascii="Calibri" w:hAnsi="Calibri"/>
                <w:b w:val="0"/>
                <w:color w:val="1A2233"/>
                <w:sz w:val="18"/>
              </w:rPr>
            </w:r>
          </w:p>
        </w:tc>
      </w:tr>
      <w:tr>
        <w:tc>
          <w:tcPr>
            <w:tcW w:type="dxa" w:w="576"/>
          </w:tcPr>
          <w:p>
            <w:pPr>
              <w:spacing w:after="40" w:before="40"/>
              <w:jc w:val="left"/>
            </w:pPr>
            <w:r/>
            <w:r>
              <w:rPr>
                <w:rFonts w:ascii="Calibri" w:hAnsi="Calibri"/>
                <w:b w:val="0"/>
                <w:color w:val="1A2233"/>
                <w:sz w:val="18"/>
              </w:rPr>
              <w:t>3</w:t>
            </w:r>
          </w:p>
        </w:tc>
        <w:tc>
          <w:tcPr>
            <w:tcW w:type="dxa" w:w="4320"/>
          </w:tcPr>
          <w:p>
            <w:pPr>
              <w:spacing w:after="40" w:before="40"/>
              <w:jc w:val="left"/>
            </w:pPr>
            <w:r/>
            <w:r>
              <w:rPr>
                <w:rFonts w:ascii="Calibri" w:hAnsi="Calibri"/>
                <w:b w:val="0"/>
                <w:color w:val="1A2233"/>
                <w:sz w:val="18"/>
              </w:rPr>
              <w:t>Opco ITD (sponsoring)</w:t>
            </w:r>
          </w:p>
        </w:tc>
        <w:tc>
          <w:tcPr>
            <w:tcW w:type="dxa" w:w="2592"/>
          </w:tcPr>
          <w:p>
            <w:pPr>
              <w:spacing w:after="40" w:before="40"/>
              <w:jc w:val="left"/>
            </w:pPr>
            <w:r/>
            <w:r>
              <w:rPr>
                <w:rFonts w:ascii="Calibri" w:hAnsi="Calibri"/>
                <w:b w:val="0"/>
                <w:color w:val="1A2233"/>
                <w:sz w:val="18"/>
              </w:rPr>
              <w:t>[to be completed]</w:t>
            </w:r>
          </w:p>
        </w:tc>
        <w:tc>
          <w:tcPr>
            <w:tcW w:type="dxa" w:w="1584"/>
          </w:tcPr>
          <w:p>
            <w:pPr>
              <w:spacing w:after="40" w:before="40"/>
              <w:jc w:val="left"/>
            </w:pPr>
            <w:r/>
            <w:r>
              <w:rPr>
                <w:rFonts w:ascii="Calibri" w:hAnsi="Calibri"/>
                <w:b w:val="0"/>
                <w:color w:val="1A2233"/>
                <w:sz w:val="18"/>
              </w:rPr>
            </w:r>
          </w:p>
        </w:tc>
      </w:tr>
    </w:tbl>
    <w:p>
      <w:pPr>
        <w:spacing w:after="40"/>
      </w:pPr>
    </w:p>
    <w:p>
      <w:pPr>
        <w:pStyle w:val="Heading2"/>
      </w:pPr>
      <w:r>
        <w:t>1.3 Approvers (mandatory)</w:t>
      </w:r>
    </w:p>
    <w:p>
      <w:pPr>
        <w:spacing w:after="120" w:before="0"/>
        <w:jc w:val="left"/>
      </w:pPr>
      <w:r>
        <w:rPr>
          <w:b w:val="0"/>
          <w:i w:val="0"/>
          <w:color w:val="1A2233"/>
          <w:sz w:val="20"/>
        </w:rPr>
        <w:t>Policy v2.0 Section 6 states that deployment of a Shadow IT system for a business process that includes IT is mandatory to be approved by CIO, GCIO and GCISO. This submission is prepared to seek that approval.</w:t>
      </w:r>
    </w:p>
    <w:tbl>
      <w:tblPr>
        <w:tblStyle w:val="TableGrid"/>
        <w:tblW w:type="auto" w:w="0"/>
        <w:jc w:val="center"/>
        <w:tblLayout w:type="fixed"/>
        <w:tblLook w:firstColumn="1" w:firstRow="1" w:lastColumn="0" w:lastRow="0" w:noHBand="0" w:noVBand="1" w:val="04A0"/>
      </w:tblPr>
      <w:tblGrid>
        <w:gridCol w:w="1863"/>
        <w:gridCol w:w="1863"/>
        <w:gridCol w:w="1863"/>
        <w:gridCol w:w="1863"/>
        <w:gridCol w:w="1863"/>
      </w:tblGrid>
      <w:tr>
        <w:tc>
          <w:tcPr>
            <w:tcW w:type="dxa" w:w="576"/>
            <w:shd w:val="clear" w:color="auto" w:fill="D9E2F3"/>
          </w:tcPr>
          <w:p>
            <w:pPr>
              <w:spacing w:after="40" w:before="40"/>
              <w:jc w:val="left"/>
            </w:pPr>
            <w:r/>
            <w:r>
              <w:rPr>
                <w:rFonts w:ascii="Calibri" w:hAnsi="Calibri"/>
                <w:b/>
                <w:color w:val="1A2233"/>
                <w:sz w:val="18"/>
              </w:rPr>
              <w:t>Sl.</w:t>
            </w:r>
          </w:p>
        </w:tc>
        <w:tc>
          <w:tcPr>
            <w:tcW w:type="dxa" w:w="4176"/>
            <w:shd w:val="clear" w:color="auto" w:fill="D9E2F3"/>
          </w:tcPr>
          <w:p>
            <w:pPr>
              <w:spacing w:after="40" w:before="40"/>
              <w:jc w:val="left"/>
            </w:pPr>
            <w:r/>
            <w:r>
              <w:rPr>
                <w:rFonts w:ascii="Calibri" w:hAnsi="Calibri"/>
                <w:b/>
                <w:color w:val="1A2233"/>
                <w:sz w:val="18"/>
              </w:rPr>
              <w:t>Role</w:t>
            </w:r>
          </w:p>
        </w:tc>
        <w:tc>
          <w:tcPr>
            <w:tcW w:type="dxa" w:w="1584"/>
            <w:shd w:val="clear" w:color="auto" w:fill="D9E2F3"/>
          </w:tcPr>
          <w:p>
            <w:pPr>
              <w:spacing w:after="40" w:before="40"/>
              <w:jc w:val="left"/>
            </w:pPr>
            <w:r/>
            <w:r>
              <w:rPr>
                <w:rFonts w:ascii="Calibri" w:hAnsi="Calibri"/>
                <w:b/>
                <w:color w:val="1A2233"/>
                <w:sz w:val="18"/>
              </w:rPr>
              <w:t>Name</w:t>
            </w:r>
          </w:p>
        </w:tc>
        <w:tc>
          <w:tcPr>
            <w:tcW w:type="dxa" w:w="1584"/>
            <w:shd w:val="clear" w:color="auto" w:fill="D9E2F3"/>
          </w:tcPr>
          <w:p>
            <w:pPr>
              <w:spacing w:after="40" w:before="40"/>
              <w:jc w:val="left"/>
            </w:pPr>
            <w:r/>
            <w:r>
              <w:rPr>
                <w:rFonts w:ascii="Calibri" w:hAnsi="Calibri"/>
                <w:b/>
                <w:color w:val="1A2233"/>
                <w:sz w:val="18"/>
              </w:rPr>
              <w:t>Signatory</w:t>
            </w:r>
          </w:p>
        </w:tc>
        <w:tc>
          <w:tcPr>
            <w:tcW w:type="dxa" w:w="1296"/>
            <w:shd w:val="clear" w:color="auto" w:fill="D9E2F3"/>
          </w:tcPr>
          <w:p>
            <w:pPr>
              <w:spacing w:after="40" w:before="40"/>
              <w:jc w:val="left"/>
            </w:pPr>
            <w:r/>
            <w:r>
              <w:rPr>
                <w:rFonts w:ascii="Calibri" w:hAnsi="Calibri"/>
                <w:b/>
                <w:color w:val="1A2233"/>
                <w:sz w:val="18"/>
              </w:rPr>
              <w:t>Date</w:t>
            </w:r>
          </w:p>
        </w:tc>
      </w:tr>
      <w:tr>
        <w:tc>
          <w:tcPr>
            <w:tcW w:type="dxa" w:w="576"/>
          </w:tcPr>
          <w:p>
            <w:pPr>
              <w:spacing w:after="40" w:before="40"/>
              <w:jc w:val="left"/>
            </w:pPr>
            <w:r/>
            <w:r>
              <w:rPr>
                <w:rFonts w:ascii="Calibri" w:hAnsi="Calibri"/>
                <w:b w:val="0"/>
                <w:color w:val="1A2233"/>
                <w:sz w:val="18"/>
              </w:rPr>
              <w:t>1</w:t>
            </w:r>
          </w:p>
        </w:tc>
        <w:tc>
          <w:tcPr>
            <w:tcW w:type="dxa" w:w="4176"/>
          </w:tcPr>
          <w:p>
            <w:pPr>
              <w:spacing w:after="40" w:before="40"/>
              <w:jc w:val="left"/>
            </w:pPr>
            <w:r/>
            <w:r>
              <w:rPr>
                <w:rFonts w:ascii="Calibri" w:hAnsi="Calibri"/>
                <w:b w:val="0"/>
                <w:color w:val="1A2233"/>
                <w:sz w:val="18"/>
              </w:rPr>
              <w:t>Chief Information Officer (CIO)</w:t>
            </w:r>
          </w:p>
        </w:tc>
        <w:tc>
          <w:tcPr>
            <w:tcW w:type="dxa" w:w="1584"/>
          </w:tcPr>
          <w:p>
            <w:pPr>
              <w:spacing w:after="40" w:before="40"/>
              <w:jc w:val="left"/>
            </w:pPr>
            <w:r/>
            <w:r>
              <w:rPr>
                <w:rFonts w:ascii="Calibri" w:hAnsi="Calibri"/>
                <w:b w:val="0"/>
                <w:color w:val="1A2233"/>
                <w:sz w:val="18"/>
              </w:rPr>
              <w:t>[ ]</w:t>
            </w:r>
          </w:p>
        </w:tc>
        <w:tc>
          <w:tcPr>
            <w:tcW w:type="dxa" w:w="1584"/>
          </w:tcPr>
          <w:p>
            <w:pPr>
              <w:spacing w:after="40" w:before="40"/>
              <w:jc w:val="left"/>
            </w:pPr>
            <w:r/>
            <w:r>
              <w:rPr>
                <w:rFonts w:ascii="Calibri" w:hAnsi="Calibri"/>
                <w:b w:val="0"/>
                <w:color w:val="1A2233"/>
                <w:sz w:val="18"/>
              </w:rPr>
              <w:t>[ ]</w:t>
            </w:r>
          </w:p>
        </w:tc>
        <w:tc>
          <w:tcPr>
            <w:tcW w:type="dxa" w:w="1296"/>
          </w:tcPr>
          <w:p>
            <w:pPr>
              <w:spacing w:after="40" w:before="40"/>
              <w:jc w:val="left"/>
            </w:pPr>
            <w:r/>
            <w:r>
              <w:rPr>
                <w:rFonts w:ascii="Calibri" w:hAnsi="Calibri"/>
                <w:b w:val="0"/>
                <w:color w:val="1A2233"/>
                <w:sz w:val="18"/>
              </w:rPr>
              <w:t>[ ]</w:t>
            </w:r>
          </w:p>
        </w:tc>
      </w:tr>
      <w:tr>
        <w:tc>
          <w:tcPr>
            <w:tcW w:type="dxa" w:w="576"/>
            <w:shd w:val="clear" w:color="auto" w:fill="F2F5FB"/>
          </w:tcPr>
          <w:p>
            <w:pPr>
              <w:spacing w:after="40" w:before="40"/>
              <w:jc w:val="left"/>
            </w:pPr>
            <w:r/>
            <w:r>
              <w:rPr>
                <w:rFonts w:ascii="Calibri" w:hAnsi="Calibri"/>
                <w:b w:val="0"/>
                <w:color w:val="1A2233"/>
                <w:sz w:val="18"/>
              </w:rPr>
              <w:t>2</w:t>
            </w:r>
          </w:p>
        </w:tc>
        <w:tc>
          <w:tcPr>
            <w:tcW w:type="dxa" w:w="4176"/>
            <w:shd w:val="clear" w:color="auto" w:fill="F2F5FB"/>
          </w:tcPr>
          <w:p>
            <w:pPr>
              <w:spacing w:after="40" w:before="40"/>
              <w:jc w:val="left"/>
            </w:pPr>
            <w:r/>
            <w:r>
              <w:rPr>
                <w:rFonts w:ascii="Calibri" w:hAnsi="Calibri"/>
                <w:b w:val="0"/>
                <w:color w:val="1A2233"/>
                <w:sz w:val="18"/>
              </w:rPr>
              <w:t>Group Chief Information Officer (GCIO)</w:t>
            </w:r>
          </w:p>
        </w:tc>
        <w:tc>
          <w:tcPr>
            <w:tcW w:type="dxa" w:w="1584"/>
            <w:shd w:val="clear" w:color="auto" w:fill="F2F5FB"/>
          </w:tcPr>
          <w:p>
            <w:pPr>
              <w:spacing w:after="40" w:before="40"/>
              <w:jc w:val="left"/>
            </w:pPr>
            <w:r/>
            <w:r>
              <w:rPr>
                <w:rFonts w:ascii="Calibri" w:hAnsi="Calibri"/>
                <w:b w:val="0"/>
                <w:color w:val="1A2233"/>
                <w:sz w:val="18"/>
              </w:rPr>
              <w:t>[ ]</w:t>
            </w:r>
          </w:p>
        </w:tc>
        <w:tc>
          <w:tcPr>
            <w:tcW w:type="dxa" w:w="1584"/>
            <w:shd w:val="clear" w:color="auto" w:fill="F2F5FB"/>
          </w:tcPr>
          <w:p>
            <w:pPr>
              <w:spacing w:after="40" w:before="40"/>
              <w:jc w:val="left"/>
            </w:pPr>
            <w:r/>
            <w:r>
              <w:rPr>
                <w:rFonts w:ascii="Calibri" w:hAnsi="Calibri"/>
                <w:b w:val="0"/>
                <w:color w:val="1A2233"/>
                <w:sz w:val="18"/>
              </w:rPr>
              <w:t>[ ]</w:t>
            </w:r>
          </w:p>
        </w:tc>
        <w:tc>
          <w:tcPr>
            <w:tcW w:type="dxa" w:w="1296"/>
            <w:shd w:val="clear" w:color="auto" w:fill="F2F5FB"/>
          </w:tcPr>
          <w:p>
            <w:pPr>
              <w:spacing w:after="40" w:before="40"/>
              <w:jc w:val="left"/>
            </w:pPr>
            <w:r/>
            <w:r>
              <w:rPr>
                <w:rFonts w:ascii="Calibri" w:hAnsi="Calibri"/>
                <w:b w:val="0"/>
                <w:color w:val="1A2233"/>
                <w:sz w:val="18"/>
              </w:rPr>
              <w:t>[ ]</w:t>
            </w:r>
          </w:p>
        </w:tc>
      </w:tr>
      <w:tr>
        <w:tc>
          <w:tcPr>
            <w:tcW w:type="dxa" w:w="576"/>
          </w:tcPr>
          <w:p>
            <w:pPr>
              <w:spacing w:after="40" w:before="40"/>
              <w:jc w:val="left"/>
            </w:pPr>
            <w:r/>
            <w:r>
              <w:rPr>
                <w:rFonts w:ascii="Calibri" w:hAnsi="Calibri"/>
                <w:b w:val="0"/>
                <w:color w:val="1A2233"/>
                <w:sz w:val="18"/>
              </w:rPr>
              <w:t>3</w:t>
            </w:r>
          </w:p>
        </w:tc>
        <w:tc>
          <w:tcPr>
            <w:tcW w:type="dxa" w:w="4176"/>
          </w:tcPr>
          <w:p>
            <w:pPr>
              <w:spacing w:after="40" w:before="40"/>
              <w:jc w:val="left"/>
            </w:pPr>
            <w:r/>
            <w:r>
              <w:rPr>
                <w:rFonts w:ascii="Calibri" w:hAnsi="Calibri"/>
                <w:b w:val="0"/>
                <w:color w:val="1A2233"/>
                <w:sz w:val="18"/>
              </w:rPr>
              <w:t>Group Chief Information Security Officer (GCISO)</w:t>
            </w:r>
          </w:p>
        </w:tc>
        <w:tc>
          <w:tcPr>
            <w:tcW w:type="dxa" w:w="1584"/>
          </w:tcPr>
          <w:p>
            <w:pPr>
              <w:spacing w:after="40" w:before="40"/>
              <w:jc w:val="left"/>
            </w:pPr>
            <w:r/>
            <w:r>
              <w:rPr>
                <w:rFonts w:ascii="Calibri" w:hAnsi="Calibri"/>
                <w:b w:val="0"/>
                <w:color w:val="1A2233"/>
                <w:sz w:val="18"/>
              </w:rPr>
              <w:t>[ ]</w:t>
            </w:r>
          </w:p>
        </w:tc>
        <w:tc>
          <w:tcPr>
            <w:tcW w:type="dxa" w:w="1584"/>
          </w:tcPr>
          <w:p>
            <w:pPr>
              <w:spacing w:after="40" w:before="40"/>
              <w:jc w:val="left"/>
            </w:pPr>
            <w:r/>
            <w:r>
              <w:rPr>
                <w:rFonts w:ascii="Calibri" w:hAnsi="Calibri"/>
                <w:b w:val="0"/>
                <w:color w:val="1A2233"/>
                <w:sz w:val="18"/>
              </w:rPr>
              <w:t>[ ]</w:t>
            </w:r>
          </w:p>
        </w:tc>
        <w:tc>
          <w:tcPr>
            <w:tcW w:type="dxa" w:w="1296"/>
          </w:tcPr>
          <w:p>
            <w:pPr>
              <w:spacing w:after="40" w:before="40"/>
              <w:jc w:val="left"/>
            </w:pPr>
            <w:r/>
            <w:r>
              <w:rPr>
                <w:rFonts w:ascii="Calibri" w:hAnsi="Calibri"/>
                <w:b w:val="0"/>
                <w:color w:val="1A2233"/>
                <w:sz w:val="18"/>
              </w:rPr>
              <w:t>[ ]</w:t>
            </w:r>
          </w:p>
        </w:tc>
      </w:tr>
    </w:tbl>
    <w:p>
      <w:pPr>
        <w:spacing w:after="40"/>
      </w:pPr>
    </w:p>
    <w:p>
      <w:pPr>
        <w:pStyle w:val="Heading2"/>
      </w:pPr>
      <w:r>
        <w:t>1.4 Revision History</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c>
          <w:tcPr>
            <w:tcW w:type="dxa" w:w="720"/>
            <w:shd w:val="clear" w:color="auto" w:fill="D9E2F3"/>
          </w:tcPr>
          <w:p>
            <w:pPr>
              <w:spacing w:after="40" w:before="40"/>
              <w:jc w:val="left"/>
            </w:pPr>
            <w:r/>
            <w:r>
              <w:rPr>
                <w:rFonts w:ascii="Calibri" w:hAnsi="Calibri"/>
                <w:b/>
                <w:color w:val="1A2233"/>
                <w:sz w:val="18"/>
              </w:rPr>
              <w:t>Ver.</w:t>
            </w:r>
          </w:p>
        </w:tc>
        <w:tc>
          <w:tcPr>
            <w:tcW w:type="dxa" w:w="1296"/>
            <w:shd w:val="clear" w:color="auto" w:fill="D9E2F3"/>
          </w:tcPr>
          <w:p>
            <w:pPr>
              <w:spacing w:after="40" w:before="40"/>
              <w:jc w:val="left"/>
            </w:pPr>
            <w:r/>
            <w:r>
              <w:rPr>
                <w:rFonts w:ascii="Calibri" w:hAnsi="Calibri"/>
                <w:b/>
                <w:color w:val="1A2233"/>
                <w:sz w:val="18"/>
              </w:rPr>
              <w:t>Date</w:t>
            </w:r>
          </w:p>
        </w:tc>
        <w:tc>
          <w:tcPr>
            <w:tcW w:type="dxa" w:w="5472"/>
            <w:shd w:val="clear" w:color="auto" w:fill="D9E2F3"/>
          </w:tcPr>
          <w:p>
            <w:pPr>
              <w:spacing w:after="40" w:before="40"/>
              <w:jc w:val="left"/>
            </w:pPr>
            <w:r/>
            <w:r>
              <w:rPr>
                <w:rFonts w:ascii="Calibri" w:hAnsi="Calibri"/>
                <w:b/>
                <w:color w:val="1A2233"/>
                <w:sz w:val="18"/>
              </w:rPr>
              <w:t>Change description</w:t>
            </w:r>
          </w:p>
        </w:tc>
        <w:tc>
          <w:tcPr>
            <w:tcW w:type="dxa" w:w="1584"/>
            <w:shd w:val="clear" w:color="auto" w:fill="D9E2F3"/>
          </w:tcPr>
          <w:p>
            <w:pPr>
              <w:spacing w:after="40" w:before="40"/>
              <w:jc w:val="left"/>
            </w:pPr>
            <w:r/>
            <w:r>
              <w:rPr>
                <w:rFonts w:ascii="Calibri" w:hAnsi="Calibri"/>
                <w:b/>
                <w:color w:val="1A2233"/>
                <w:sz w:val="18"/>
              </w:rPr>
              <w:t>Author</w:t>
            </w:r>
          </w:p>
        </w:tc>
      </w:tr>
      <w:tr>
        <w:tc>
          <w:tcPr>
            <w:tcW w:type="dxa" w:w="720"/>
          </w:tcPr>
          <w:p>
            <w:pPr>
              <w:spacing w:after="40" w:before="40"/>
              <w:jc w:val="left"/>
            </w:pPr>
            <w:r/>
            <w:r>
              <w:rPr>
                <w:rFonts w:ascii="Calibri" w:hAnsi="Calibri"/>
                <w:b w:val="0"/>
                <w:color w:val="1A2233"/>
                <w:sz w:val="18"/>
              </w:rPr>
              <w:t>1.0</w:t>
            </w:r>
          </w:p>
        </w:tc>
        <w:tc>
          <w:tcPr>
            <w:tcW w:type="dxa" w:w="1296"/>
          </w:tcPr>
          <w:p>
            <w:pPr>
              <w:spacing w:after="40" w:before="40"/>
              <w:jc w:val="left"/>
            </w:pPr>
            <w:r/>
            <w:r>
              <w:rPr>
                <w:rFonts w:ascii="Calibri" w:hAnsi="Calibri"/>
                <w:b w:val="0"/>
                <w:color w:val="1A2233"/>
                <w:sz w:val="18"/>
              </w:rPr>
              <w:t>12 Aug 2026</w:t>
            </w:r>
          </w:p>
        </w:tc>
        <w:tc>
          <w:tcPr>
            <w:tcW w:type="dxa" w:w="5472"/>
          </w:tcPr>
          <w:p>
            <w:pPr>
              <w:spacing w:after="40" w:before="40"/>
              <w:jc w:val="left"/>
            </w:pPr>
            <w:r/>
            <w:r>
              <w:rPr>
                <w:rFonts w:ascii="Calibri" w:hAnsi="Calibri"/>
                <w:b w:val="0"/>
                <w:color w:val="1A2233"/>
                <w:sz w:val="18"/>
              </w:rPr>
              <w:t>Initial submission: as-is architecture, proposed migration to Airtel-managed VMs, VM sizing and controls.</w:t>
            </w:r>
          </w:p>
        </w:tc>
        <w:tc>
          <w:tcPr>
            <w:tcW w:type="dxa" w:w="1584"/>
          </w:tcPr>
          <w:p>
            <w:pPr>
              <w:spacing w:after="40" w:before="40"/>
              <w:jc w:val="left"/>
            </w:pPr>
            <w:r/>
            <w:r>
              <w:rPr>
                <w:rFonts w:ascii="Calibri" w:hAnsi="Calibri"/>
                <w:b w:val="0"/>
                <w:color w:val="1A2233"/>
                <w:sz w:val="18"/>
              </w:rPr>
              <w:t>[Requestor]</w:t>
            </w:r>
          </w:p>
        </w:tc>
      </w:tr>
      <w:tr>
        <w:tc>
          <w:tcPr>
            <w:tcW w:type="dxa" w:w="720"/>
            <w:shd w:val="clear" w:color="auto" w:fill="F2F5FB"/>
          </w:tcPr>
          <w:p>
            <w:pPr>
              <w:spacing w:after="40" w:before="40"/>
              <w:jc w:val="left"/>
            </w:pPr>
            <w:r/>
            <w:r>
              <w:rPr>
                <w:rFonts w:ascii="Calibri" w:hAnsi="Calibri"/>
                <w:b w:val="0"/>
                <w:color w:val="1A2233"/>
                <w:sz w:val="18"/>
              </w:rPr>
              <w:t>1.1</w:t>
            </w:r>
          </w:p>
        </w:tc>
        <w:tc>
          <w:tcPr>
            <w:tcW w:type="dxa" w:w="1296"/>
            <w:shd w:val="clear" w:color="auto" w:fill="F2F5FB"/>
          </w:tcPr>
          <w:p>
            <w:pPr>
              <w:spacing w:after="40" w:before="40"/>
              <w:jc w:val="left"/>
            </w:pPr>
            <w:r/>
            <w:r>
              <w:rPr>
                <w:rFonts w:ascii="Calibri" w:hAnsi="Calibri"/>
                <w:b w:val="0"/>
                <w:color w:val="1A2233"/>
                <w:sz w:val="18"/>
              </w:rPr>
              <w:t>16 Aug 2026</w:t>
            </w:r>
          </w:p>
        </w:tc>
        <w:tc>
          <w:tcPr>
            <w:tcW w:type="dxa" w:w="5472"/>
            <w:shd w:val="clear" w:color="auto" w:fill="F2F5FB"/>
          </w:tcPr>
          <w:p>
            <w:pPr>
              <w:spacing w:after="40" w:before="40"/>
              <w:jc w:val="left"/>
            </w:pPr>
            <w:r/>
            <w:r>
              <w:rPr>
                <w:rFonts w:ascii="Calibri" w:hAnsi="Calibri"/>
                <w:b w:val="0"/>
                <w:color w:val="1A2233"/>
                <w:sz w:val="18"/>
              </w:rPr>
              <w:t>Updated security controls (Section 10), risk (Section 11) and retirement plan (Section 12) to reflect the interim hardening completed on the current platform: public anon key revoked on all personal-data and credential tables, RLS enforced, and server-side sign in. Corrected an as-is statement: the service-role key is not present in the client bundle.</w:t>
            </w:r>
          </w:p>
        </w:tc>
        <w:tc>
          <w:tcPr>
            <w:tcW w:type="dxa" w:w="1584"/>
            <w:shd w:val="clear" w:color="auto" w:fill="F2F5FB"/>
          </w:tcPr>
          <w:p>
            <w:pPr>
              <w:spacing w:after="40" w:before="40"/>
              <w:jc w:val="left"/>
            </w:pPr>
            <w:r/>
            <w:r>
              <w:rPr>
                <w:rFonts w:ascii="Calibri" w:hAnsi="Calibri"/>
                <w:b w:val="0"/>
                <w:color w:val="1A2233"/>
                <w:sz w:val="18"/>
              </w:rPr>
              <w:t>[Requestor]</w:t>
            </w:r>
          </w:p>
        </w:tc>
      </w:tr>
    </w:tbl>
    <w:p>
      <w:pPr>
        <w:spacing w:after="40"/>
      </w:pPr>
    </w:p>
    <w:p>
      <w:r>
        <w:br w:type="page"/>
      </w:r>
    </w:p>
    <w:p>
      <w:pPr>
        <w:pStyle w:val="Heading1"/>
      </w:pPr>
      <w:r>
        <w:t>Table of Contents</w:t>
      </w:r>
    </w:p>
    <w:p>
      <w:r>
        <w:fldChar w:fldCharType="begin"/>
        <w:instrText xml:space="preserve">TOC \o "1-2" \h \z \u</w:instrText>
        <w:fldChar w:fldCharType="end"/>
      </w:r>
    </w:p>
    <w:p>
      <w:pPr>
        <w:spacing w:after="120" w:before="0"/>
        <w:jc w:val="left"/>
      </w:pPr>
      <w:r>
        <w:rPr>
          <w:b w:val="0"/>
          <w:i/>
          <w:color w:val="5A6B87"/>
          <w:sz w:val="17"/>
        </w:rPr>
        <w:t>(Right-click the table above in Microsoft Word and choose Update Field to populate page numbers.)</w:t>
      </w:r>
    </w:p>
    <w:p>
      <w:r>
        <w:br w:type="page"/>
      </w:r>
    </w:p>
    <w:p>
      <w:pPr>
        <w:pStyle w:val="Heading1"/>
      </w:pPr>
      <w:r>
        <w:t>2. Executive Summary</w:t>
      </w:r>
    </w:p>
    <w:p>
      <w:pPr>
        <w:spacing w:after="120" w:before="0"/>
        <w:jc w:val="both"/>
      </w:pPr>
      <w:r>
        <w:rPr>
          <w:b w:val="0"/>
          <w:i w:val="0"/>
          <w:color w:val="1A2233"/>
          <w:sz w:val="21"/>
        </w:rPr>
        <w:t>The Airtel Champions App is a field force and operations platform used by Airtel sales champions, Home Broadband (HBB) installers, Airtel Money agents and headquarters teams. It was built by an external developer and is presently hosted entirely on third-party, Internet-based Software-as-a-Service (SaaS) platforms (Vercel and Supabase), outside Airtel Group IT visibility and control. Under Airtel Africa Shadow IT Policy v2.0 this constitutes Shadow IT.</w:t>
      </w:r>
    </w:p>
    <w:p>
      <w:pPr>
        <w:spacing w:after="120" w:before="0"/>
        <w:jc w:val="both"/>
      </w:pPr>
      <w:r>
        <w:rPr>
          <w:b w:val="0"/>
          <w:i w:val="0"/>
          <w:color w:val="1A2233"/>
          <w:sz w:val="21"/>
        </w:rPr>
        <w:t>This document is the justification and architecture submission required by Section 6 of that policy. It sets out what the application is, how it is built today, the risks of the current arrangement, and a proposed to-be architecture that migrates the entire solution onto Airtel-managed virtual machines inside an Airtel data centre or private cloud, under Group IT control. It includes the hardware (VM) specification, the sizing basis, the integration touch points, third-party licences and the security controls, so that the IT Architectural Review Board, IT Security and the approving CIO / GCIO / GCISO can take a decision.</w:t>
      </w:r>
    </w:p>
    <w:p>
      <w:pPr>
        <w:pStyle w:val="Heading3"/>
      </w:pPr>
      <w:r>
        <w:t>What is being requested</w:t>
      </w:r>
    </w:p>
    <w:p>
      <w:pPr>
        <w:pStyle w:val="ListBullet"/>
        <w:spacing w:after="60"/>
      </w:pPr>
      <w:r>
        <w:rPr>
          <w:color w:val="1A2233"/>
          <w:sz w:val="21"/>
        </w:rPr>
        <w:t>Approval to bring the Airtel Champions App under Group IT management (regularise the Shadow IT).</w:t>
      </w:r>
    </w:p>
    <w:p>
      <w:pPr>
        <w:pStyle w:val="ListBullet"/>
        <w:spacing w:after="60"/>
      </w:pPr>
      <w:r>
        <w:rPr>
          <w:color w:val="1A2233"/>
          <w:sz w:val="21"/>
        </w:rPr>
        <w:t>Provisioning of the virtual machines specified in Section 7 across Production and Non-Production (UAT) environments.</w:t>
      </w:r>
    </w:p>
    <w:p>
      <w:pPr>
        <w:pStyle w:val="ListBullet"/>
        <w:spacing w:after="60"/>
      </w:pPr>
      <w:r>
        <w:rPr>
          <w:color w:val="1A2233"/>
          <w:sz w:val="21"/>
        </w:rPr>
        <w:t>Retirement of the external SaaS subscriptions (Vercel, Supabase, Capgo) once migration is complete, with release of the associated firewall, DNS and licence entries per policy Section 6.</w:t>
      </w:r>
    </w:p>
    <w:p>
      <w:pPr>
        <w:pStyle w:val="Heading1"/>
      </w:pPr>
      <w:r>
        <w:t>3. Product and Project Description</w:t>
      </w:r>
    </w:p>
    <w:p>
      <w:pPr>
        <w:spacing w:after="120" w:before="0"/>
        <w:jc w:val="left"/>
      </w:pPr>
      <w:r>
        <w:rPr>
          <w:b w:val="0"/>
          <w:i/>
          <w:color w:val="5A6B87"/>
          <w:sz w:val="19"/>
        </w:rPr>
        <w:t>This section answers the VM-approval requirement to state the product or project for which the hardware is requested.</w:t>
      </w:r>
    </w:p>
    <w:p>
      <w:pPr>
        <w:pStyle w:val="Heading2"/>
      </w:pPr>
      <w:r>
        <w:t>3.1 Overview</w:t>
      </w:r>
    </w:p>
    <w:p>
      <w:pPr>
        <w:spacing w:after="120" w:before="0"/>
        <w:jc w:val="left"/>
      </w:pPr>
      <w:r>
        <w:rPr>
          <w:b w:val="0"/>
          <w:i w:val="0"/>
          <w:color w:val="1A2233"/>
          <w:sz w:val="21"/>
        </w:rPr>
        <w:t>The Airtel Champions App is a Progressive Web Application (PWA) with an optional native mobile wrapper. It supports four operational domains through a single sign-on screen with a role and mode selector:</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160"/>
            <w:shd w:val="clear" w:color="auto" w:fill="D9E2F3"/>
          </w:tcPr>
          <w:p>
            <w:pPr>
              <w:spacing w:after="40" w:before="40"/>
              <w:jc w:val="left"/>
            </w:pPr>
            <w:r/>
            <w:r>
              <w:rPr>
                <w:rFonts w:ascii="Calibri" w:hAnsi="Calibri"/>
                <w:b/>
                <w:color w:val="1A2233"/>
                <w:sz w:val="18"/>
              </w:rPr>
              <w:t>Domain / mode</w:t>
            </w:r>
          </w:p>
        </w:tc>
        <w:tc>
          <w:tcPr>
            <w:tcW w:type="dxa" w:w="3312"/>
            <w:shd w:val="clear" w:color="auto" w:fill="D9E2F3"/>
          </w:tcPr>
          <w:p>
            <w:pPr>
              <w:spacing w:after="40" w:before="40"/>
              <w:jc w:val="left"/>
            </w:pPr>
            <w:r/>
            <w:r>
              <w:rPr>
                <w:rFonts w:ascii="Calibri" w:hAnsi="Calibri"/>
                <w:b/>
                <w:color w:val="1A2233"/>
                <w:sz w:val="18"/>
              </w:rPr>
              <w:t>Primary users</w:t>
            </w:r>
          </w:p>
        </w:tc>
        <w:tc>
          <w:tcPr>
            <w:tcW w:type="dxa" w:w="3600"/>
            <w:shd w:val="clear" w:color="auto" w:fill="D9E2F3"/>
          </w:tcPr>
          <w:p>
            <w:pPr>
              <w:spacing w:after="40" w:before="40"/>
              <w:jc w:val="left"/>
            </w:pPr>
            <w:r/>
            <w:r>
              <w:rPr>
                <w:rFonts w:ascii="Calibri" w:hAnsi="Calibri"/>
                <w:b/>
                <w:color w:val="1A2233"/>
                <w:sz w:val="18"/>
              </w:rPr>
              <w:t>Function</w:t>
            </w:r>
          </w:p>
        </w:tc>
      </w:tr>
      <w:tr>
        <w:tc>
          <w:tcPr>
            <w:tcW w:type="dxa" w:w="2160"/>
          </w:tcPr>
          <w:p>
            <w:pPr>
              <w:spacing w:after="40" w:before="40"/>
              <w:jc w:val="left"/>
            </w:pPr>
            <w:r/>
            <w:r>
              <w:rPr>
                <w:rFonts w:ascii="Calibri" w:hAnsi="Calibri"/>
                <w:b w:val="0"/>
                <w:color w:val="1A2233"/>
                <w:sz w:val="18"/>
              </w:rPr>
              <w:t>Sales (Champions)</w:t>
            </w:r>
          </w:p>
        </w:tc>
        <w:tc>
          <w:tcPr>
            <w:tcW w:type="dxa" w:w="3312"/>
          </w:tcPr>
          <w:p>
            <w:pPr>
              <w:spacing w:after="40" w:before="40"/>
              <w:jc w:val="left"/>
            </w:pPr>
            <w:r/>
            <w:r>
              <w:rPr>
                <w:rFonts w:ascii="Calibri" w:hAnsi="Calibri"/>
                <w:b w:val="0"/>
                <w:color w:val="1A2233"/>
                <w:sz w:val="18"/>
              </w:rPr>
              <w:t>Sales executives, DSEs, zonal managers, HQ</w:t>
            </w:r>
          </w:p>
        </w:tc>
        <w:tc>
          <w:tcPr>
            <w:tcW w:type="dxa" w:w="3600"/>
          </w:tcPr>
          <w:p>
            <w:pPr>
              <w:spacing w:after="40" w:before="40"/>
              <w:jc w:val="left"/>
            </w:pPr>
            <w:r/>
            <w:r>
              <w:rPr>
                <w:rFonts w:ascii="Calibri" w:hAnsi="Calibri"/>
                <w:b w:val="0"/>
                <w:color w:val="1A2233"/>
                <w:sz w:val="18"/>
              </w:rPr>
              <w:t>Field sales activity capture, check-in/out, programmes, reporting and league tables.</w:t>
            </w:r>
          </w:p>
        </w:tc>
      </w:tr>
      <w:tr>
        <w:tc>
          <w:tcPr>
            <w:tcW w:type="dxa" w:w="2160"/>
            <w:shd w:val="clear" w:color="auto" w:fill="F2F5FB"/>
          </w:tcPr>
          <w:p>
            <w:pPr>
              <w:spacing w:after="40" w:before="40"/>
              <w:jc w:val="left"/>
            </w:pPr>
            <w:r/>
            <w:r>
              <w:rPr>
                <w:rFonts w:ascii="Calibri" w:hAnsi="Calibri"/>
                <w:b w:val="0"/>
                <w:color w:val="1A2233"/>
                <w:sz w:val="18"/>
              </w:rPr>
              <w:t>HBB (Home Broadband)</w:t>
            </w:r>
          </w:p>
        </w:tc>
        <w:tc>
          <w:tcPr>
            <w:tcW w:type="dxa" w:w="3312"/>
            <w:shd w:val="clear" w:color="auto" w:fill="F2F5FB"/>
          </w:tcPr>
          <w:p>
            <w:pPr>
              <w:spacing w:after="40" w:before="40"/>
              <w:jc w:val="left"/>
            </w:pPr>
            <w:r/>
            <w:r>
              <w:rPr>
                <w:rFonts w:ascii="Calibri" w:hAnsi="Calibri"/>
                <w:b w:val="0"/>
                <w:color w:val="1A2233"/>
                <w:sz w:val="18"/>
              </w:rPr>
              <w:t>Installers, supervisors, CX, warehouse, HQ</w:t>
            </w:r>
          </w:p>
        </w:tc>
        <w:tc>
          <w:tcPr>
            <w:tcW w:type="dxa" w:w="3600"/>
            <w:shd w:val="clear" w:color="auto" w:fill="F2F5FB"/>
          </w:tcPr>
          <w:p>
            <w:pPr>
              <w:spacing w:after="40" w:before="40"/>
              <w:jc w:val="left"/>
            </w:pPr>
            <w:r/>
            <w:r>
              <w:rPr>
                <w:rFonts w:ascii="Calibri" w:hAnsi="Calibri"/>
                <w:b w:val="0"/>
                <w:color w:val="1A2233"/>
                <w:sz w:val="18"/>
              </w:rPr>
              <w:t>Installation job allocation, field capture, supervision and HQ dashboards.</w:t>
            </w:r>
          </w:p>
        </w:tc>
      </w:tr>
      <w:tr>
        <w:tc>
          <w:tcPr>
            <w:tcW w:type="dxa" w:w="2160"/>
          </w:tcPr>
          <w:p>
            <w:pPr>
              <w:spacing w:after="40" w:before="40"/>
              <w:jc w:val="left"/>
            </w:pPr>
            <w:r/>
            <w:r>
              <w:rPr>
                <w:rFonts w:ascii="Calibri" w:hAnsi="Calibri"/>
                <w:b w:val="0"/>
                <w:color w:val="1A2233"/>
                <w:sz w:val="18"/>
              </w:rPr>
              <w:t>Airtel Money</w:t>
            </w:r>
          </w:p>
        </w:tc>
        <w:tc>
          <w:tcPr>
            <w:tcW w:type="dxa" w:w="3312"/>
          </w:tcPr>
          <w:p>
            <w:pPr>
              <w:spacing w:after="40" w:before="40"/>
              <w:jc w:val="left"/>
            </w:pPr>
            <w:r/>
            <w:r>
              <w:rPr>
                <w:rFonts w:ascii="Calibri" w:hAnsi="Calibri"/>
                <w:b w:val="0"/>
                <w:color w:val="1A2233"/>
                <w:sz w:val="18"/>
              </w:rPr>
              <w:t>Airtel Money agents and admin</w:t>
            </w:r>
          </w:p>
        </w:tc>
        <w:tc>
          <w:tcPr>
            <w:tcW w:type="dxa" w:w="3600"/>
          </w:tcPr>
          <w:p>
            <w:pPr>
              <w:spacing w:after="40" w:before="40"/>
              <w:jc w:val="left"/>
            </w:pPr>
            <w:r/>
            <w:r>
              <w:rPr>
                <w:rFonts w:ascii="Calibri" w:hAnsi="Calibri"/>
                <w:b w:val="0"/>
                <w:color w:val="1A2233"/>
                <w:sz w:val="18"/>
              </w:rPr>
              <w:t>Agent-facing records and administration.</w:t>
            </w:r>
          </w:p>
        </w:tc>
      </w:tr>
      <w:tr>
        <w:tc>
          <w:tcPr>
            <w:tcW w:type="dxa" w:w="2160"/>
            <w:shd w:val="clear" w:color="auto" w:fill="F2F5FB"/>
          </w:tcPr>
          <w:p>
            <w:pPr>
              <w:spacing w:after="40" w:before="40"/>
              <w:jc w:val="left"/>
            </w:pPr>
            <w:r/>
            <w:r>
              <w:rPr>
                <w:rFonts w:ascii="Calibri" w:hAnsi="Calibri"/>
                <w:b w:val="0"/>
                <w:color w:val="1A2233"/>
                <w:sz w:val="18"/>
              </w:rPr>
              <w:t>ODU Retrieval</w:t>
            </w:r>
          </w:p>
        </w:tc>
        <w:tc>
          <w:tcPr>
            <w:tcW w:type="dxa" w:w="3312"/>
            <w:shd w:val="clear" w:color="auto" w:fill="F2F5FB"/>
          </w:tcPr>
          <w:p>
            <w:pPr>
              <w:spacing w:after="40" w:before="40"/>
              <w:jc w:val="left"/>
            </w:pPr>
            <w:r/>
            <w:r>
              <w:rPr>
                <w:rFonts w:ascii="Calibri" w:hAnsi="Calibri"/>
                <w:b w:val="0"/>
                <w:color w:val="1A2233"/>
                <w:sz w:val="18"/>
              </w:rPr>
              <w:t>HQ, CX, installers, warehouse</w:t>
            </w:r>
          </w:p>
        </w:tc>
        <w:tc>
          <w:tcPr>
            <w:tcW w:type="dxa" w:w="3600"/>
            <w:shd w:val="clear" w:color="auto" w:fill="F2F5FB"/>
          </w:tcPr>
          <w:p>
            <w:pPr>
              <w:spacing w:after="40" w:before="40"/>
              <w:jc w:val="left"/>
            </w:pPr>
            <w:r/>
            <w:r>
              <w:rPr>
                <w:rFonts w:ascii="Calibri" w:hAnsi="Calibri"/>
                <w:b w:val="0"/>
                <w:color w:val="1A2233"/>
                <w:sz w:val="18"/>
              </w:rPr>
              <w:t>Recovery of Outdoor Units from ~19,000 inactive HBB customers: upload, call intake, field collection, warehouse validation, reconciliation and payment (KSh 600 per unit).</w:t>
            </w:r>
          </w:p>
        </w:tc>
      </w:tr>
    </w:tbl>
    <w:p>
      <w:pPr>
        <w:spacing w:after="40"/>
      </w:pPr>
    </w:p>
    <w:p>
      <w:pPr>
        <w:pStyle w:val="Heading2"/>
      </w:pPr>
      <w:r>
        <w:t>3.2 Data held</w:t>
      </w:r>
    </w:p>
    <w:p>
      <w:pPr>
        <w:pStyle w:val="ListBullet"/>
        <w:spacing w:after="60"/>
      </w:pPr>
      <w:r>
        <w:rPr>
          <w:color w:val="1A2233"/>
          <w:sz w:val="21"/>
        </w:rPr>
        <w:t>Customer personally identifiable information (PII): names, phone numbers, locations of HBB and inactive customers.</w:t>
      </w:r>
    </w:p>
    <w:p>
      <w:pPr>
        <w:pStyle w:val="ListBullet"/>
        <w:spacing w:after="60"/>
      </w:pPr>
      <w:r>
        <w:rPr>
          <w:color w:val="1A2233"/>
          <w:sz w:val="21"/>
        </w:rPr>
        <w:t>Field staff records and role based access data (phone number plus PIN credentials, session tokens).</w:t>
      </w:r>
    </w:p>
    <w:p>
      <w:pPr>
        <w:pStyle w:val="ListBullet"/>
        <w:spacing w:after="60"/>
      </w:pPr>
      <w:r>
        <w:rPr>
          <w:color w:val="1A2233"/>
          <w:sz w:val="21"/>
        </w:rPr>
        <w:t>Operational records: installations, check-ins, GPS location traces, device photographs and barcodes / IMEIs.</w:t>
      </w:r>
    </w:p>
    <w:p>
      <w:pPr>
        <w:pStyle w:val="ListBullet"/>
        <w:spacing w:after="60"/>
      </w:pPr>
      <w:r>
        <w:rPr>
          <w:color w:val="1A2233"/>
          <w:sz w:val="21"/>
        </w:rPr>
        <w:t>Payment-relevant records for ODU retrieval (payable units, reconciliation batches, KSh amounts, CSV payment exports).</w:t>
      </w:r>
    </w:p>
    <w:tbl>
      <w:tblPr>
        <w:tblStyle w:val="TableGrid"/>
        <w:tblW w:type="auto" w:w="0"/>
        <w:tblLook w:firstColumn="1" w:firstRow="1" w:lastColumn="0" w:lastRow="0" w:noHBand="0" w:noVBand="1" w:val="04A0"/>
      </w:tblPr>
      <w:tblGrid>
        <w:gridCol w:w="9317"/>
      </w:tblGrid>
      <w:tr>
        <w:tc>
          <w:tcPr>
            <w:tcW w:type="dxa" w:w="9317"/>
            <w:shd w:val="clear" w:color="auto" w:fill="FDECEC"/>
          </w:tcPr>
          <w:p>
            <w:pPr>
              <w:spacing w:after="40" w:before="40"/>
              <w:jc w:val="left"/>
            </w:pPr>
            <w:r/>
            <w:r>
              <w:rPr>
                <w:rFonts w:ascii="Calibri" w:hAnsi="Calibri"/>
                <w:b w:val="0"/>
                <w:color w:val="1A2233"/>
                <w:sz w:val="19"/>
              </w:rPr>
              <w:t>Because the platform holds customer PII and payment-relevant records, policy Section 6 requires that it not be operated as Shadow IT without proper controls (encryption, access control, audit trails and backup per AAISP). Section 10 of this document sets out how the proposed architecture meets that requirement.</w:t>
            </w:r>
          </w:p>
        </w:tc>
      </w:tr>
    </w:tbl>
    <w:p>
      <w:pPr>
        <w:spacing w:after="40"/>
      </w:pPr>
    </w:p>
    <w:p>
      <w:pPr>
        <w:pStyle w:val="Heading1"/>
      </w:pPr>
      <w:r>
        <w:t>4. Shadow IT Justification (Policy Section 6)</w:t>
      </w:r>
    </w:p>
    <w:p>
      <w:pPr>
        <w:pStyle w:val="Heading2"/>
      </w:pPr>
      <w:r>
        <w:t>4.1 Business need (what is needed)</w:t>
      </w:r>
    </w:p>
    <w:p>
      <w:pPr>
        <w:spacing w:after="120" w:before="0"/>
        <w:jc w:val="left"/>
      </w:pPr>
      <w:r>
        <w:rPr>
          <w:b w:val="0"/>
          <w:i w:val="0"/>
          <w:color w:val="1A2233"/>
          <w:sz w:val="21"/>
        </w:rPr>
        <w:t>Airtel Kenya's sales and HBB operations require a mobile-first tool to direct and measure a large distributed field force (roughly 5,000 to 6,000 named users across champions, DSEs, installers, supervisors and agents) and, most recently, to run the ODU retrieval programme that recovers leased equipment worth material value from about 19,000 inactive customers. No existing centrally provided Airtel application delivered this combination of field capture, geo-allocation, barcode capture and reconciliation within the required timeframe.</w:t>
      </w:r>
    </w:p>
    <w:p>
      <w:pPr>
        <w:pStyle w:val="Heading2"/>
      </w:pPr>
      <w:r>
        <w:t>4.2 Why the alternative was used (and why it must now be regularised)</w:t>
      </w:r>
    </w:p>
    <w:p>
      <w:pPr>
        <w:spacing w:after="120" w:before="0"/>
        <w:jc w:val="left"/>
      </w:pPr>
      <w:r>
        <w:rPr>
          <w:b w:val="0"/>
          <w:i w:val="0"/>
          <w:color w:val="1A2233"/>
          <w:sz w:val="21"/>
        </w:rPr>
        <w:t>The application was delivered quickly on SaaS platforms to meet an immediate operational need. That speed came at the cost of central oversight: the solution now runs outside Airtel IT, on external infrastructure, holding customer PII and payment data. This is precisely the risk the Shadow IT Policy addresses. The business intent is not to retain an unsanctioned tool but to bring a proven, in-use application under Group IT control on Airtel-managed infrastructure.</w:t>
      </w:r>
    </w:p>
    <w:p>
      <w:pPr>
        <w:pStyle w:val="Heading2"/>
      </w:pPr>
      <w:r>
        <w:t>4.3 How it will be used</w:t>
      </w:r>
    </w:p>
    <w:p>
      <w:pPr>
        <w:spacing w:after="120" w:before="0"/>
        <w:jc w:val="left"/>
      </w:pPr>
      <w:r>
        <w:rPr>
          <w:b w:val="0"/>
          <w:i w:val="0"/>
          <w:color w:val="1A2233"/>
          <w:sz w:val="21"/>
        </w:rPr>
        <w:t>The platform will continue to serve the Sales, HBB, Airtel Money and ODU workflows for Airtel Kenya field and office staff. Access is role based (see Appendix B). After migration it will be reached through the standard Airtel ingress (WAF and load balancer), with all data resident inside the Airtel estate.</w:t>
      </w:r>
    </w:p>
    <w:p>
      <w:pPr>
        <w:pStyle w:val="Heading2"/>
      </w:pPr>
      <w:r>
        <w:t>4.4 Operational requirements (scoped in advance, per Section 6)</w:t>
      </w:r>
    </w:p>
    <w:tbl>
      <w:tblPr>
        <w:tblStyle w:val="TableGrid"/>
        <w:tblW w:type="auto" w:w="0"/>
        <w:jc w:val="center"/>
        <w:tblLayout w:type="fixed"/>
        <w:tblLook w:firstColumn="1" w:firstRow="1" w:lastColumn="0" w:lastRow="0" w:noHBand="0" w:noVBand="1" w:val="04A0"/>
      </w:tblPr>
      <w:tblGrid>
        <w:gridCol w:w="4658"/>
        <w:gridCol w:w="4658"/>
      </w:tblGrid>
      <w:tr>
        <w:tc>
          <w:tcPr>
            <w:tcW w:type="dxa" w:w="2736"/>
            <w:shd w:val="clear" w:color="auto" w:fill="D9E2F3"/>
          </w:tcPr>
          <w:p>
            <w:pPr>
              <w:spacing w:after="40" w:before="40"/>
              <w:jc w:val="left"/>
            </w:pPr>
            <w:r/>
            <w:r>
              <w:rPr>
                <w:rFonts w:ascii="Calibri" w:hAnsi="Calibri"/>
                <w:b/>
                <w:color w:val="1A2233"/>
                <w:sz w:val="18"/>
              </w:rPr>
              <w:t>Item</w:t>
            </w:r>
          </w:p>
        </w:tc>
        <w:tc>
          <w:tcPr>
            <w:tcW w:type="dxa" w:w="6336"/>
            <w:shd w:val="clear" w:color="auto" w:fill="D9E2F3"/>
          </w:tcPr>
          <w:p>
            <w:pPr>
              <w:spacing w:after="40" w:before="40"/>
              <w:jc w:val="left"/>
            </w:pPr>
            <w:r/>
            <w:r>
              <w:rPr>
                <w:rFonts w:ascii="Calibri" w:hAnsi="Calibri"/>
                <w:b/>
                <w:color w:val="1A2233"/>
                <w:sz w:val="18"/>
              </w:rPr>
              <w:t>Detail</w:t>
            </w:r>
          </w:p>
        </w:tc>
      </w:tr>
      <w:tr>
        <w:tc>
          <w:tcPr>
            <w:tcW w:type="dxa" w:w="2736"/>
          </w:tcPr>
          <w:p>
            <w:pPr>
              <w:spacing w:after="40" w:before="40"/>
              <w:jc w:val="left"/>
            </w:pPr>
            <w:r/>
            <w:r>
              <w:rPr>
                <w:rFonts w:ascii="Calibri" w:hAnsi="Calibri"/>
                <w:b w:val="0"/>
                <w:color w:val="1A2233"/>
                <w:sz w:val="18"/>
              </w:rPr>
              <w:t>Who maintains the process</w:t>
            </w:r>
          </w:p>
        </w:tc>
        <w:tc>
          <w:tcPr>
            <w:tcW w:type="dxa" w:w="6336"/>
          </w:tcPr>
          <w:p>
            <w:pPr>
              <w:spacing w:after="40" w:before="40"/>
              <w:jc w:val="left"/>
            </w:pPr>
            <w:r/>
            <w:r>
              <w:rPr>
                <w:rFonts w:ascii="Calibri" w:hAnsi="Calibri"/>
                <w:b w:val="0"/>
                <w:color w:val="1A2233"/>
                <w:sz w:val="18"/>
              </w:rPr>
              <w:t>Opco ITD application support, with the incumbent development team transitioned to a managed support contract under IT oversight. Database and OS administration by Opco infrastructure team.</w:t>
            </w:r>
          </w:p>
        </w:tc>
      </w:tr>
      <w:tr>
        <w:tc>
          <w:tcPr>
            <w:tcW w:type="dxa" w:w="2736"/>
            <w:shd w:val="clear" w:color="auto" w:fill="F2F5FB"/>
          </w:tcPr>
          <w:p>
            <w:pPr>
              <w:spacing w:after="40" w:before="40"/>
              <w:jc w:val="left"/>
            </w:pPr>
            <w:r/>
            <w:r>
              <w:rPr>
                <w:rFonts w:ascii="Calibri" w:hAnsi="Calibri"/>
                <w:b w:val="0"/>
                <w:color w:val="1A2233"/>
                <w:sz w:val="18"/>
              </w:rPr>
              <w:t>Access levels</w:t>
            </w:r>
          </w:p>
        </w:tc>
        <w:tc>
          <w:tcPr>
            <w:tcW w:type="dxa" w:w="6336"/>
            <w:shd w:val="clear" w:color="auto" w:fill="F2F5FB"/>
          </w:tcPr>
          <w:p>
            <w:pPr>
              <w:spacing w:after="40" w:before="40"/>
              <w:jc w:val="left"/>
            </w:pPr>
            <w:r/>
            <w:r>
              <w:rPr>
                <w:rFonts w:ascii="Calibri" w:hAnsi="Calibri"/>
                <w:b w:val="0"/>
                <w:color w:val="1A2233"/>
                <w:sz w:val="18"/>
              </w:rPr>
              <w:t>Role based access (RBAC) enforced in-application; infrastructure access restricted to named administrators via bastion with MFA; least privilege on DB and storage.</w:t>
            </w:r>
          </w:p>
        </w:tc>
      </w:tr>
      <w:tr>
        <w:tc>
          <w:tcPr>
            <w:tcW w:type="dxa" w:w="2736"/>
          </w:tcPr>
          <w:p>
            <w:pPr>
              <w:spacing w:after="40" w:before="40"/>
              <w:jc w:val="left"/>
            </w:pPr>
            <w:r/>
            <w:r>
              <w:rPr>
                <w:rFonts w:ascii="Calibri" w:hAnsi="Calibri"/>
                <w:b w:val="0"/>
                <w:color w:val="1A2233"/>
                <w:sz w:val="18"/>
              </w:rPr>
              <w:t>Support model</w:t>
            </w:r>
          </w:p>
        </w:tc>
        <w:tc>
          <w:tcPr>
            <w:tcW w:type="dxa" w:w="6336"/>
          </w:tcPr>
          <w:p>
            <w:pPr>
              <w:spacing w:after="40" w:before="40"/>
              <w:jc w:val="left"/>
            </w:pPr>
            <w:r/>
            <w:r>
              <w:rPr>
                <w:rFonts w:ascii="Calibri" w:hAnsi="Calibri"/>
                <w:b w:val="0"/>
                <w:color w:val="1A2233"/>
                <w:sz w:val="18"/>
              </w:rPr>
              <w:t>Business hours application support with on-call for Severity 1; standard Airtel change, incident and patch management.</w:t>
            </w:r>
          </w:p>
        </w:tc>
      </w:tr>
      <w:tr>
        <w:tc>
          <w:tcPr>
            <w:tcW w:type="dxa" w:w="2736"/>
            <w:shd w:val="clear" w:color="auto" w:fill="F2F5FB"/>
          </w:tcPr>
          <w:p>
            <w:pPr>
              <w:spacing w:after="40" w:before="40"/>
              <w:jc w:val="left"/>
            </w:pPr>
            <w:r/>
            <w:r>
              <w:rPr>
                <w:rFonts w:ascii="Calibri" w:hAnsi="Calibri"/>
                <w:b w:val="0"/>
                <w:color w:val="1A2233"/>
                <w:sz w:val="18"/>
              </w:rPr>
              <w:t>Required duration</w:t>
            </w:r>
          </w:p>
        </w:tc>
        <w:tc>
          <w:tcPr>
            <w:tcW w:type="dxa" w:w="6336"/>
            <w:shd w:val="clear" w:color="auto" w:fill="F2F5FB"/>
          </w:tcPr>
          <w:p>
            <w:pPr>
              <w:spacing w:after="40" w:before="40"/>
              <w:jc w:val="left"/>
            </w:pPr>
            <w:r/>
            <w:r>
              <w:rPr>
                <w:rFonts w:ascii="Calibri" w:hAnsi="Calibri"/>
                <w:b w:val="0"/>
                <w:color w:val="1A2233"/>
                <w:sz w:val="18"/>
              </w:rPr>
              <w:t>Long term (greater than one year). Per Section 6 this makes a centralised, IT-managed solution mandatory rather than a temporary exception.</w:t>
            </w:r>
          </w:p>
        </w:tc>
      </w:tr>
      <w:tr>
        <w:tc>
          <w:tcPr>
            <w:tcW w:type="dxa" w:w="2736"/>
          </w:tcPr>
          <w:p>
            <w:pPr>
              <w:spacing w:after="40" w:before="40"/>
              <w:jc w:val="left"/>
            </w:pPr>
            <w:r/>
            <w:r>
              <w:rPr>
                <w:rFonts w:ascii="Calibri" w:hAnsi="Calibri"/>
                <w:b w:val="0"/>
                <w:color w:val="1A2233"/>
                <w:sz w:val="18"/>
              </w:rPr>
              <w:t>Data handling</w:t>
            </w:r>
          </w:p>
        </w:tc>
        <w:tc>
          <w:tcPr>
            <w:tcW w:type="dxa" w:w="6336"/>
          </w:tcPr>
          <w:p>
            <w:pPr>
              <w:spacing w:after="40" w:before="40"/>
              <w:jc w:val="left"/>
            </w:pPr>
            <w:r/>
            <w:r>
              <w:rPr>
                <w:rFonts w:ascii="Calibri" w:hAnsi="Calibri"/>
                <w:b w:val="0"/>
                <w:color w:val="1A2233"/>
                <w:sz w:val="18"/>
              </w:rPr>
              <w:t>Encryption in transit and at rest, audit trails, backup and password / PIN policy per AAISP (Section 10).</w:t>
            </w:r>
          </w:p>
        </w:tc>
      </w:tr>
    </w:tbl>
    <w:p>
      <w:pPr>
        <w:spacing w:after="40"/>
      </w:pPr>
    </w:p>
    <w:p>
      <w:pPr>
        <w:pStyle w:val="Heading1"/>
      </w:pPr>
      <w:r>
        <w:t>5. Existing (As-Is) Architecture</w:t>
      </w:r>
    </w:p>
    <w:p>
      <w:pPr>
        <w:pStyle w:val="Heading2"/>
      </w:pPr>
      <w:r>
        <w:t>5.1 Application architecture</w:t>
      </w:r>
    </w:p>
    <w:p>
      <w:pPr>
        <w:spacing w:after="120" w:before="0"/>
        <w:jc w:val="left"/>
      </w:pPr>
      <w:r>
        <w:rPr>
          <w:b w:val="0"/>
          <w:i w:val="0"/>
          <w:color w:val="1A2233"/>
          <w:sz w:val="21"/>
        </w:rPr>
        <w:t>The client is a React 18 and TypeScript single-page PWA built with Vite, wrapped for Android and iOS with Capacitor and updated over the air by Capgo. The browser client talks directly to a Supabase Cloud backend project. There is no Airtel-hosted middle tier: the browser holds the API key and calls the backend over HTTPS. Authentication is a custom phone-number plus PIN scheme with a session token issued by an edge function; Supabase's own GoTrue auth is present but unused.</w:t>
      </w:r>
    </w:p>
    <w:p>
      <w:pPr>
        <w:jc w:val="center"/>
      </w:pPr>
      <w:r>
        <w:drawing>
          <wp:inline xmlns:a="http://schemas.openxmlformats.org/drawingml/2006/main" xmlns:pic="http://schemas.openxmlformats.org/drawingml/2006/picture">
            <wp:extent cx="5669280" cy="3162967"/>
            <wp:docPr id="1" name="Picture 1"/>
            <wp:cNvGraphicFramePr>
              <a:graphicFrameLocks noChangeAspect="1"/>
            </wp:cNvGraphicFramePr>
            <a:graphic>
              <a:graphicData uri="http://schemas.openxmlformats.org/drawingml/2006/picture">
                <pic:pic>
                  <pic:nvPicPr>
                    <pic:cNvPr id="0" name="fig1_asis.png"/>
                    <pic:cNvPicPr/>
                  </pic:nvPicPr>
                  <pic:blipFill>
                    <a:blip r:embed="rId10"/>
                    <a:stretch>
                      <a:fillRect/>
                    </a:stretch>
                  </pic:blipFill>
                  <pic:spPr>
                    <a:xfrm>
                      <a:off x="0" y="0"/>
                      <a:ext cx="5669280" cy="3162967"/>
                    </a:xfrm>
                    <a:prstGeom prst="rect"/>
                  </pic:spPr>
                </pic:pic>
              </a:graphicData>
            </a:graphic>
          </wp:inline>
        </w:drawing>
      </w:r>
    </w:p>
    <w:p>
      <w:pPr>
        <w:spacing w:after="160"/>
        <w:jc w:val="center"/>
      </w:pPr>
      <w:r>
        <w:rPr>
          <w:i/>
          <w:color w:val="5A6B87"/>
          <w:sz w:val="17"/>
        </w:rPr>
        <w:t>Figure 1. Existing (as-is) architecture. The entire solution runs on external SaaS outside Airtel IT control.</w:t>
      </w:r>
    </w:p>
    <w:p>
      <w:pPr>
        <w:pStyle w:val="Heading2"/>
      </w:pPr>
      <w:r>
        <w:t>5.2 Network view and components</w:t>
      </w:r>
    </w:p>
    <w:p>
      <w:pPr>
        <w:spacing w:after="120" w:before="0"/>
        <w:jc w:val="left"/>
      </w:pPr>
      <w:r>
        <w:rPr>
          <w:b w:val="0"/>
          <w:i w:val="0"/>
          <w:color w:val="1A2233"/>
          <w:sz w:val="21"/>
        </w:rPr>
        <w:t>All components other than the end-user device are external, Internet-reachable SaaS. The logical components are:</w:t>
      </w:r>
    </w:p>
    <w:p>
      <w:pPr>
        <w:pStyle w:val="ListBullet"/>
        <w:spacing w:after="60"/>
      </w:pPr>
      <w:r>
        <w:rPr>
          <w:color w:val="1A2233"/>
          <w:sz w:val="21"/>
        </w:rPr>
        <w:t>Vercel CDN / Edge: static hosting of the compiled PWA (dist/), global CDN delivery.</w:t>
      </w:r>
    </w:p>
    <w:p>
      <w:pPr>
        <w:pStyle w:val="ListBullet"/>
        <w:spacing w:after="60"/>
      </w:pPr>
      <w:r>
        <w:rPr>
          <w:color w:val="1A2233"/>
          <w:sz w:val="21"/>
        </w:rPr>
        <w:t>Supabase Cloud (project xspogpfohjmkykfjadhk): the backend, comprising the components below.</w:t>
      </w:r>
    </w:p>
    <w:p>
      <w:pPr>
        <w:pStyle w:val="ListBullet"/>
        <w:spacing w:after="60"/>
      </w:pPr>
      <w:r>
        <w:rPr>
          <w:color w:val="1A2233"/>
          <w:sz w:val="21"/>
        </w:rPr>
        <w:t>Edge Functions: about 20 Deno-runtime functions using the Hono framework (auth-login, se-login, hbb-*, service-requests, make-server-28f2f653 and others), all currently running with verify_jwt = false.</w:t>
      </w:r>
    </w:p>
    <w:p>
      <w:pPr>
        <w:pStyle w:val="ListBullet"/>
        <w:spacing w:after="60"/>
      </w:pPr>
      <w:r>
        <w:rPr>
          <w:color w:val="1A2233"/>
          <w:sz w:val="21"/>
        </w:rPr>
        <w:t>PostgREST: an automatically generated REST API over PostgreSQL, called by the browser with anon and service-role keys.</w:t>
      </w:r>
    </w:p>
    <w:p>
      <w:pPr>
        <w:pStyle w:val="ListBullet"/>
        <w:spacing w:after="60"/>
      </w:pPr>
      <w:r>
        <w:rPr>
          <w:color w:val="1A2233"/>
          <w:sz w:val="21"/>
        </w:rPr>
        <w:t>PostgreSQL: a single managed database node with Row Level Security (RLS), SECURITY DEFINER stored procedures and pg_cron scheduled jobs.</w:t>
      </w:r>
    </w:p>
    <w:p>
      <w:pPr>
        <w:pStyle w:val="ListBullet"/>
        <w:spacing w:after="60"/>
      </w:pPr>
      <w:r>
        <w:rPr>
          <w:color w:val="1A2233"/>
          <w:sz w:val="21"/>
        </w:rPr>
        <w:t>Realtime: a WebSocket (WSS) channel for live updates.</w:t>
      </w:r>
    </w:p>
    <w:p>
      <w:pPr>
        <w:pStyle w:val="ListBullet"/>
        <w:spacing w:after="60"/>
      </w:pPr>
      <w:r>
        <w:rPr>
          <w:color w:val="1A2233"/>
          <w:sz w:val="21"/>
        </w:rPr>
        <w:t>Supabase Storage: object buckets for ODU documents and photographs.</w:t>
      </w:r>
    </w:p>
    <w:p>
      <w:pPr>
        <w:pStyle w:val="ListBullet"/>
        <w:spacing w:after="60"/>
      </w:pPr>
      <w:r>
        <w:rPr>
          <w:color w:val="1A2233"/>
          <w:sz w:val="21"/>
        </w:rPr>
        <w:t>Capgo: an external over-the-air update service that pushes JavaScript bundles to the installed native app.</w:t>
      </w:r>
    </w:p>
    <w:p>
      <w:pPr>
        <w:pStyle w:val="ListBullet"/>
        <w:spacing w:after="60"/>
      </w:pPr>
      <w:r>
        <w:rPr>
          <w:color w:val="1A2233"/>
          <w:sz w:val="21"/>
        </w:rPr>
        <w:t>Browser-direct third-party endpoints: OpenStreetMap tiles and cdnjs (Leaflet maps), WhatsApp click-to-chat (wa.me).</w:t>
      </w:r>
    </w:p>
    <w:p>
      <w:pPr>
        <w:pStyle w:val="Heading2"/>
      </w:pPr>
      <w:r>
        <w:t>5.3 Internal integration points</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c>
          <w:tcPr>
            <w:tcW w:type="dxa" w:w="2160"/>
            <w:shd w:val="clear" w:color="auto" w:fill="D9E2F3"/>
          </w:tcPr>
          <w:p>
            <w:pPr>
              <w:spacing w:after="40" w:before="40"/>
              <w:jc w:val="left"/>
            </w:pPr>
            <w:r/>
            <w:r>
              <w:rPr>
                <w:rFonts w:ascii="Calibri" w:hAnsi="Calibri"/>
                <w:b/>
                <w:color w:val="1A2233"/>
                <w:sz w:val="18"/>
              </w:rPr>
              <w:t>From</w:t>
            </w:r>
          </w:p>
        </w:tc>
        <w:tc>
          <w:tcPr>
            <w:tcW w:type="dxa" w:w="2448"/>
            <w:shd w:val="clear" w:color="auto" w:fill="D9E2F3"/>
          </w:tcPr>
          <w:p>
            <w:pPr>
              <w:spacing w:after="40" w:before="40"/>
              <w:jc w:val="left"/>
            </w:pPr>
            <w:r/>
            <w:r>
              <w:rPr>
                <w:rFonts w:ascii="Calibri" w:hAnsi="Calibri"/>
                <w:b/>
                <w:color w:val="1A2233"/>
                <w:sz w:val="18"/>
              </w:rPr>
              <w:t>To</w:t>
            </w:r>
          </w:p>
        </w:tc>
        <w:tc>
          <w:tcPr>
            <w:tcW w:type="dxa" w:w="2016"/>
            <w:shd w:val="clear" w:color="auto" w:fill="D9E2F3"/>
          </w:tcPr>
          <w:p>
            <w:pPr>
              <w:spacing w:after="40" w:before="40"/>
              <w:jc w:val="left"/>
            </w:pPr>
            <w:r/>
            <w:r>
              <w:rPr>
                <w:rFonts w:ascii="Calibri" w:hAnsi="Calibri"/>
                <w:b/>
                <w:color w:val="1A2233"/>
                <w:sz w:val="18"/>
              </w:rPr>
              <w:t>Protocol</w:t>
            </w:r>
          </w:p>
        </w:tc>
        <w:tc>
          <w:tcPr>
            <w:tcW w:type="dxa" w:w="2448"/>
            <w:shd w:val="clear" w:color="auto" w:fill="D9E2F3"/>
          </w:tcPr>
          <w:p>
            <w:pPr>
              <w:spacing w:after="40" w:before="40"/>
              <w:jc w:val="left"/>
            </w:pPr>
            <w:r/>
            <w:r>
              <w:rPr>
                <w:rFonts w:ascii="Calibri" w:hAnsi="Calibri"/>
                <w:b/>
                <w:color w:val="1A2233"/>
                <w:sz w:val="18"/>
              </w:rPr>
              <w:t>Purpose</w:t>
            </w:r>
          </w:p>
        </w:tc>
      </w:tr>
      <w:tr>
        <w:tc>
          <w:tcPr>
            <w:tcW w:type="dxa" w:w="2160"/>
          </w:tcPr>
          <w:p>
            <w:pPr>
              <w:spacing w:after="40" w:before="40"/>
              <w:jc w:val="left"/>
            </w:pPr>
            <w:r/>
            <w:r>
              <w:rPr>
                <w:rFonts w:ascii="Calibri" w:hAnsi="Calibri"/>
                <w:b w:val="0"/>
                <w:color w:val="1A2233"/>
                <w:sz w:val="18"/>
              </w:rPr>
              <w:t>Edge Functions</w:t>
            </w:r>
          </w:p>
        </w:tc>
        <w:tc>
          <w:tcPr>
            <w:tcW w:type="dxa" w:w="2448"/>
          </w:tcPr>
          <w:p>
            <w:pPr>
              <w:spacing w:after="40" w:before="40"/>
              <w:jc w:val="left"/>
            </w:pPr>
            <w:r/>
            <w:r>
              <w:rPr>
                <w:rFonts w:ascii="Calibri" w:hAnsi="Calibri"/>
                <w:b w:val="0"/>
                <w:color w:val="1A2233"/>
                <w:sz w:val="18"/>
              </w:rPr>
              <w:t>PostgreSQL / PostgREST</w:t>
            </w:r>
          </w:p>
        </w:tc>
        <w:tc>
          <w:tcPr>
            <w:tcW w:type="dxa" w:w="2016"/>
          </w:tcPr>
          <w:p>
            <w:pPr>
              <w:spacing w:after="40" w:before="40"/>
              <w:jc w:val="left"/>
            </w:pPr>
            <w:r/>
            <w:r>
              <w:rPr>
                <w:rFonts w:ascii="Calibri" w:hAnsi="Calibri"/>
                <w:b w:val="0"/>
                <w:color w:val="1A2233"/>
                <w:sz w:val="18"/>
              </w:rPr>
              <w:t>SQL / REST</w:t>
            </w:r>
          </w:p>
        </w:tc>
        <w:tc>
          <w:tcPr>
            <w:tcW w:type="dxa" w:w="2448"/>
          </w:tcPr>
          <w:p>
            <w:pPr>
              <w:spacing w:after="40" w:before="40"/>
              <w:jc w:val="left"/>
            </w:pPr>
            <w:r/>
            <w:r>
              <w:rPr>
                <w:rFonts w:ascii="Calibri" w:hAnsi="Calibri"/>
                <w:b w:val="0"/>
                <w:color w:val="1A2233"/>
                <w:sz w:val="18"/>
              </w:rPr>
              <w:t>Business logic, RPC calls, reads and writes.</w:t>
            </w:r>
          </w:p>
        </w:tc>
      </w:tr>
      <w:tr>
        <w:tc>
          <w:tcPr>
            <w:tcW w:type="dxa" w:w="2160"/>
            <w:shd w:val="clear" w:color="auto" w:fill="F2F5FB"/>
          </w:tcPr>
          <w:p>
            <w:pPr>
              <w:spacing w:after="40" w:before="40"/>
              <w:jc w:val="left"/>
            </w:pPr>
            <w:r/>
            <w:r>
              <w:rPr>
                <w:rFonts w:ascii="Calibri" w:hAnsi="Calibri"/>
                <w:b w:val="0"/>
                <w:color w:val="1A2233"/>
                <w:sz w:val="18"/>
              </w:rPr>
              <w:t>Browser client</w:t>
            </w:r>
          </w:p>
        </w:tc>
        <w:tc>
          <w:tcPr>
            <w:tcW w:type="dxa" w:w="2448"/>
            <w:shd w:val="clear" w:color="auto" w:fill="F2F5FB"/>
          </w:tcPr>
          <w:p>
            <w:pPr>
              <w:spacing w:after="40" w:before="40"/>
              <w:jc w:val="left"/>
            </w:pPr>
            <w:r/>
            <w:r>
              <w:rPr>
                <w:rFonts w:ascii="Calibri" w:hAnsi="Calibri"/>
                <w:b w:val="0"/>
                <w:color w:val="1A2233"/>
                <w:sz w:val="18"/>
              </w:rPr>
              <w:t>PostgREST</w:t>
            </w:r>
          </w:p>
        </w:tc>
        <w:tc>
          <w:tcPr>
            <w:tcW w:type="dxa" w:w="2016"/>
            <w:shd w:val="clear" w:color="auto" w:fill="F2F5FB"/>
          </w:tcPr>
          <w:p>
            <w:pPr>
              <w:spacing w:after="40" w:before="40"/>
              <w:jc w:val="left"/>
            </w:pPr>
            <w:r/>
            <w:r>
              <w:rPr>
                <w:rFonts w:ascii="Calibri" w:hAnsi="Calibri"/>
                <w:b w:val="0"/>
                <w:color w:val="1A2233"/>
                <w:sz w:val="18"/>
              </w:rPr>
              <w:t>HTTPS / REST</w:t>
            </w:r>
          </w:p>
        </w:tc>
        <w:tc>
          <w:tcPr>
            <w:tcW w:type="dxa" w:w="2448"/>
            <w:shd w:val="clear" w:color="auto" w:fill="F2F5FB"/>
          </w:tcPr>
          <w:p>
            <w:pPr>
              <w:spacing w:after="40" w:before="40"/>
              <w:jc w:val="left"/>
            </w:pPr>
            <w:r/>
            <w:r>
              <w:rPr>
                <w:rFonts w:ascii="Calibri" w:hAnsi="Calibri"/>
                <w:b w:val="0"/>
                <w:color w:val="1A2233"/>
                <w:sz w:val="18"/>
              </w:rPr>
              <w:t>Direct data reads (RLS-scoped).</w:t>
            </w:r>
          </w:p>
        </w:tc>
      </w:tr>
      <w:tr>
        <w:tc>
          <w:tcPr>
            <w:tcW w:type="dxa" w:w="2160"/>
          </w:tcPr>
          <w:p>
            <w:pPr>
              <w:spacing w:after="40" w:before="40"/>
              <w:jc w:val="left"/>
            </w:pPr>
            <w:r/>
            <w:r>
              <w:rPr>
                <w:rFonts w:ascii="Calibri" w:hAnsi="Calibri"/>
                <w:b w:val="0"/>
                <w:color w:val="1A2233"/>
                <w:sz w:val="18"/>
              </w:rPr>
              <w:t>Browser client</w:t>
            </w:r>
          </w:p>
        </w:tc>
        <w:tc>
          <w:tcPr>
            <w:tcW w:type="dxa" w:w="2448"/>
          </w:tcPr>
          <w:p>
            <w:pPr>
              <w:spacing w:after="40" w:before="40"/>
              <w:jc w:val="left"/>
            </w:pPr>
            <w:r/>
            <w:r>
              <w:rPr>
                <w:rFonts w:ascii="Calibri" w:hAnsi="Calibri"/>
                <w:b w:val="0"/>
                <w:color w:val="1A2233"/>
                <w:sz w:val="18"/>
              </w:rPr>
              <w:t>Realtime</w:t>
            </w:r>
          </w:p>
        </w:tc>
        <w:tc>
          <w:tcPr>
            <w:tcW w:type="dxa" w:w="2016"/>
          </w:tcPr>
          <w:p>
            <w:pPr>
              <w:spacing w:after="40" w:before="40"/>
              <w:jc w:val="left"/>
            </w:pPr>
            <w:r/>
            <w:r>
              <w:rPr>
                <w:rFonts w:ascii="Calibri" w:hAnsi="Calibri"/>
                <w:b w:val="0"/>
                <w:color w:val="1A2233"/>
                <w:sz w:val="18"/>
              </w:rPr>
              <w:t>WSS</w:t>
            </w:r>
          </w:p>
        </w:tc>
        <w:tc>
          <w:tcPr>
            <w:tcW w:type="dxa" w:w="2448"/>
          </w:tcPr>
          <w:p>
            <w:pPr>
              <w:spacing w:after="40" w:before="40"/>
              <w:jc w:val="left"/>
            </w:pPr>
            <w:r/>
            <w:r>
              <w:rPr>
                <w:rFonts w:ascii="Calibri" w:hAnsi="Calibri"/>
                <w:b w:val="0"/>
                <w:color w:val="1A2233"/>
                <w:sz w:val="18"/>
              </w:rPr>
              <w:t>Live subscriptions.</w:t>
            </w:r>
          </w:p>
        </w:tc>
      </w:tr>
      <w:tr>
        <w:tc>
          <w:tcPr>
            <w:tcW w:type="dxa" w:w="2160"/>
            <w:shd w:val="clear" w:color="auto" w:fill="F2F5FB"/>
          </w:tcPr>
          <w:p>
            <w:pPr>
              <w:spacing w:after="40" w:before="40"/>
              <w:jc w:val="left"/>
            </w:pPr>
            <w:r/>
            <w:r>
              <w:rPr>
                <w:rFonts w:ascii="Calibri" w:hAnsi="Calibri"/>
                <w:b w:val="0"/>
                <w:color w:val="1A2233"/>
                <w:sz w:val="18"/>
              </w:rPr>
              <w:t>Edge Functions</w:t>
            </w:r>
          </w:p>
        </w:tc>
        <w:tc>
          <w:tcPr>
            <w:tcW w:type="dxa" w:w="2448"/>
            <w:shd w:val="clear" w:color="auto" w:fill="F2F5FB"/>
          </w:tcPr>
          <w:p>
            <w:pPr>
              <w:spacing w:after="40" w:before="40"/>
              <w:jc w:val="left"/>
            </w:pPr>
            <w:r/>
            <w:r>
              <w:rPr>
                <w:rFonts w:ascii="Calibri" w:hAnsi="Calibri"/>
                <w:b w:val="0"/>
                <w:color w:val="1A2233"/>
                <w:sz w:val="18"/>
              </w:rPr>
              <w:t>Supabase Storage</w:t>
            </w:r>
          </w:p>
        </w:tc>
        <w:tc>
          <w:tcPr>
            <w:tcW w:type="dxa" w:w="2016"/>
            <w:shd w:val="clear" w:color="auto" w:fill="F2F5FB"/>
          </w:tcPr>
          <w:p>
            <w:pPr>
              <w:spacing w:after="40" w:before="40"/>
              <w:jc w:val="left"/>
            </w:pPr>
            <w:r/>
            <w:r>
              <w:rPr>
                <w:rFonts w:ascii="Calibri" w:hAnsi="Calibri"/>
                <w:b w:val="0"/>
                <w:color w:val="1A2233"/>
                <w:sz w:val="18"/>
              </w:rPr>
              <w:t>HTTPS (S3-style)</w:t>
            </w:r>
          </w:p>
        </w:tc>
        <w:tc>
          <w:tcPr>
            <w:tcW w:type="dxa" w:w="2448"/>
            <w:shd w:val="clear" w:color="auto" w:fill="F2F5FB"/>
          </w:tcPr>
          <w:p>
            <w:pPr>
              <w:spacing w:after="40" w:before="40"/>
              <w:jc w:val="left"/>
            </w:pPr>
            <w:r/>
            <w:r>
              <w:rPr>
                <w:rFonts w:ascii="Calibri" w:hAnsi="Calibri"/>
                <w:b w:val="0"/>
                <w:color w:val="1A2233"/>
                <w:sz w:val="18"/>
              </w:rPr>
              <w:t>Signed URLs, document and photo objects.</w:t>
            </w:r>
          </w:p>
        </w:tc>
      </w:tr>
      <w:tr>
        <w:tc>
          <w:tcPr>
            <w:tcW w:type="dxa" w:w="2160"/>
          </w:tcPr>
          <w:p>
            <w:pPr>
              <w:spacing w:after="40" w:before="40"/>
              <w:jc w:val="left"/>
            </w:pPr>
            <w:r/>
            <w:r>
              <w:rPr>
                <w:rFonts w:ascii="Calibri" w:hAnsi="Calibri"/>
                <w:b w:val="0"/>
                <w:color w:val="1A2233"/>
                <w:sz w:val="18"/>
              </w:rPr>
              <w:t>pg_cron</w:t>
            </w:r>
          </w:p>
        </w:tc>
        <w:tc>
          <w:tcPr>
            <w:tcW w:type="dxa" w:w="2448"/>
          </w:tcPr>
          <w:p>
            <w:pPr>
              <w:spacing w:after="40" w:before="40"/>
              <w:jc w:val="left"/>
            </w:pPr>
            <w:r/>
            <w:r>
              <w:rPr>
                <w:rFonts w:ascii="Calibri" w:hAnsi="Calibri"/>
                <w:b w:val="0"/>
                <w:color w:val="1A2233"/>
                <w:sz w:val="18"/>
              </w:rPr>
              <w:t>PostgreSQL functions</w:t>
            </w:r>
          </w:p>
        </w:tc>
        <w:tc>
          <w:tcPr>
            <w:tcW w:type="dxa" w:w="2016"/>
          </w:tcPr>
          <w:p>
            <w:pPr>
              <w:spacing w:after="40" w:before="40"/>
              <w:jc w:val="left"/>
            </w:pPr>
            <w:r/>
            <w:r>
              <w:rPr>
                <w:rFonts w:ascii="Calibri" w:hAnsi="Calibri"/>
                <w:b w:val="0"/>
                <w:color w:val="1A2233"/>
                <w:sz w:val="18"/>
              </w:rPr>
              <w:t>In-database</w:t>
            </w:r>
          </w:p>
        </w:tc>
        <w:tc>
          <w:tcPr>
            <w:tcW w:type="dxa" w:w="2448"/>
          </w:tcPr>
          <w:p>
            <w:pPr>
              <w:spacing w:after="40" w:before="40"/>
              <w:jc w:val="left"/>
            </w:pPr>
            <w:r/>
            <w:r>
              <w:rPr>
                <w:rFonts w:ascii="Calibri" w:hAnsi="Calibri"/>
                <w:b w:val="0"/>
                <w:color w:val="1A2233"/>
                <w:sz w:val="18"/>
              </w:rPr>
              <w:t>Scheduled sweeps (for example ODU allocation timeout).</w:t>
            </w:r>
          </w:p>
        </w:tc>
      </w:tr>
    </w:tbl>
    <w:p>
      <w:pPr>
        <w:spacing w:after="40"/>
      </w:pPr>
    </w:p>
    <w:p>
      <w:pPr>
        <w:pStyle w:val="Heading2"/>
      </w:pPr>
      <w:r>
        <w:t>5.4 External integration points</w:t>
      </w:r>
    </w:p>
    <w:p>
      <w:pPr>
        <w:spacing w:after="120" w:before="0"/>
        <w:jc w:val="left"/>
      </w:pPr>
      <w:r>
        <w:rPr>
          <w:b w:val="0"/>
          <w:i w:val="0"/>
          <w:color w:val="1A2233"/>
          <w:sz w:val="21"/>
        </w:rPr>
        <w:t>System to system (northbound / southbound) and user to system, with protocols:</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c>
          <w:tcPr>
            <w:tcW w:type="dxa" w:w="2736"/>
            <w:shd w:val="clear" w:color="auto" w:fill="D9E2F3"/>
          </w:tcPr>
          <w:p>
            <w:pPr>
              <w:spacing w:after="40" w:before="40"/>
              <w:jc w:val="left"/>
            </w:pPr>
            <w:r/>
            <w:r>
              <w:rPr>
                <w:rFonts w:ascii="Calibri" w:hAnsi="Calibri"/>
                <w:b/>
                <w:color w:val="1A2233"/>
                <w:sz w:val="18"/>
              </w:rPr>
              <w:t>Integration</w:t>
            </w:r>
          </w:p>
        </w:tc>
        <w:tc>
          <w:tcPr>
            <w:tcW w:type="dxa" w:w="2304"/>
            <w:shd w:val="clear" w:color="auto" w:fill="D9E2F3"/>
          </w:tcPr>
          <w:p>
            <w:pPr>
              <w:spacing w:after="40" w:before="40"/>
              <w:jc w:val="left"/>
            </w:pPr>
            <w:r/>
            <w:r>
              <w:rPr>
                <w:rFonts w:ascii="Calibri" w:hAnsi="Calibri"/>
                <w:b/>
                <w:color w:val="1A2233"/>
                <w:sz w:val="18"/>
              </w:rPr>
              <w:t>Direction</w:t>
            </w:r>
          </w:p>
        </w:tc>
        <w:tc>
          <w:tcPr>
            <w:tcW w:type="dxa" w:w="2016"/>
            <w:shd w:val="clear" w:color="auto" w:fill="D9E2F3"/>
          </w:tcPr>
          <w:p>
            <w:pPr>
              <w:spacing w:after="40" w:before="40"/>
              <w:jc w:val="left"/>
            </w:pPr>
            <w:r/>
            <w:r>
              <w:rPr>
                <w:rFonts w:ascii="Calibri" w:hAnsi="Calibri"/>
                <w:b/>
                <w:color w:val="1A2233"/>
                <w:sz w:val="18"/>
              </w:rPr>
              <w:t>Protocol / port</w:t>
            </w:r>
          </w:p>
        </w:tc>
        <w:tc>
          <w:tcPr>
            <w:tcW w:type="dxa" w:w="2016"/>
            <w:shd w:val="clear" w:color="auto" w:fill="D9E2F3"/>
          </w:tcPr>
          <w:p>
            <w:pPr>
              <w:spacing w:after="40" w:before="40"/>
              <w:jc w:val="left"/>
            </w:pPr>
            <w:r/>
            <w:r>
              <w:rPr>
                <w:rFonts w:ascii="Calibri" w:hAnsi="Calibri"/>
                <w:b/>
                <w:color w:val="1A2233"/>
                <w:sz w:val="18"/>
              </w:rPr>
              <w:t>Notes</w:t>
            </w:r>
          </w:p>
        </w:tc>
      </w:tr>
      <w:tr>
        <w:tc>
          <w:tcPr>
            <w:tcW w:type="dxa" w:w="2736"/>
          </w:tcPr>
          <w:p>
            <w:pPr>
              <w:spacing w:after="40" w:before="40"/>
              <w:jc w:val="left"/>
            </w:pPr>
            <w:r/>
            <w:r>
              <w:rPr>
                <w:rFonts w:ascii="Calibri" w:hAnsi="Calibri"/>
                <w:b w:val="0"/>
                <w:color w:val="1A2233"/>
                <w:sz w:val="18"/>
              </w:rPr>
              <w:t>User device to Vercel</w:t>
            </w:r>
          </w:p>
        </w:tc>
        <w:tc>
          <w:tcPr>
            <w:tcW w:type="dxa" w:w="2304"/>
          </w:tcPr>
          <w:p>
            <w:pPr>
              <w:spacing w:after="40" w:before="40"/>
              <w:jc w:val="left"/>
            </w:pPr>
            <w:r/>
            <w:r>
              <w:rPr>
                <w:rFonts w:ascii="Calibri" w:hAnsi="Calibri"/>
                <w:b w:val="0"/>
                <w:color w:val="1A2233"/>
                <w:sz w:val="18"/>
              </w:rPr>
              <w:t>User to system (inbound)</w:t>
            </w:r>
          </w:p>
        </w:tc>
        <w:tc>
          <w:tcPr>
            <w:tcW w:type="dxa" w:w="2016"/>
          </w:tcPr>
          <w:p>
            <w:pPr>
              <w:spacing w:after="40" w:before="40"/>
              <w:jc w:val="left"/>
            </w:pPr>
            <w:r/>
            <w:r>
              <w:rPr>
                <w:rFonts w:ascii="Calibri" w:hAnsi="Calibri"/>
                <w:b w:val="0"/>
                <w:color w:val="1A2233"/>
                <w:sz w:val="18"/>
              </w:rPr>
              <w:t>HTTPS / 443</w:t>
            </w:r>
          </w:p>
        </w:tc>
        <w:tc>
          <w:tcPr>
            <w:tcW w:type="dxa" w:w="2016"/>
          </w:tcPr>
          <w:p>
            <w:pPr>
              <w:spacing w:after="40" w:before="40"/>
              <w:jc w:val="left"/>
            </w:pPr>
            <w:r/>
            <w:r>
              <w:rPr>
                <w:rFonts w:ascii="Calibri" w:hAnsi="Calibri"/>
                <w:b w:val="0"/>
                <w:color w:val="1A2233"/>
                <w:sz w:val="18"/>
              </w:rPr>
              <w:t>Loads the PWA.</w:t>
            </w:r>
          </w:p>
        </w:tc>
      </w:tr>
      <w:tr>
        <w:tc>
          <w:tcPr>
            <w:tcW w:type="dxa" w:w="2736"/>
            <w:shd w:val="clear" w:color="auto" w:fill="F2F5FB"/>
          </w:tcPr>
          <w:p>
            <w:pPr>
              <w:spacing w:after="40" w:before="40"/>
              <w:jc w:val="left"/>
            </w:pPr>
            <w:r/>
            <w:r>
              <w:rPr>
                <w:rFonts w:ascii="Calibri" w:hAnsi="Calibri"/>
                <w:b w:val="0"/>
                <w:color w:val="1A2233"/>
                <w:sz w:val="18"/>
              </w:rPr>
              <w:t>User device to Supabase</w:t>
            </w:r>
          </w:p>
        </w:tc>
        <w:tc>
          <w:tcPr>
            <w:tcW w:type="dxa" w:w="2304"/>
            <w:shd w:val="clear" w:color="auto" w:fill="F2F5FB"/>
          </w:tcPr>
          <w:p>
            <w:pPr>
              <w:spacing w:after="40" w:before="40"/>
              <w:jc w:val="left"/>
            </w:pPr>
            <w:r/>
            <w:r>
              <w:rPr>
                <w:rFonts w:ascii="Calibri" w:hAnsi="Calibri"/>
                <w:b w:val="0"/>
                <w:color w:val="1A2233"/>
                <w:sz w:val="18"/>
              </w:rPr>
              <w:t>User to system (inbound)</w:t>
            </w:r>
          </w:p>
        </w:tc>
        <w:tc>
          <w:tcPr>
            <w:tcW w:type="dxa" w:w="2016"/>
            <w:shd w:val="clear" w:color="auto" w:fill="F2F5FB"/>
          </w:tcPr>
          <w:p>
            <w:pPr>
              <w:spacing w:after="40" w:before="40"/>
              <w:jc w:val="left"/>
            </w:pPr>
            <w:r/>
            <w:r>
              <w:rPr>
                <w:rFonts w:ascii="Calibri" w:hAnsi="Calibri"/>
                <w:b w:val="0"/>
                <w:color w:val="1A2233"/>
                <w:sz w:val="18"/>
              </w:rPr>
              <w:t>HTTPS / 443, WSS / 443</w:t>
            </w:r>
          </w:p>
        </w:tc>
        <w:tc>
          <w:tcPr>
            <w:tcW w:type="dxa" w:w="2016"/>
            <w:shd w:val="clear" w:color="auto" w:fill="F2F5FB"/>
          </w:tcPr>
          <w:p>
            <w:pPr>
              <w:spacing w:after="40" w:before="40"/>
              <w:jc w:val="left"/>
            </w:pPr>
            <w:r/>
            <w:r>
              <w:rPr>
                <w:rFonts w:ascii="Calibri" w:hAnsi="Calibri"/>
                <w:b w:val="0"/>
                <w:color w:val="1A2233"/>
                <w:sz w:val="18"/>
              </w:rPr>
              <w:t>Data and realtime; API key in client.</w:t>
            </w:r>
          </w:p>
        </w:tc>
      </w:tr>
      <w:tr>
        <w:tc>
          <w:tcPr>
            <w:tcW w:type="dxa" w:w="2736"/>
          </w:tcPr>
          <w:p>
            <w:pPr>
              <w:spacing w:after="40" w:before="40"/>
              <w:jc w:val="left"/>
            </w:pPr>
            <w:r/>
            <w:r>
              <w:rPr>
                <w:rFonts w:ascii="Calibri" w:hAnsi="Calibri"/>
                <w:b w:val="0"/>
                <w:color w:val="1A2233"/>
                <w:sz w:val="18"/>
              </w:rPr>
              <w:t>Capgo to native app</w:t>
            </w:r>
          </w:p>
        </w:tc>
        <w:tc>
          <w:tcPr>
            <w:tcW w:type="dxa" w:w="2304"/>
          </w:tcPr>
          <w:p>
            <w:pPr>
              <w:spacing w:after="40" w:before="40"/>
              <w:jc w:val="left"/>
            </w:pPr>
            <w:r/>
            <w:r>
              <w:rPr>
                <w:rFonts w:ascii="Calibri" w:hAnsi="Calibri"/>
                <w:b w:val="0"/>
                <w:color w:val="1A2233"/>
                <w:sz w:val="18"/>
              </w:rPr>
              <w:t>Southbound (push)</w:t>
            </w:r>
          </w:p>
        </w:tc>
        <w:tc>
          <w:tcPr>
            <w:tcW w:type="dxa" w:w="2016"/>
          </w:tcPr>
          <w:p>
            <w:pPr>
              <w:spacing w:after="40" w:before="40"/>
              <w:jc w:val="left"/>
            </w:pPr>
            <w:r/>
            <w:r>
              <w:rPr>
                <w:rFonts w:ascii="Calibri" w:hAnsi="Calibri"/>
                <w:b w:val="0"/>
                <w:color w:val="1A2233"/>
                <w:sz w:val="18"/>
              </w:rPr>
              <w:t>HTTPS / 443</w:t>
            </w:r>
          </w:p>
        </w:tc>
        <w:tc>
          <w:tcPr>
            <w:tcW w:type="dxa" w:w="2016"/>
          </w:tcPr>
          <w:p>
            <w:pPr>
              <w:spacing w:after="40" w:before="40"/>
              <w:jc w:val="left"/>
            </w:pPr>
            <w:r/>
            <w:r>
              <w:rPr>
                <w:rFonts w:ascii="Calibri" w:hAnsi="Calibri"/>
                <w:b w:val="0"/>
                <w:color w:val="1A2233"/>
                <w:sz w:val="18"/>
              </w:rPr>
              <w:t>OTA JavaScript bundle updates.</w:t>
            </w:r>
          </w:p>
        </w:tc>
      </w:tr>
      <w:tr>
        <w:tc>
          <w:tcPr>
            <w:tcW w:type="dxa" w:w="2736"/>
            <w:shd w:val="clear" w:color="auto" w:fill="F2F5FB"/>
          </w:tcPr>
          <w:p>
            <w:pPr>
              <w:spacing w:after="40" w:before="40"/>
              <w:jc w:val="left"/>
            </w:pPr>
            <w:r/>
            <w:r>
              <w:rPr>
                <w:rFonts w:ascii="Calibri" w:hAnsi="Calibri"/>
                <w:b w:val="0"/>
                <w:color w:val="1A2233"/>
                <w:sz w:val="18"/>
              </w:rPr>
              <w:t>Browser to OpenStreetMap / cdnjs</w:t>
            </w:r>
          </w:p>
        </w:tc>
        <w:tc>
          <w:tcPr>
            <w:tcW w:type="dxa" w:w="2304"/>
            <w:shd w:val="clear" w:color="auto" w:fill="F2F5FB"/>
          </w:tcPr>
          <w:p>
            <w:pPr>
              <w:spacing w:after="40" w:before="40"/>
              <w:jc w:val="left"/>
            </w:pPr>
            <w:r/>
            <w:r>
              <w:rPr>
                <w:rFonts w:ascii="Calibri" w:hAnsi="Calibri"/>
                <w:b w:val="0"/>
                <w:color w:val="1A2233"/>
                <w:sz w:val="18"/>
              </w:rPr>
              <w:t>Northbound (egress)</w:t>
            </w:r>
          </w:p>
        </w:tc>
        <w:tc>
          <w:tcPr>
            <w:tcW w:type="dxa" w:w="2016"/>
            <w:shd w:val="clear" w:color="auto" w:fill="F2F5FB"/>
          </w:tcPr>
          <w:p>
            <w:pPr>
              <w:spacing w:after="40" w:before="40"/>
              <w:jc w:val="left"/>
            </w:pPr>
            <w:r/>
            <w:r>
              <w:rPr>
                <w:rFonts w:ascii="Calibri" w:hAnsi="Calibri"/>
                <w:b w:val="0"/>
                <w:color w:val="1A2233"/>
                <w:sz w:val="18"/>
              </w:rPr>
              <w:t>HTTPS / 443</w:t>
            </w:r>
          </w:p>
        </w:tc>
        <w:tc>
          <w:tcPr>
            <w:tcW w:type="dxa" w:w="2016"/>
            <w:shd w:val="clear" w:color="auto" w:fill="F2F5FB"/>
          </w:tcPr>
          <w:p>
            <w:pPr>
              <w:spacing w:after="40" w:before="40"/>
              <w:jc w:val="left"/>
            </w:pPr>
            <w:r/>
            <w:r>
              <w:rPr>
                <w:rFonts w:ascii="Calibri" w:hAnsi="Calibri"/>
                <w:b w:val="0"/>
                <w:color w:val="1A2233"/>
                <w:sz w:val="18"/>
              </w:rPr>
              <w:t>Map tiles and Leaflet assets.</w:t>
            </w:r>
          </w:p>
        </w:tc>
      </w:tr>
      <w:tr>
        <w:tc>
          <w:tcPr>
            <w:tcW w:type="dxa" w:w="2736"/>
          </w:tcPr>
          <w:p>
            <w:pPr>
              <w:spacing w:after="40" w:before="40"/>
              <w:jc w:val="left"/>
            </w:pPr>
            <w:r/>
            <w:r>
              <w:rPr>
                <w:rFonts w:ascii="Calibri" w:hAnsi="Calibri"/>
                <w:b w:val="0"/>
                <w:color w:val="1A2233"/>
                <w:sz w:val="18"/>
              </w:rPr>
              <w:t>Browser to WhatsApp (wa.me)</w:t>
            </w:r>
          </w:p>
        </w:tc>
        <w:tc>
          <w:tcPr>
            <w:tcW w:type="dxa" w:w="2304"/>
          </w:tcPr>
          <w:p>
            <w:pPr>
              <w:spacing w:after="40" w:before="40"/>
              <w:jc w:val="left"/>
            </w:pPr>
            <w:r/>
            <w:r>
              <w:rPr>
                <w:rFonts w:ascii="Calibri" w:hAnsi="Calibri"/>
                <w:b w:val="0"/>
                <w:color w:val="1A2233"/>
                <w:sz w:val="18"/>
              </w:rPr>
              <w:t>Northbound (egress)</w:t>
            </w:r>
          </w:p>
        </w:tc>
        <w:tc>
          <w:tcPr>
            <w:tcW w:type="dxa" w:w="2016"/>
          </w:tcPr>
          <w:p>
            <w:pPr>
              <w:spacing w:after="40" w:before="40"/>
              <w:jc w:val="left"/>
            </w:pPr>
            <w:r/>
            <w:r>
              <w:rPr>
                <w:rFonts w:ascii="Calibri" w:hAnsi="Calibri"/>
                <w:b w:val="0"/>
                <w:color w:val="1A2233"/>
                <w:sz w:val="18"/>
              </w:rPr>
              <w:t>HTTPS / 443</w:t>
            </w:r>
          </w:p>
        </w:tc>
        <w:tc>
          <w:tcPr>
            <w:tcW w:type="dxa" w:w="2016"/>
          </w:tcPr>
          <w:p>
            <w:pPr>
              <w:spacing w:after="40" w:before="40"/>
              <w:jc w:val="left"/>
            </w:pPr>
            <w:r/>
            <w:r>
              <w:rPr>
                <w:rFonts w:ascii="Calibri" w:hAnsi="Calibri"/>
                <w:b w:val="0"/>
                <w:color w:val="1A2233"/>
                <w:sz w:val="18"/>
              </w:rPr>
              <w:t>Click-to-chat deep link.</w:t>
            </w:r>
          </w:p>
        </w:tc>
      </w:tr>
      <w:tr>
        <w:tc>
          <w:tcPr>
            <w:tcW w:type="dxa" w:w="2736"/>
            <w:shd w:val="clear" w:color="auto" w:fill="F2F5FB"/>
          </w:tcPr>
          <w:p>
            <w:pPr>
              <w:spacing w:after="40" w:before="40"/>
              <w:jc w:val="left"/>
            </w:pPr>
            <w:r/>
            <w:r>
              <w:rPr>
                <w:rFonts w:ascii="Calibri" w:hAnsi="Calibri"/>
                <w:b w:val="0"/>
                <w:color w:val="1A2233"/>
                <w:sz w:val="18"/>
              </w:rPr>
              <w:t>Build to Figma</w:t>
            </w:r>
          </w:p>
        </w:tc>
        <w:tc>
          <w:tcPr>
            <w:tcW w:type="dxa" w:w="2304"/>
            <w:shd w:val="clear" w:color="auto" w:fill="F2F5FB"/>
          </w:tcPr>
          <w:p>
            <w:pPr>
              <w:spacing w:after="40" w:before="40"/>
              <w:jc w:val="left"/>
            </w:pPr>
            <w:r/>
            <w:r>
              <w:rPr>
                <w:rFonts w:ascii="Calibri" w:hAnsi="Calibri"/>
                <w:b w:val="0"/>
                <w:color w:val="1A2233"/>
                <w:sz w:val="18"/>
              </w:rPr>
              <w:t>Design-time only</w:t>
            </w:r>
          </w:p>
        </w:tc>
        <w:tc>
          <w:tcPr>
            <w:tcW w:type="dxa" w:w="2016"/>
            <w:shd w:val="clear" w:color="auto" w:fill="F2F5FB"/>
          </w:tcPr>
          <w:p>
            <w:pPr>
              <w:spacing w:after="40" w:before="40"/>
              <w:jc w:val="left"/>
            </w:pPr>
            <w:r/>
            <w:r>
              <w:rPr>
                <w:rFonts w:ascii="Calibri" w:hAnsi="Calibri"/>
                <w:b w:val="0"/>
                <w:color w:val="1A2233"/>
                <w:sz w:val="18"/>
              </w:rPr>
              <w:t>HTTPS / 443</w:t>
            </w:r>
          </w:p>
        </w:tc>
        <w:tc>
          <w:tcPr>
            <w:tcW w:type="dxa" w:w="2016"/>
            <w:shd w:val="clear" w:color="auto" w:fill="F2F5FB"/>
          </w:tcPr>
          <w:p>
            <w:pPr>
              <w:spacing w:after="40" w:before="40"/>
              <w:jc w:val="left"/>
            </w:pPr>
            <w:r/>
            <w:r>
              <w:rPr>
                <w:rFonts w:ascii="Calibri" w:hAnsi="Calibri"/>
                <w:b w:val="0"/>
                <w:color w:val="1A2233"/>
                <w:sz w:val="18"/>
              </w:rPr>
              <w:t>Source of design assets; not a runtime dependency.</w:t>
            </w:r>
          </w:p>
        </w:tc>
      </w:tr>
    </w:tbl>
    <w:p>
      <w:pPr>
        <w:spacing w:after="40"/>
      </w:pPr>
    </w:p>
    <w:p>
      <w:pPr>
        <w:pStyle w:val="Heading2"/>
      </w:pPr>
      <w:r>
        <w:t>5.5 Infrastructure architecture and software stack (as-is)</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016"/>
            <w:shd w:val="clear" w:color="auto" w:fill="D9E2F3"/>
          </w:tcPr>
          <w:p>
            <w:pPr>
              <w:spacing w:after="40" w:before="40"/>
              <w:jc w:val="left"/>
            </w:pPr>
            <w:r/>
            <w:r>
              <w:rPr>
                <w:rFonts w:ascii="Calibri" w:hAnsi="Calibri"/>
                <w:b/>
                <w:color w:val="1A2233"/>
                <w:sz w:val="18"/>
              </w:rPr>
              <w:t>Layer</w:t>
            </w:r>
          </w:p>
        </w:tc>
        <w:tc>
          <w:tcPr>
            <w:tcW w:type="dxa" w:w="4176"/>
            <w:shd w:val="clear" w:color="auto" w:fill="D9E2F3"/>
          </w:tcPr>
          <w:p>
            <w:pPr>
              <w:spacing w:after="40" w:before="40"/>
              <w:jc w:val="left"/>
            </w:pPr>
            <w:r/>
            <w:r>
              <w:rPr>
                <w:rFonts w:ascii="Calibri" w:hAnsi="Calibri"/>
                <w:b/>
                <w:color w:val="1A2233"/>
                <w:sz w:val="18"/>
              </w:rPr>
              <w:t>As-is technology</w:t>
            </w:r>
          </w:p>
        </w:tc>
        <w:tc>
          <w:tcPr>
            <w:tcW w:type="dxa" w:w="2880"/>
            <w:shd w:val="clear" w:color="auto" w:fill="D9E2F3"/>
          </w:tcPr>
          <w:p>
            <w:pPr>
              <w:spacing w:after="40" w:before="40"/>
              <w:jc w:val="left"/>
            </w:pPr>
            <w:r/>
            <w:r>
              <w:rPr>
                <w:rFonts w:ascii="Calibri" w:hAnsi="Calibri"/>
                <w:b/>
                <w:color w:val="1A2233"/>
                <w:sz w:val="18"/>
              </w:rPr>
              <w:t>Hosting / ownership</w:t>
            </w:r>
          </w:p>
        </w:tc>
      </w:tr>
      <w:tr>
        <w:tc>
          <w:tcPr>
            <w:tcW w:type="dxa" w:w="2016"/>
          </w:tcPr>
          <w:p>
            <w:pPr>
              <w:spacing w:after="40" w:before="40"/>
              <w:jc w:val="left"/>
            </w:pPr>
            <w:r/>
            <w:r>
              <w:rPr>
                <w:rFonts w:ascii="Calibri" w:hAnsi="Calibri"/>
                <w:b w:val="0"/>
                <w:color w:val="1A2233"/>
                <w:sz w:val="18"/>
              </w:rPr>
              <w:t>Presentation</w:t>
            </w:r>
          </w:p>
        </w:tc>
        <w:tc>
          <w:tcPr>
            <w:tcW w:type="dxa" w:w="4176"/>
          </w:tcPr>
          <w:p>
            <w:pPr>
              <w:spacing w:after="40" w:before="40"/>
              <w:jc w:val="left"/>
            </w:pPr>
            <w:r/>
            <w:r>
              <w:rPr>
                <w:rFonts w:ascii="Calibri" w:hAnsi="Calibri"/>
                <w:b w:val="0"/>
                <w:color w:val="1A2233"/>
                <w:sz w:val="18"/>
              </w:rPr>
              <w:t>React 18, TypeScript, Vite PWA; Capacitor native shell</w:t>
            </w:r>
          </w:p>
        </w:tc>
        <w:tc>
          <w:tcPr>
            <w:tcW w:type="dxa" w:w="2880"/>
          </w:tcPr>
          <w:p>
            <w:pPr>
              <w:spacing w:after="40" w:before="40"/>
              <w:jc w:val="left"/>
            </w:pPr>
            <w:r/>
            <w:r>
              <w:rPr>
                <w:rFonts w:ascii="Calibri" w:hAnsi="Calibri"/>
                <w:b w:val="0"/>
                <w:color w:val="1A2233"/>
                <w:sz w:val="18"/>
              </w:rPr>
              <w:t>Vercel CDN (external SaaS)</w:t>
            </w:r>
          </w:p>
        </w:tc>
      </w:tr>
      <w:tr>
        <w:tc>
          <w:tcPr>
            <w:tcW w:type="dxa" w:w="2016"/>
            <w:shd w:val="clear" w:color="auto" w:fill="F2F5FB"/>
          </w:tcPr>
          <w:p>
            <w:pPr>
              <w:spacing w:after="40" w:before="40"/>
              <w:jc w:val="left"/>
            </w:pPr>
            <w:r/>
            <w:r>
              <w:rPr>
                <w:rFonts w:ascii="Calibri" w:hAnsi="Calibri"/>
                <w:b w:val="0"/>
                <w:color w:val="1A2233"/>
                <w:sz w:val="18"/>
              </w:rPr>
              <w:t>Application / API</w:t>
            </w:r>
          </w:p>
        </w:tc>
        <w:tc>
          <w:tcPr>
            <w:tcW w:type="dxa" w:w="4176"/>
            <w:shd w:val="clear" w:color="auto" w:fill="F2F5FB"/>
          </w:tcPr>
          <w:p>
            <w:pPr>
              <w:spacing w:after="40" w:before="40"/>
              <w:jc w:val="left"/>
            </w:pPr>
            <w:r/>
            <w:r>
              <w:rPr>
                <w:rFonts w:ascii="Calibri" w:hAnsi="Calibri"/>
                <w:b w:val="0"/>
                <w:color w:val="1A2233"/>
                <w:sz w:val="18"/>
              </w:rPr>
              <w:t>Deno runtime, Hono framework (edge functions); PostgREST</w:t>
            </w:r>
          </w:p>
        </w:tc>
        <w:tc>
          <w:tcPr>
            <w:tcW w:type="dxa" w:w="2880"/>
            <w:shd w:val="clear" w:color="auto" w:fill="F2F5FB"/>
          </w:tcPr>
          <w:p>
            <w:pPr>
              <w:spacing w:after="40" w:before="40"/>
              <w:jc w:val="left"/>
            </w:pPr>
            <w:r/>
            <w:r>
              <w:rPr>
                <w:rFonts w:ascii="Calibri" w:hAnsi="Calibri"/>
                <w:b w:val="0"/>
                <w:color w:val="1A2233"/>
                <w:sz w:val="18"/>
              </w:rPr>
              <w:t>Supabase Cloud (external SaaS)</w:t>
            </w:r>
          </w:p>
        </w:tc>
      </w:tr>
      <w:tr>
        <w:tc>
          <w:tcPr>
            <w:tcW w:type="dxa" w:w="2016"/>
          </w:tcPr>
          <w:p>
            <w:pPr>
              <w:spacing w:after="40" w:before="40"/>
              <w:jc w:val="left"/>
            </w:pPr>
            <w:r/>
            <w:r>
              <w:rPr>
                <w:rFonts w:ascii="Calibri" w:hAnsi="Calibri"/>
                <w:b w:val="0"/>
                <w:color w:val="1A2233"/>
                <w:sz w:val="18"/>
              </w:rPr>
              <w:t>Data</w:t>
            </w:r>
          </w:p>
        </w:tc>
        <w:tc>
          <w:tcPr>
            <w:tcW w:type="dxa" w:w="4176"/>
          </w:tcPr>
          <w:p>
            <w:pPr>
              <w:spacing w:after="40" w:before="40"/>
              <w:jc w:val="left"/>
            </w:pPr>
            <w:r/>
            <w:r>
              <w:rPr>
                <w:rFonts w:ascii="Calibri" w:hAnsi="Calibri"/>
                <w:b w:val="0"/>
                <w:color w:val="1A2233"/>
                <w:sz w:val="18"/>
              </w:rPr>
              <w:t>PostgreSQL (single managed node), pg_cron</w:t>
            </w:r>
          </w:p>
        </w:tc>
        <w:tc>
          <w:tcPr>
            <w:tcW w:type="dxa" w:w="2880"/>
          </w:tcPr>
          <w:p>
            <w:pPr>
              <w:spacing w:after="40" w:before="40"/>
              <w:jc w:val="left"/>
            </w:pPr>
            <w:r/>
            <w:r>
              <w:rPr>
                <w:rFonts w:ascii="Calibri" w:hAnsi="Calibri"/>
                <w:b w:val="0"/>
                <w:color w:val="1A2233"/>
                <w:sz w:val="18"/>
              </w:rPr>
              <w:t>Supabase Cloud (external SaaS)</w:t>
            </w:r>
          </w:p>
        </w:tc>
      </w:tr>
      <w:tr>
        <w:tc>
          <w:tcPr>
            <w:tcW w:type="dxa" w:w="2016"/>
            <w:shd w:val="clear" w:color="auto" w:fill="F2F5FB"/>
          </w:tcPr>
          <w:p>
            <w:pPr>
              <w:spacing w:after="40" w:before="40"/>
              <w:jc w:val="left"/>
            </w:pPr>
            <w:r/>
            <w:r>
              <w:rPr>
                <w:rFonts w:ascii="Calibri" w:hAnsi="Calibri"/>
                <w:b w:val="0"/>
                <w:color w:val="1A2233"/>
                <w:sz w:val="18"/>
              </w:rPr>
              <w:t>Object storage</w:t>
            </w:r>
          </w:p>
        </w:tc>
        <w:tc>
          <w:tcPr>
            <w:tcW w:type="dxa" w:w="4176"/>
            <w:shd w:val="clear" w:color="auto" w:fill="F2F5FB"/>
          </w:tcPr>
          <w:p>
            <w:pPr>
              <w:spacing w:after="40" w:before="40"/>
              <w:jc w:val="left"/>
            </w:pPr>
            <w:r/>
            <w:r>
              <w:rPr>
                <w:rFonts w:ascii="Calibri" w:hAnsi="Calibri"/>
                <w:b w:val="0"/>
                <w:color w:val="1A2233"/>
                <w:sz w:val="18"/>
              </w:rPr>
              <w:t>Supabase Storage buckets</w:t>
            </w:r>
          </w:p>
        </w:tc>
        <w:tc>
          <w:tcPr>
            <w:tcW w:type="dxa" w:w="2880"/>
            <w:shd w:val="clear" w:color="auto" w:fill="F2F5FB"/>
          </w:tcPr>
          <w:p>
            <w:pPr>
              <w:spacing w:after="40" w:before="40"/>
              <w:jc w:val="left"/>
            </w:pPr>
            <w:r/>
            <w:r>
              <w:rPr>
                <w:rFonts w:ascii="Calibri" w:hAnsi="Calibri"/>
                <w:b w:val="0"/>
                <w:color w:val="1A2233"/>
                <w:sz w:val="18"/>
              </w:rPr>
              <w:t>Supabase Cloud (external SaaS)</w:t>
            </w:r>
          </w:p>
        </w:tc>
      </w:tr>
      <w:tr>
        <w:tc>
          <w:tcPr>
            <w:tcW w:type="dxa" w:w="2016"/>
          </w:tcPr>
          <w:p>
            <w:pPr>
              <w:spacing w:after="40" w:before="40"/>
              <w:jc w:val="left"/>
            </w:pPr>
            <w:r/>
            <w:r>
              <w:rPr>
                <w:rFonts w:ascii="Calibri" w:hAnsi="Calibri"/>
                <w:b w:val="0"/>
                <w:color w:val="1A2233"/>
                <w:sz w:val="18"/>
              </w:rPr>
              <w:t>Realtime / messaging</w:t>
            </w:r>
          </w:p>
        </w:tc>
        <w:tc>
          <w:tcPr>
            <w:tcW w:type="dxa" w:w="4176"/>
          </w:tcPr>
          <w:p>
            <w:pPr>
              <w:spacing w:after="40" w:before="40"/>
              <w:jc w:val="left"/>
            </w:pPr>
            <w:r/>
            <w:r>
              <w:rPr>
                <w:rFonts w:ascii="Calibri" w:hAnsi="Calibri"/>
                <w:b w:val="0"/>
                <w:color w:val="1A2233"/>
                <w:sz w:val="18"/>
              </w:rPr>
              <w:t>Supabase Realtime (WebSocket)</w:t>
            </w:r>
          </w:p>
        </w:tc>
        <w:tc>
          <w:tcPr>
            <w:tcW w:type="dxa" w:w="2880"/>
          </w:tcPr>
          <w:p>
            <w:pPr>
              <w:spacing w:after="40" w:before="40"/>
              <w:jc w:val="left"/>
            </w:pPr>
            <w:r/>
            <w:r>
              <w:rPr>
                <w:rFonts w:ascii="Calibri" w:hAnsi="Calibri"/>
                <w:b w:val="0"/>
                <w:color w:val="1A2233"/>
                <w:sz w:val="18"/>
              </w:rPr>
              <w:t>Supabase Cloud (external SaaS)</w:t>
            </w:r>
          </w:p>
        </w:tc>
      </w:tr>
      <w:tr>
        <w:tc>
          <w:tcPr>
            <w:tcW w:type="dxa" w:w="2016"/>
            <w:shd w:val="clear" w:color="auto" w:fill="F2F5FB"/>
          </w:tcPr>
          <w:p>
            <w:pPr>
              <w:spacing w:after="40" w:before="40"/>
              <w:jc w:val="left"/>
            </w:pPr>
            <w:r/>
            <w:r>
              <w:rPr>
                <w:rFonts w:ascii="Calibri" w:hAnsi="Calibri"/>
                <w:b w:val="0"/>
                <w:color w:val="1A2233"/>
                <w:sz w:val="18"/>
              </w:rPr>
              <w:t>Mobile updates</w:t>
            </w:r>
          </w:p>
        </w:tc>
        <w:tc>
          <w:tcPr>
            <w:tcW w:type="dxa" w:w="4176"/>
            <w:shd w:val="clear" w:color="auto" w:fill="F2F5FB"/>
          </w:tcPr>
          <w:p>
            <w:pPr>
              <w:spacing w:after="40" w:before="40"/>
              <w:jc w:val="left"/>
            </w:pPr>
            <w:r/>
            <w:r>
              <w:rPr>
                <w:rFonts w:ascii="Calibri" w:hAnsi="Calibri"/>
                <w:b w:val="0"/>
                <w:color w:val="1A2233"/>
                <w:sz w:val="18"/>
              </w:rPr>
              <w:t>Capgo OTA</w:t>
            </w:r>
          </w:p>
        </w:tc>
        <w:tc>
          <w:tcPr>
            <w:tcW w:type="dxa" w:w="2880"/>
            <w:shd w:val="clear" w:color="auto" w:fill="F2F5FB"/>
          </w:tcPr>
          <w:p>
            <w:pPr>
              <w:spacing w:after="40" w:before="40"/>
              <w:jc w:val="left"/>
            </w:pPr>
            <w:r/>
            <w:r>
              <w:rPr>
                <w:rFonts w:ascii="Calibri" w:hAnsi="Calibri"/>
                <w:b w:val="0"/>
                <w:color w:val="1A2233"/>
                <w:sz w:val="18"/>
              </w:rPr>
              <w:t>Capgo (external SaaS)</w:t>
            </w:r>
          </w:p>
        </w:tc>
      </w:tr>
    </w:tbl>
    <w:p>
      <w:pPr>
        <w:spacing w:after="40"/>
      </w:pPr>
    </w:p>
    <w:p>
      <w:pPr>
        <w:pStyle w:val="Heading3"/>
      </w:pPr>
      <w:r>
        <w:t>5.6 Operating systems and clustering</w:t>
      </w:r>
    </w:p>
    <w:p>
      <w:pPr>
        <w:spacing w:after="120" w:before="0"/>
        <w:jc w:val="left"/>
      </w:pPr>
      <w:r>
        <w:rPr>
          <w:b w:val="0"/>
          <w:i w:val="0"/>
          <w:color w:val="1A2233"/>
          <w:sz w:val="21"/>
        </w:rPr>
        <w:t>Not visible to or controlled by Airtel. The OS, patching, clustering and high availability of Vercel and Supabase are managed by those providers under their own terms. PostgreSQL is presented as a single managed node; there is no Airtel-controlled replica or failover.</w:t>
      </w:r>
    </w:p>
    <w:p>
      <w:pPr>
        <w:pStyle w:val="Heading3"/>
      </w:pPr>
      <w:r>
        <w:t>5.7 Database</w:t>
      </w:r>
    </w:p>
    <w:p>
      <w:pPr>
        <w:spacing w:after="120" w:before="0"/>
        <w:jc w:val="left"/>
      </w:pPr>
      <w:r>
        <w:rPr>
          <w:b w:val="0"/>
          <w:i w:val="0"/>
          <w:color w:val="1A2233"/>
          <w:sz w:val="21"/>
        </w:rPr>
        <w:t>PostgreSQL (managed by Supabase). Security is enforced through RLS and SECURITY DEFINER RPCs. Row-level identity is not based on a real IdP; the application uses anon and service-role API keys, with the service-role key capable of bypassing RLS.</w:t>
      </w:r>
    </w:p>
    <w:p>
      <w:pPr>
        <w:pStyle w:val="Heading3"/>
      </w:pPr>
      <w:r>
        <w:t>5.8 Middleware</w:t>
      </w:r>
    </w:p>
    <w:p>
      <w:pPr>
        <w:spacing w:after="120" w:before="0"/>
        <w:jc w:val="left"/>
      </w:pPr>
      <w:r>
        <w:rPr>
          <w:b w:val="0"/>
          <w:i w:val="0"/>
          <w:color w:val="1A2233"/>
          <w:sz w:val="21"/>
        </w:rPr>
        <w:t>PostgREST (REST layer), the Hono web framework on Deno (edge functions), and Supabase Realtime. All are provider-operated; Airtel cannot tune, patch or monitor them directly.</w:t>
      </w:r>
    </w:p>
    <w:p>
      <w:pPr>
        <w:pStyle w:val="Heading2"/>
      </w:pPr>
      <w:r>
        <w:t>5.9 Proprietary / COTS versus open source (as-is)</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3456"/>
            <w:shd w:val="clear" w:color="auto" w:fill="D9E2F3"/>
          </w:tcPr>
          <w:p>
            <w:pPr>
              <w:spacing w:after="40" w:before="40"/>
              <w:jc w:val="left"/>
            </w:pPr>
            <w:r/>
            <w:r>
              <w:rPr>
                <w:rFonts w:ascii="Calibri" w:hAnsi="Calibri"/>
                <w:b/>
                <w:color w:val="1A2233"/>
                <w:sz w:val="18"/>
              </w:rPr>
              <w:t>Component</w:t>
            </w:r>
          </w:p>
        </w:tc>
        <w:tc>
          <w:tcPr>
            <w:tcW w:type="dxa" w:w="3024"/>
            <w:shd w:val="clear" w:color="auto" w:fill="D9E2F3"/>
          </w:tcPr>
          <w:p>
            <w:pPr>
              <w:spacing w:after="40" w:before="40"/>
              <w:jc w:val="left"/>
            </w:pPr>
            <w:r/>
            <w:r>
              <w:rPr>
                <w:rFonts w:ascii="Calibri" w:hAnsi="Calibri"/>
                <w:b/>
                <w:color w:val="1A2233"/>
                <w:sz w:val="18"/>
              </w:rPr>
              <w:t>Type</w:t>
            </w:r>
          </w:p>
        </w:tc>
        <w:tc>
          <w:tcPr>
            <w:tcW w:type="dxa" w:w="2592"/>
            <w:shd w:val="clear" w:color="auto" w:fill="D9E2F3"/>
          </w:tcPr>
          <w:p>
            <w:pPr>
              <w:spacing w:after="40" w:before="40"/>
              <w:jc w:val="left"/>
            </w:pPr>
            <w:r/>
            <w:r>
              <w:rPr>
                <w:rFonts w:ascii="Calibri" w:hAnsi="Calibri"/>
                <w:b/>
                <w:color w:val="1A2233"/>
                <w:sz w:val="18"/>
              </w:rPr>
              <w:t>Licence / commercial basis</w:t>
            </w:r>
          </w:p>
        </w:tc>
      </w:tr>
      <w:tr>
        <w:tc>
          <w:tcPr>
            <w:tcW w:type="dxa" w:w="3456"/>
          </w:tcPr>
          <w:p>
            <w:pPr>
              <w:spacing w:after="40" w:before="40"/>
              <w:jc w:val="left"/>
            </w:pPr>
            <w:r/>
            <w:r>
              <w:rPr>
                <w:rFonts w:ascii="Calibri" w:hAnsi="Calibri"/>
                <w:b w:val="0"/>
                <w:color w:val="1A2233"/>
                <w:sz w:val="18"/>
              </w:rPr>
              <w:t>Vercel hosting</w:t>
            </w:r>
          </w:p>
        </w:tc>
        <w:tc>
          <w:tcPr>
            <w:tcW w:type="dxa" w:w="3024"/>
          </w:tcPr>
          <w:p>
            <w:pPr>
              <w:spacing w:after="40" w:before="40"/>
              <w:jc w:val="left"/>
            </w:pPr>
            <w:r/>
            <w:r>
              <w:rPr>
                <w:rFonts w:ascii="Calibri" w:hAnsi="Calibri"/>
                <w:b w:val="0"/>
                <w:color w:val="1A2233"/>
                <w:sz w:val="18"/>
              </w:rPr>
              <w:t>Proprietary SaaS</w:t>
            </w:r>
          </w:p>
        </w:tc>
        <w:tc>
          <w:tcPr>
            <w:tcW w:type="dxa" w:w="2592"/>
          </w:tcPr>
          <w:p>
            <w:pPr>
              <w:spacing w:after="40" w:before="40"/>
              <w:jc w:val="left"/>
            </w:pPr>
            <w:r/>
            <w:r>
              <w:rPr>
                <w:rFonts w:ascii="Calibri" w:hAnsi="Calibri"/>
                <w:b w:val="0"/>
                <w:color w:val="1A2233"/>
                <w:sz w:val="18"/>
              </w:rPr>
              <w:t>Paid subscription</w:t>
            </w:r>
          </w:p>
        </w:tc>
      </w:tr>
      <w:tr>
        <w:tc>
          <w:tcPr>
            <w:tcW w:type="dxa" w:w="3456"/>
            <w:shd w:val="clear" w:color="auto" w:fill="F2F5FB"/>
          </w:tcPr>
          <w:p>
            <w:pPr>
              <w:spacing w:after="40" w:before="40"/>
              <w:jc w:val="left"/>
            </w:pPr>
            <w:r/>
            <w:r>
              <w:rPr>
                <w:rFonts w:ascii="Calibri" w:hAnsi="Calibri"/>
                <w:b w:val="0"/>
                <w:color w:val="1A2233"/>
                <w:sz w:val="18"/>
              </w:rPr>
              <w:t>Supabase Cloud</w:t>
            </w:r>
          </w:p>
        </w:tc>
        <w:tc>
          <w:tcPr>
            <w:tcW w:type="dxa" w:w="3024"/>
            <w:shd w:val="clear" w:color="auto" w:fill="F2F5FB"/>
          </w:tcPr>
          <w:p>
            <w:pPr>
              <w:spacing w:after="40" w:before="40"/>
              <w:jc w:val="left"/>
            </w:pPr>
            <w:r/>
            <w:r>
              <w:rPr>
                <w:rFonts w:ascii="Calibri" w:hAnsi="Calibri"/>
                <w:b w:val="0"/>
                <w:color w:val="1A2233"/>
                <w:sz w:val="18"/>
              </w:rPr>
              <w:t>Open-source core, delivered as proprietary managed cloud</w:t>
            </w:r>
          </w:p>
        </w:tc>
        <w:tc>
          <w:tcPr>
            <w:tcW w:type="dxa" w:w="2592"/>
            <w:shd w:val="clear" w:color="auto" w:fill="F2F5FB"/>
          </w:tcPr>
          <w:p>
            <w:pPr>
              <w:spacing w:after="40" w:before="40"/>
              <w:jc w:val="left"/>
            </w:pPr>
            <w:r/>
            <w:r>
              <w:rPr>
                <w:rFonts w:ascii="Calibri" w:hAnsi="Calibri"/>
                <w:b w:val="0"/>
                <w:color w:val="1A2233"/>
                <w:sz w:val="18"/>
              </w:rPr>
              <w:t>Paid subscription</w:t>
            </w:r>
          </w:p>
        </w:tc>
      </w:tr>
      <w:tr>
        <w:tc>
          <w:tcPr>
            <w:tcW w:type="dxa" w:w="3456"/>
          </w:tcPr>
          <w:p>
            <w:pPr>
              <w:spacing w:after="40" w:before="40"/>
              <w:jc w:val="left"/>
            </w:pPr>
            <w:r/>
            <w:r>
              <w:rPr>
                <w:rFonts w:ascii="Calibri" w:hAnsi="Calibri"/>
                <w:b w:val="0"/>
                <w:color w:val="1A2233"/>
                <w:sz w:val="18"/>
              </w:rPr>
              <w:t>Capgo OTA</w:t>
            </w:r>
          </w:p>
        </w:tc>
        <w:tc>
          <w:tcPr>
            <w:tcW w:type="dxa" w:w="3024"/>
          </w:tcPr>
          <w:p>
            <w:pPr>
              <w:spacing w:after="40" w:before="40"/>
              <w:jc w:val="left"/>
            </w:pPr>
            <w:r/>
            <w:r>
              <w:rPr>
                <w:rFonts w:ascii="Calibri" w:hAnsi="Calibri"/>
                <w:b w:val="0"/>
                <w:color w:val="1A2233"/>
                <w:sz w:val="18"/>
              </w:rPr>
              <w:t>Proprietary SaaS</w:t>
            </w:r>
          </w:p>
        </w:tc>
        <w:tc>
          <w:tcPr>
            <w:tcW w:type="dxa" w:w="2592"/>
          </w:tcPr>
          <w:p>
            <w:pPr>
              <w:spacing w:after="40" w:before="40"/>
              <w:jc w:val="left"/>
            </w:pPr>
            <w:r/>
            <w:r>
              <w:rPr>
                <w:rFonts w:ascii="Calibri" w:hAnsi="Calibri"/>
                <w:b w:val="0"/>
                <w:color w:val="1A2233"/>
                <w:sz w:val="18"/>
              </w:rPr>
              <w:t>Paid subscription</w:t>
            </w:r>
          </w:p>
        </w:tc>
      </w:tr>
      <w:tr>
        <w:tc>
          <w:tcPr>
            <w:tcW w:type="dxa" w:w="3456"/>
            <w:shd w:val="clear" w:color="auto" w:fill="F2F5FB"/>
          </w:tcPr>
          <w:p>
            <w:pPr>
              <w:spacing w:after="40" w:before="40"/>
              <w:jc w:val="left"/>
            </w:pPr>
            <w:r/>
            <w:r>
              <w:rPr>
                <w:rFonts w:ascii="Calibri" w:hAnsi="Calibri"/>
                <w:b w:val="0"/>
                <w:color w:val="1A2233"/>
                <w:sz w:val="18"/>
              </w:rPr>
              <w:t>Figma (design)</w:t>
            </w:r>
          </w:p>
        </w:tc>
        <w:tc>
          <w:tcPr>
            <w:tcW w:type="dxa" w:w="3024"/>
            <w:shd w:val="clear" w:color="auto" w:fill="F2F5FB"/>
          </w:tcPr>
          <w:p>
            <w:pPr>
              <w:spacing w:after="40" w:before="40"/>
              <w:jc w:val="left"/>
            </w:pPr>
            <w:r/>
            <w:r>
              <w:rPr>
                <w:rFonts w:ascii="Calibri" w:hAnsi="Calibri"/>
                <w:b w:val="0"/>
                <w:color w:val="1A2233"/>
                <w:sz w:val="18"/>
              </w:rPr>
              <w:t>Proprietary SaaS</w:t>
            </w:r>
          </w:p>
        </w:tc>
        <w:tc>
          <w:tcPr>
            <w:tcW w:type="dxa" w:w="2592"/>
            <w:shd w:val="clear" w:color="auto" w:fill="F2F5FB"/>
          </w:tcPr>
          <w:p>
            <w:pPr>
              <w:spacing w:after="40" w:before="40"/>
              <w:jc w:val="left"/>
            </w:pPr>
            <w:r/>
            <w:r>
              <w:rPr>
                <w:rFonts w:ascii="Calibri" w:hAnsi="Calibri"/>
                <w:b w:val="0"/>
                <w:color w:val="1A2233"/>
                <w:sz w:val="18"/>
              </w:rPr>
              <w:t>Paid subscription (design-time only)</w:t>
            </w:r>
          </w:p>
        </w:tc>
      </w:tr>
      <w:tr>
        <w:tc>
          <w:tcPr>
            <w:tcW w:type="dxa" w:w="3456"/>
          </w:tcPr>
          <w:p>
            <w:pPr>
              <w:spacing w:after="40" w:before="40"/>
              <w:jc w:val="left"/>
            </w:pPr>
            <w:r/>
            <w:r>
              <w:rPr>
                <w:rFonts w:ascii="Calibri" w:hAnsi="Calibri"/>
                <w:b w:val="0"/>
                <w:color w:val="1A2233"/>
                <w:sz w:val="18"/>
              </w:rPr>
              <w:t>PostgreSQL, PostgREST, React, Vite, Radix UI, Leaflet</w:t>
            </w:r>
          </w:p>
        </w:tc>
        <w:tc>
          <w:tcPr>
            <w:tcW w:type="dxa" w:w="3024"/>
          </w:tcPr>
          <w:p>
            <w:pPr>
              <w:spacing w:after="40" w:before="40"/>
              <w:jc w:val="left"/>
            </w:pPr>
            <w:r/>
            <w:r>
              <w:rPr>
                <w:rFonts w:ascii="Calibri" w:hAnsi="Calibri"/>
                <w:b w:val="0"/>
                <w:color w:val="1A2233"/>
                <w:sz w:val="18"/>
              </w:rPr>
              <w:t>Open source</w:t>
            </w:r>
          </w:p>
        </w:tc>
        <w:tc>
          <w:tcPr>
            <w:tcW w:type="dxa" w:w="2592"/>
          </w:tcPr>
          <w:p>
            <w:pPr>
              <w:spacing w:after="40" w:before="40"/>
              <w:jc w:val="left"/>
            </w:pPr>
            <w:r/>
            <w:r>
              <w:rPr>
                <w:rFonts w:ascii="Calibri" w:hAnsi="Calibri"/>
                <w:b w:val="0"/>
                <w:color w:val="1A2233"/>
                <w:sz w:val="18"/>
              </w:rPr>
              <w:t>MIT / Apache / PostgreSQL / BSD (no licence fee)</w:t>
            </w:r>
          </w:p>
        </w:tc>
      </w:tr>
      <w:tr>
        <w:tc>
          <w:tcPr>
            <w:tcW w:type="dxa" w:w="3456"/>
            <w:shd w:val="clear" w:color="auto" w:fill="F2F5FB"/>
          </w:tcPr>
          <w:p>
            <w:pPr>
              <w:spacing w:after="40" w:before="40"/>
              <w:jc w:val="left"/>
            </w:pPr>
            <w:r/>
            <w:r>
              <w:rPr>
                <w:rFonts w:ascii="Calibri" w:hAnsi="Calibri"/>
                <w:b w:val="0"/>
                <w:color w:val="1A2233"/>
                <w:sz w:val="18"/>
              </w:rPr>
              <w:t>OpenStreetMap tiles</w:t>
            </w:r>
          </w:p>
        </w:tc>
        <w:tc>
          <w:tcPr>
            <w:tcW w:type="dxa" w:w="3024"/>
            <w:shd w:val="clear" w:color="auto" w:fill="F2F5FB"/>
          </w:tcPr>
          <w:p>
            <w:pPr>
              <w:spacing w:after="40" w:before="40"/>
              <w:jc w:val="left"/>
            </w:pPr>
            <w:r/>
            <w:r>
              <w:rPr>
                <w:rFonts w:ascii="Calibri" w:hAnsi="Calibri"/>
                <w:b w:val="0"/>
                <w:color w:val="1A2233"/>
                <w:sz w:val="18"/>
              </w:rPr>
              <w:t>Open data</w:t>
            </w:r>
          </w:p>
        </w:tc>
        <w:tc>
          <w:tcPr>
            <w:tcW w:type="dxa" w:w="2592"/>
            <w:shd w:val="clear" w:color="auto" w:fill="F2F5FB"/>
          </w:tcPr>
          <w:p>
            <w:pPr>
              <w:spacing w:after="40" w:before="40"/>
              <w:jc w:val="left"/>
            </w:pPr>
            <w:r/>
            <w:r>
              <w:rPr>
                <w:rFonts w:ascii="Calibri" w:hAnsi="Calibri"/>
                <w:b w:val="0"/>
                <w:color w:val="1A2233"/>
                <w:sz w:val="18"/>
              </w:rPr>
              <w:t>Free (attribution / usage policy applies)</w:t>
            </w:r>
          </w:p>
        </w:tc>
      </w:tr>
    </w:tbl>
    <w:p>
      <w:pPr>
        <w:spacing w:after="40"/>
      </w:pPr>
    </w:p>
    <w:p>
      <w:pPr>
        <w:pStyle w:val="Heading1"/>
      </w:pPr>
      <w:r>
        <w:t>6. Proposed (To-Be) Architecture: Airtel-Managed VMs</w:t>
      </w:r>
    </w:p>
    <w:p>
      <w:pPr>
        <w:pStyle w:val="Heading2"/>
      </w:pPr>
      <w:r>
        <w:t>6.1 Application architecture</w:t>
      </w:r>
    </w:p>
    <w:p>
      <w:pPr>
        <w:spacing w:after="120" w:before="0"/>
        <w:jc w:val="left"/>
      </w:pPr>
      <w:r>
        <w:rPr>
          <w:b w:val="0"/>
          <w:i w:val="0"/>
          <w:color w:val="1A2233"/>
          <w:sz w:val="21"/>
        </w:rPr>
        <w:t>The application is re-platformed onto Airtel-managed virtual machines inside an Airtel data centre or private cloud. The same application code is retained; only the hosting and the trust boundary change. End users reach the platform through the Airtel WAF and load balancer. A web tier serves the static PWA; an application tier runs the API / functions as containers; a data tier runs PostgreSQL in a highly available primary and replica configuration with an object store for documents and photographs. Secrets move into a vault and no API key is exposed to the browser for privileged access.</w:t>
      </w:r>
    </w:p>
    <w:p>
      <w:pPr>
        <w:jc w:val="center"/>
      </w:pPr>
      <w:r>
        <w:drawing>
          <wp:inline xmlns:a="http://schemas.openxmlformats.org/drawingml/2006/main" xmlns:pic="http://schemas.openxmlformats.org/drawingml/2006/picture">
            <wp:extent cx="5669280" cy="3844509"/>
            <wp:docPr id="2" name="Picture 2"/>
            <wp:cNvGraphicFramePr>
              <a:graphicFrameLocks noChangeAspect="1"/>
            </wp:cNvGraphicFramePr>
            <a:graphic>
              <a:graphicData uri="http://schemas.openxmlformats.org/drawingml/2006/picture">
                <pic:pic>
                  <pic:nvPicPr>
                    <pic:cNvPr id="0" name="fig2_tobe.png"/>
                    <pic:cNvPicPr/>
                  </pic:nvPicPr>
                  <pic:blipFill>
                    <a:blip r:embed="rId11"/>
                    <a:stretch>
                      <a:fillRect/>
                    </a:stretch>
                  </pic:blipFill>
                  <pic:spPr>
                    <a:xfrm>
                      <a:off x="0" y="0"/>
                      <a:ext cx="5669280" cy="3844509"/>
                    </a:xfrm>
                    <a:prstGeom prst="rect"/>
                  </pic:spPr>
                </pic:pic>
              </a:graphicData>
            </a:graphic>
          </wp:inline>
        </w:drawing>
      </w:r>
    </w:p>
    <w:p>
      <w:pPr>
        <w:spacing w:after="160"/>
        <w:jc w:val="center"/>
      </w:pPr>
      <w:r>
        <w:rPr>
          <w:i/>
          <w:color w:val="5A6B87"/>
          <w:sz w:val="17"/>
        </w:rPr>
        <w:t>Figure 2. Proposed (to-be) architecture on Airtel-managed VMs. All PII and payment data remain inside the Airtel estate.</w:t>
      </w:r>
    </w:p>
    <w:p>
      <w:pPr>
        <w:pStyle w:val="Heading2"/>
      </w:pPr>
      <w:r>
        <w:t>6.2 Network view and zoning</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448"/>
            <w:shd w:val="clear" w:color="auto" w:fill="D9E2F3"/>
          </w:tcPr>
          <w:p>
            <w:pPr>
              <w:spacing w:after="40" w:before="40"/>
              <w:jc w:val="left"/>
            </w:pPr>
            <w:r/>
            <w:r>
              <w:rPr>
                <w:rFonts w:ascii="Calibri" w:hAnsi="Calibri"/>
                <w:b/>
                <w:color w:val="1A2233"/>
                <w:sz w:val="18"/>
              </w:rPr>
              <w:t>Zone</w:t>
            </w:r>
          </w:p>
        </w:tc>
        <w:tc>
          <w:tcPr>
            <w:tcW w:type="dxa" w:w="4464"/>
            <w:shd w:val="clear" w:color="auto" w:fill="D9E2F3"/>
          </w:tcPr>
          <w:p>
            <w:pPr>
              <w:spacing w:after="40" w:before="40"/>
              <w:jc w:val="left"/>
            </w:pPr>
            <w:r/>
            <w:r>
              <w:rPr>
                <w:rFonts w:ascii="Calibri" w:hAnsi="Calibri"/>
                <w:b/>
                <w:color w:val="1A2233"/>
                <w:sz w:val="18"/>
              </w:rPr>
              <w:t>Components</w:t>
            </w:r>
          </w:p>
        </w:tc>
        <w:tc>
          <w:tcPr>
            <w:tcW w:type="dxa" w:w="2160"/>
            <w:shd w:val="clear" w:color="auto" w:fill="D9E2F3"/>
          </w:tcPr>
          <w:p>
            <w:pPr>
              <w:spacing w:after="40" w:before="40"/>
              <w:jc w:val="left"/>
            </w:pPr>
            <w:r/>
            <w:r>
              <w:rPr>
                <w:rFonts w:ascii="Calibri" w:hAnsi="Calibri"/>
                <w:b/>
                <w:color w:val="1A2233"/>
                <w:sz w:val="18"/>
              </w:rPr>
              <w:t>Exposure</w:t>
            </w:r>
          </w:p>
        </w:tc>
      </w:tr>
      <w:tr>
        <w:tc>
          <w:tcPr>
            <w:tcW w:type="dxa" w:w="2448"/>
          </w:tcPr>
          <w:p>
            <w:pPr>
              <w:spacing w:after="40" w:before="40"/>
              <w:jc w:val="left"/>
            </w:pPr>
            <w:r/>
            <w:r>
              <w:rPr>
                <w:rFonts w:ascii="Calibri" w:hAnsi="Calibri"/>
                <w:b w:val="0"/>
                <w:color w:val="1A2233"/>
                <w:sz w:val="18"/>
              </w:rPr>
              <w:t>Ingress</w:t>
            </w:r>
          </w:p>
        </w:tc>
        <w:tc>
          <w:tcPr>
            <w:tcW w:type="dxa" w:w="4464"/>
          </w:tcPr>
          <w:p>
            <w:pPr>
              <w:spacing w:after="40" w:before="40"/>
              <w:jc w:val="left"/>
            </w:pPr>
            <w:r/>
            <w:r>
              <w:rPr>
                <w:rFonts w:ascii="Calibri" w:hAnsi="Calibri"/>
                <w:b w:val="0"/>
                <w:color w:val="1A2233"/>
                <w:sz w:val="18"/>
              </w:rPr>
              <w:t>Airtel WAF plus load balancer (active/active), TLS 1.2+ termination</w:t>
            </w:r>
          </w:p>
        </w:tc>
        <w:tc>
          <w:tcPr>
            <w:tcW w:type="dxa" w:w="2160"/>
          </w:tcPr>
          <w:p>
            <w:pPr>
              <w:spacing w:after="40" w:before="40"/>
              <w:jc w:val="left"/>
            </w:pPr>
            <w:r/>
            <w:r>
              <w:rPr>
                <w:rFonts w:ascii="Calibri" w:hAnsi="Calibri"/>
                <w:b w:val="0"/>
                <w:color w:val="1A2233"/>
                <w:sz w:val="18"/>
              </w:rPr>
              <w:t>Only public entry point</w:t>
            </w:r>
          </w:p>
        </w:tc>
      </w:tr>
      <w:tr>
        <w:tc>
          <w:tcPr>
            <w:tcW w:type="dxa" w:w="2448"/>
            <w:shd w:val="clear" w:color="auto" w:fill="F2F5FB"/>
          </w:tcPr>
          <w:p>
            <w:pPr>
              <w:spacing w:after="40" w:before="40"/>
              <w:jc w:val="left"/>
            </w:pPr>
            <w:r/>
            <w:r>
              <w:rPr>
                <w:rFonts w:ascii="Calibri" w:hAnsi="Calibri"/>
                <w:b w:val="0"/>
                <w:color w:val="1A2233"/>
                <w:sz w:val="18"/>
              </w:rPr>
              <w:t>Web zone (DMZ)</w:t>
            </w:r>
          </w:p>
        </w:tc>
        <w:tc>
          <w:tcPr>
            <w:tcW w:type="dxa" w:w="4464"/>
            <w:shd w:val="clear" w:color="auto" w:fill="F2F5FB"/>
          </w:tcPr>
          <w:p>
            <w:pPr>
              <w:spacing w:after="40" w:before="40"/>
              <w:jc w:val="left"/>
            </w:pPr>
            <w:r/>
            <w:r>
              <w:rPr>
                <w:rFonts w:ascii="Calibri" w:hAnsi="Calibri"/>
                <w:b w:val="0"/>
                <w:color w:val="1A2233"/>
                <w:sz w:val="18"/>
              </w:rPr>
              <w:t>Web VM #1 and #2 (Nginx serving PWA static)</w:t>
            </w:r>
          </w:p>
        </w:tc>
        <w:tc>
          <w:tcPr>
            <w:tcW w:type="dxa" w:w="2160"/>
            <w:shd w:val="clear" w:color="auto" w:fill="F2F5FB"/>
          </w:tcPr>
          <w:p>
            <w:pPr>
              <w:spacing w:after="40" w:before="40"/>
              <w:jc w:val="left"/>
            </w:pPr>
            <w:r/>
            <w:r>
              <w:rPr>
                <w:rFonts w:ascii="Calibri" w:hAnsi="Calibri"/>
                <w:b w:val="0"/>
                <w:color w:val="1A2233"/>
                <w:sz w:val="18"/>
              </w:rPr>
              <w:t>Reachable from LB only</w:t>
            </w:r>
          </w:p>
        </w:tc>
      </w:tr>
      <w:tr>
        <w:tc>
          <w:tcPr>
            <w:tcW w:type="dxa" w:w="2448"/>
          </w:tcPr>
          <w:p>
            <w:pPr>
              <w:spacing w:after="40" w:before="40"/>
              <w:jc w:val="left"/>
            </w:pPr>
            <w:r/>
            <w:r>
              <w:rPr>
                <w:rFonts w:ascii="Calibri" w:hAnsi="Calibri"/>
                <w:b w:val="0"/>
                <w:color w:val="1A2233"/>
                <w:sz w:val="18"/>
              </w:rPr>
              <w:t>Application zone</w:t>
            </w:r>
          </w:p>
        </w:tc>
        <w:tc>
          <w:tcPr>
            <w:tcW w:type="dxa" w:w="4464"/>
          </w:tcPr>
          <w:p>
            <w:pPr>
              <w:spacing w:after="40" w:before="40"/>
              <w:jc w:val="left"/>
            </w:pPr>
            <w:r/>
            <w:r>
              <w:rPr>
                <w:rFonts w:ascii="Calibri" w:hAnsi="Calibri"/>
                <w:b w:val="0"/>
                <w:color w:val="1A2233"/>
                <w:sz w:val="18"/>
              </w:rPr>
              <w:t>API VM #1 and #2 (containerised Node/Deno functions)</w:t>
            </w:r>
          </w:p>
        </w:tc>
        <w:tc>
          <w:tcPr>
            <w:tcW w:type="dxa" w:w="2160"/>
          </w:tcPr>
          <w:p>
            <w:pPr>
              <w:spacing w:after="40" w:before="40"/>
              <w:jc w:val="left"/>
            </w:pPr>
            <w:r/>
            <w:r>
              <w:rPr>
                <w:rFonts w:ascii="Calibri" w:hAnsi="Calibri"/>
                <w:b w:val="0"/>
                <w:color w:val="1A2233"/>
                <w:sz w:val="18"/>
              </w:rPr>
              <w:t>Reachable from web zone and LB</w:t>
            </w:r>
          </w:p>
        </w:tc>
      </w:tr>
      <w:tr>
        <w:tc>
          <w:tcPr>
            <w:tcW w:type="dxa" w:w="2448"/>
            <w:shd w:val="clear" w:color="auto" w:fill="F2F5FB"/>
          </w:tcPr>
          <w:p>
            <w:pPr>
              <w:spacing w:after="40" w:before="40"/>
              <w:jc w:val="left"/>
            </w:pPr>
            <w:r/>
            <w:r>
              <w:rPr>
                <w:rFonts w:ascii="Calibri" w:hAnsi="Calibri"/>
                <w:b w:val="0"/>
                <w:color w:val="1A2233"/>
                <w:sz w:val="18"/>
              </w:rPr>
              <w:t>Data zone (private subnet)</w:t>
            </w:r>
          </w:p>
        </w:tc>
        <w:tc>
          <w:tcPr>
            <w:tcW w:type="dxa" w:w="4464"/>
            <w:shd w:val="clear" w:color="auto" w:fill="F2F5FB"/>
          </w:tcPr>
          <w:p>
            <w:pPr>
              <w:spacing w:after="40" w:before="40"/>
              <w:jc w:val="left"/>
            </w:pPr>
            <w:r/>
            <w:r>
              <w:rPr>
                <w:rFonts w:ascii="Calibri" w:hAnsi="Calibri"/>
                <w:b w:val="0"/>
                <w:color w:val="1A2233"/>
                <w:sz w:val="18"/>
              </w:rPr>
              <w:t>PostgreSQL primary and replica, PgBouncer, PostgREST, MinIO object storage</w:t>
            </w:r>
          </w:p>
        </w:tc>
        <w:tc>
          <w:tcPr>
            <w:tcW w:type="dxa" w:w="2160"/>
            <w:shd w:val="clear" w:color="auto" w:fill="F2F5FB"/>
          </w:tcPr>
          <w:p>
            <w:pPr>
              <w:spacing w:after="40" w:before="40"/>
              <w:jc w:val="left"/>
            </w:pPr>
            <w:r/>
            <w:r>
              <w:rPr>
                <w:rFonts w:ascii="Calibri" w:hAnsi="Calibri"/>
                <w:b w:val="0"/>
                <w:color w:val="1A2233"/>
                <w:sz w:val="18"/>
              </w:rPr>
              <w:t>No inbound Internet; reachable from app zone only</w:t>
            </w:r>
          </w:p>
        </w:tc>
      </w:tr>
      <w:tr>
        <w:tc>
          <w:tcPr>
            <w:tcW w:type="dxa" w:w="2448"/>
          </w:tcPr>
          <w:p>
            <w:pPr>
              <w:spacing w:after="40" w:before="40"/>
              <w:jc w:val="left"/>
            </w:pPr>
            <w:r/>
            <w:r>
              <w:rPr>
                <w:rFonts w:ascii="Calibri" w:hAnsi="Calibri"/>
                <w:b w:val="0"/>
                <w:color w:val="1A2233"/>
                <w:sz w:val="18"/>
              </w:rPr>
              <w:t>Management zone</w:t>
            </w:r>
          </w:p>
        </w:tc>
        <w:tc>
          <w:tcPr>
            <w:tcW w:type="dxa" w:w="4464"/>
          </w:tcPr>
          <w:p>
            <w:pPr>
              <w:spacing w:after="40" w:before="40"/>
              <w:jc w:val="left"/>
            </w:pPr>
            <w:r/>
            <w:r>
              <w:rPr>
                <w:rFonts w:ascii="Calibri" w:hAnsi="Calibri"/>
                <w:b w:val="0"/>
                <w:color w:val="1A2233"/>
                <w:sz w:val="18"/>
              </w:rPr>
              <w:t>Bastion (SSH, MFA), backup and WAL archive, monitoring / SIEM, secrets vault</w:t>
            </w:r>
          </w:p>
        </w:tc>
        <w:tc>
          <w:tcPr>
            <w:tcW w:type="dxa" w:w="2160"/>
          </w:tcPr>
          <w:p>
            <w:pPr>
              <w:spacing w:after="40" w:before="40"/>
              <w:jc w:val="left"/>
            </w:pPr>
            <w:r/>
            <w:r>
              <w:rPr>
                <w:rFonts w:ascii="Calibri" w:hAnsi="Calibri"/>
                <w:b w:val="0"/>
                <w:color w:val="1A2233"/>
                <w:sz w:val="18"/>
              </w:rPr>
              <w:t>Admin access only</w:t>
            </w:r>
          </w:p>
        </w:tc>
      </w:tr>
    </w:tbl>
    <w:p>
      <w:pPr>
        <w:spacing w:after="40"/>
      </w:pPr>
    </w:p>
    <w:p>
      <w:pPr>
        <w:pStyle w:val="Heading2"/>
      </w:pPr>
      <w:r>
        <w:t>6.3 Internal integration points (to-be)</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c>
          <w:tcPr>
            <w:tcW w:type="dxa" w:w="2160"/>
            <w:shd w:val="clear" w:color="auto" w:fill="D9E2F3"/>
          </w:tcPr>
          <w:p>
            <w:pPr>
              <w:spacing w:after="40" w:before="40"/>
              <w:jc w:val="left"/>
            </w:pPr>
            <w:r/>
            <w:r>
              <w:rPr>
                <w:rFonts w:ascii="Calibri" w:hAnsi="Calibri"/>
                <w:b/>
                <w:color w:val="1A2233"/>
                <w:sz w:val="18"/>
              </w:rPr>
              <w:t>From</w:t>
            </w:r>
          </w:p>
        </w:tc>
        <w:tc>
          <w:tcPr>
            <w:tcW w:type="dxa" w:w="2448"/>
            <w:shd w:val="clear" w:color="auto" w:fill="D9E2F3"/>
          </w:tcPr>
          <w:p>
            <w:pPr>
              <w:spacing w:after="40" w:before="40"/>
              <w:jc w:val="left"/>
            </w:pPr>
            <w:r/>
            <w:r>
              <w:rPr>
                <w:rFonts w:ascii="Calibri" w:hAnsi="Calibri"/>
                <w:b/>
                <w:color w:val="1A2233"/>
                <w:sz w:val="18"/>
              </w:rPr>
              <w:t>To</w:t>
            </w:r>
          </w:p>
        </w:tc>
        <w:tc>
          <w:tcPr>
            <w:tcW w:type="dxa" w:w="2160"/>
            <w:shd w:val="clear" w:color="auto" w:fill="D9E2F3"/>
          </w:tcPr>
          <w:p>
            <w:pPr>
              <w:spacing w:after="40" w:before="40"/>
              <w:jc w:val="left"/>
            </w:pPr>
            <w:r/>
            <w:r>
              <w:rPr>
                <w:rFonts w:ascii="Calibri" w:hAnsi="Calibri"/>
                <w:b/>
                <w:color w:val="1A2233"/>
                <w:sz w:val="18"/>
              </w:rPr>
              <w:t>Protocol / port</w:t>
            </w:r>
          </w:p>
        </w:tc>
        <w:tc>
          <w:tcPr>
            <w:tcW w:type="dxa" w:w="2304"/>
            <w:shd w:val="clear" w:color="auto" w:fill="D9E2F3"/>
          </w:tcPr>
          <w:p>
            <w:pPr>
              <w:spacing w:after="40" w:before="40"/>
              <w:jc w:val="left"/>
            </w:pPr>
            <w:r/>
            <w:r>
              <w:rPr>
                <w:rFonts w:ascii="Calibri" w:hAnsi="Calibri"/>
                <w:b/>
                <w:color w:val="1A2233"/>
                <w:sz w:val="18"/>
              </w:rPr>
              <w:t>Purpose</w:t>
            </w:r>
          </w:p>
        </w:tc>
      </w:tr>
      <w:tr>
        <w:tc>
          <w:tcPr>
            <w:tcW w:type="dxa" w:w="2160"/>
          </w:tcPr>
          <w:p>
            <w:pPr>
              <w:spacing w:after="40" w:before="40"/>
              <w:jc w:val="left"/>
            </w:pPr>
            <w:r/>
            <w:r>
              <w:rPr>
                <w:rFonts w:ascii="Calibri" w:hAnsi="Calibri"/>
                <w:b w:val="0"/>
                <w:color w:val="1A2233"/>
                <w:sz w:val="18"/>
              </w:rPr>
              <w:t>Load balancer</w:t>
            </w:r>
          </w:p>
        </w:tc>
        <w:tc>
          <w:tcPr>
            <w:tcW w:type="dxa" w:w="2448"/>
          </w:tcPr>
          <w:p>
            <w:pPr>
              <w:spacing w:after="40" w:before="40"/>
              <w:jc w:val="left"/>
            </w:pPr>
            <w:r/>
            <w:r>
              <w:rPr>
                <w:rFonts w:ascii="Calibri" w:hAnsi="Calibri"/>
                <w:b w:val="0"/>
                <w:color w:val="1A2233"/>
                <w:sz w:val="18"/>
              </w:rPr>
              <w:t>Web VMs</w:t>
            </w:r>
          </w:p>
        </w:tc>
        <w:tc>
          <w:tcPr>
            <w:tcW w:type="dxa" w:w="2160"/>
          </w:tcPr>
          <w:p>
            <w:pPr>
              <w:spacing w:after="40" w:before="40"/>
              <w:jc w:val="left"/>
            </w:pPr>
            <w:r/>
            <w:r>
              <w:rPr>
                <w:rFonts w:ascii="Calibri" w:hAnsi="Calibri"/>
                <w:b w:val="0"/>
                <w:color w:val="1A2233"/>
                <w:sz w:val="18"/>
              </w:rPr>
              <w:t>HTTPS / 443</w:t>
            </w:r>
          </w:p>
        </w:tc>
        <w:tc>
          <w:tcPr>
            <w:tcW w:type="dxa" w:w="2304"/>
          </w:tcPr>
          <w:p>
            <w:pPr>
              <w:spacing w:after="40" w:before="40"/>
              <w:jc w:val="left"/>
            </w:pPr>
            <w:r/>
            <w:r>
              <w:rPr>
                <w:rFonts w:ascii="Calibri" w:hAnsi="Calibri"/>
                <w:b w:val="0"/>
                <w:color w:val="1A2233"/>
                <w:sz w:val="18"/>
              </w:rPr>
              <w:t>Serve PWA static assets.</w:t>
            </w:r>
          </w:p>
        </w:tc>
      </w:tr>
      <w:tr>
        <w:tc>
          <w:tcPr>
            <w:tcW w:type="dxa" w:w="2160"/>
            <w:shd w:val="clear" w:color="auto" w:fill="F2F5FB"/>
          </w:tcPr>
          <w:p>
            <w:pPr>
              <w:spacing w:after="40" w:before="40"/>
              <w:jc w:val="left"/>
            </w:pPr>
            <w:r/>
            <w:r>
              <w:rPr>
                <w:rFonts w:ascii="Calibri" w:hAnsi="Calibri"/>
                <w:b w:val="0"/>
                <w:color w:val="1A2233"/>
                <w:sz w:val="18"/>
              </w:rPr>
              <w:t>Load balancer</w:t>
            </w:r>
          </w:p>
        </w:tc>
        <w:tc>
          <w:tcPr>
            <w:tcW w:type="dxa" w:w="2448"/>
            <w:shd w:val="clear" w:color="auto" w:fill="F2F5FB"/>
          </w:tcPr>
          <w:p>
            <w:pPr>
              <w:spacing w:after="40" w:before="40"/>
              <w:jc w:val="left"/>
            </w:pPr>
            <w:r/>
            <w:r>
              <w:rPr>
                <w:rFonts w:ascii="Calibri" w:hAnsi="Calibri"/>
                <w:b w:val="0"/>
                <w:color w:val="1A2233"/>
                <w:sz w:val="18"/>
              </w:rPr>
              <w:t>API VMs</w:t>
            </w:r>
          </w:p>
        </w:tc>
        <w:tc>
          <w:tcPr>
            <w:tcW w:type="dxa" w:w="2160"/>
            <w:shd w:val="clear" w:color="auto" w:fill="F2F5FB"/>
          </w:tcPr>
          <w:p>
            <w:pPr>
              <w:spacing w:after="40" w:before="40"/>
              <w:jc w:val="left"/>
            </w:pPr>
            <w:r/>
            <w:r>
              <w:rPr>
                <w:rFonts w:ascii="Calibri" w:hAnsi="Calibri"/>
                <w:b w:val="0"/>
                <w:color w:val="1A2233"/>
                <w:sz w:val="18"/>
              </w:rPr>
              <w:t>HTTPS / 443</w:t>
            </w:r>
          </w:p>
        </w:tc>
        <w:tc>
          <w:tcPr>
            <w:tcW w:type="dxa" w:w="2304"/>
            <w:shd w:val="clear" w:color="auto" w:fill="F2F5FB"/>
          </w:tcPr>
          <w:p>
            <w:pPr>
              <w:spacing w:after="40" w:before="40"/>
              <w:jc w:val="left"/>
            </w:pPr>
            <w:r/>
            <w:r>
              <w:rPr>
                <w:rFonts w:ascii="Calibri" w:hAnsi="Calibri"/>
                <w:b w:val="0"/>
                <w:color w:val="1A2233"/>
                <w:sz w:val="18"/>
              </w:rPr>
              <w:t>API and function calls.</w:t>
            </w:r>
          </w:p>
        </w:tc>
      </w:tr>
      <w:tr>
        <w:tc>
          <w:tcPr>
            <w:tcW w:type="dxa" w:w="2160"/>
          </w:tcPr>
          <w:p>
            <w:pPr>
              <w:spacing w:after="40" w:before="40"/>
              <w:jc w:val="left"/>
            </w:pPr>
            <w:r/>
            <w:r>
              <w:rPr>
                <w:rFonts w:ascii="Calibri" w:hAnsi="Calibri"/>
                <w:b w:val="0"/>
                <w:color w:val="1A2233"/>
                <w:sz w:val="18"/>
              </w:rPr>
              <w:t>Web VMs</w:t>
            </w:r>
          </w:p>
        </w:tc>
        <w:tc>
          <w:tcPr>
            <w:tcW w:type="dxa" w:w="2448"/>
          </w:tcPr>
          <w:p>
            <w:pPr>
              <w:spacing w:after="40" w:before="40"/>
              <w:jc w:val="left"/>
            </w:pPr>
            <w:r/>
            <w:r>
              <w:rPr>
                <w:rFonts w:ascii="Calibri" w:hAnsi="Calibri"/>
                <w:b w:val="0"/>
                <w:color w:val="1A2233"/>
                <w:sz w:val="18"/>
              </w:rPr>
              <w:t>API VMs</w:t>
            </w:r>
          </w:p>
        </w:tc>
        <w:tc>
          <w:tcPr>
            <w:tcW w:type="dxa" w:w="2160"/>
          </w:tcPr>
          <w:p>
            <w:pPr>
              <w:spacing w:after="40" w:before="40"/>
              <w:jc w:val="left"/>
            </w:pPr>
            <w:r/>
            <w:r>
              <w:rPr>
                <w:rFonts w:ascii="Calibri" w:hAnsi="Calibri"/>
                <w:b w:val="0"/>
                <w:color w:val="1A2233"/>
                <w:sz w:val="18"/>
              </w:rPr>
              <w:t>HTTPS / internal</w:t>
            </w:r>
          </w:p>
        </w:tc>
        <w:tc>
          <w:tcPr>
            <w:tcW w:type="dxa" w:w="2304"/>
          </w:tcPr>
          <w:p>
            <w:pPr>
              <w:spacing w:after="40" w:before="40"/>
              <w:jc w:val="left"/>
            </w:pPr>
            <w:r/>
            <w:r>
              <w:rPr>
                <w:rFonts w:ascii="Calibri" w:hAnsi="Calibri"/>
                <w:b w:val="0"/>
                <w:color w:val="1A2233"/>
                <w:sz w:val="18"/>
              </w:rPr>
              <w:t>Application requests.</w:t>
            </w:r>
          </w:p>
        </w:tc>
      </w:tr>
      <w:tr>
        <w:tc>
          <w:tcPr>
            <w:tcW w:type="dxa" w:w="2160"/>
            <w:shd w:val="clear" w:color="auto" w:fill="F2F5FB"/>
          </w:tcPr>
          <w:p>
            <w:pPr>
              <w:spacing w:after="40" w:before="40"/>
              <w:jc w:val="left"/>
            </w:pPr>
            <w:r/>
            <w:r>
              <w:rPr>
                <w:rFonts w:ascii="Calibri" w:hAnsi="Calibri"/>
                <w:b w:val="0"/>
                <w:color w:val="1A2233"/>
                <w:sz w:val="18"/>
              </w:rPr>
              <w:t>API VMs</w:t>
            </w:r>
          </w:p>
        </w:tc>
        <w:tc>
          <w:tcPr>
            <w:tcW w:type="dxa" w:w="2448"/>
            <w:shd w:val="clear" w:color="auto" w:fill="F2F5FB"/>
          </w:tcPr>
          <w:p>
            <w:pPr>
              <w:spacing w:after="40" w:before="40"/>
              <w:jc w:val="left"/>
            </w:pPr>
            <w:r/>
            <w:r>
              <w:rPr>
                <w:rFonts w:ascii="Calibri" w:hAnsi="Calibri"/>
                <w:b w:val="0"/>
                <w:color w:val="1A2233"/>
                <w:sz w:val="18"/>
              </w:rPr>
              <w:t>PgBouncer / PostgreSQL</w:t>
            </w:r>
          </w:p>
        </w:tc>
        <w:tc>
          <w:tcPr>
            <w:tcW w:type="dxa" w:w="2160"/>
            <w:shd w:val="clear" w:color="auto" w:fill="F2F5FB"/>
          </w:tcPr>
          <w:p>
            <w:pPr>
              <w:spacing w:after="40" w:before="40"/>
              <w:jc w:val="left"/>
            </w:pPr>
            <w:r/>
            <w:r>
              <w:rPr>
                <w:rFonts w:ascii="Calibri" w:hAnsi="Calibri"/>
                <w:b w:val="0"/>
                <w:color w:val="1A2233"/>
                <w:sz w:val="18"/>
              </w:rPr>
              <w:t>libpq / 6432, 5432</w:t>
            </w:r>
          </w:p>
        </w:tc>
        <w:tc>
          <w:tcPr>
            <w:tcW w:type="dxa" w:w="2304"/>
            <w:shd w:val="clear" w:color="auto" w:fill="F2F5FB"/>
          </w:tcPr>
          <w:p>
            <w:pPr>
              <w:spacing w:after="40" w:before="40"/>
              <w:jc w:val="left"/>
            </w:pPr>
            <w:r/>
            <w:r>
              <w:rPr>
                <w:rFonts w:ascii="Calibri" w:hAnsi="Calibri"/>
                <w:b w:val="0"/>
                <w:color w:val="1A2233"/>
                <w:sz w:val="18"/>
              </w:rPr>
              <w:t>Pooled database access.</w:t>
            </w:r>
          </w:p>
        </w:tc>
      </w:tr>
      <w:tr>
        <w:tc>
          <w:tcPr>
            <w:tcW w:type="dxa" w:w="2160"/>
          </w:tcPr>
          <w:p>
            <w:pPr>
              <w:spacing w:after="40" w:before="40"/>
              <w:jc w:val="left"/>
            </w:pPr>
            <w:r/>
            <w:r>
              <w:rPr>
                <w:rFonts w:ascii="Calibri" w:hAnsi="Calibri"/>
                <w:b w:val="0"/>
                <w:color w:val="1A2233"/>
                <w:sz w:val="18"/>
              </w:rPr>
              <w:t>API VMs</w:t>
            </w:r>
          </w:p>
        </w:tc>
        <w:tc>
          <w:tcPr>
            <w:tcW w:type="dxa" w:w="2448"/>
          </w:tcPr>
          <w:p>
            <w:pPr>
              <w:spacing w:after="40" w:before="40"/>
              <w:jc w:val="left"/>
            </w:pPr>
            <w:r/>
            <w:r>
              <w:rPr>
                <w:rFonts w:ascii="Calibri" w:hAnsi="Calibri"/>
                <w:b w:val="0"/>
                <w:color w:val="1A2233"/>
                <w:sz w:val="18"/>
              </w:rPr>
              <w:t>MinIO</w:t>
            </w:r>
          </w:p>
        </w:tc>
        <w:tc>
          <w:tcPr>
            <w:tcW w:type="dxa" w:w="2160"/>
          </w:tcPr>
          <w:p>
            <w:pPr>
              <w:spacing w:after="40" w:before="40"/>
              <w:jc w:val="left"/>
            </w:pPr>
            <w:r/>
            <w:r>
              <w:rPr>
                <w:rFonts w:ascii="Calibri" w:hAnsi="Calibri"/>
                <w:b w:val="0"/>
                <w:color w:val="1A2233"/>
                <w:sz w:val="18"/>
              </w:rPr>
              <w:t>S3 API / 9000</w:t>
            </w:r>
          </w:p>
        </w:tc>
        <w:tc>
          <w:tcPr>
            <w:tcW w:type="dxa" w:w="2304"/>
          </w:tcPr>
          <w:p>
            <w:pPr>
              <w:spacing w:after="40" w:before="40"/>
              <w:jc w:val="left"/>
            </w:pPr>
            <w:r/>
            <w:r>
              <w:rPr>
                <w:rFonts w:ascii="Calibri" w:hAnsi="Calibri"/>
                <w:b w:val="0"/>
                <w:color w:val="1A2233"/>
                <w:sz w:val="18"/>
              </w:rPr>
              <w:t>Object storage read and write (server-side encrypted).</w:t>
            </w:r>
          </w:p>
        </w:tc>
      </w:tr>
      <w:tr>
        <w:tc>
          <w:tcPr>
            <w:tcW w:type="dxa" w:w="2160"/>
            <w:shd w:val="clear" w:color="auto" w:fill="F2F5FB"/>
          </w:tcPr>
          <w:p>
            <w:pPr>
              <w:spacing w:after="40" w:before="40"/>
              <w:jc w:val="left"/>
            </w:pPr>
            <w:r/>
            <w:r>
              <w:rPr>
                <w:rFonts w:ascii="Calibri" w:hAnsi="Calibri"/>
                <w:b w:val="0"/>
                <w:color w:val="1A2233"/>
                <w:sz w:val="18"/>
              </w:rPr>
              <w:t>PostgreSQL primary</w:t>
            </w:r>
          </w:p>
        </w:tc>
        <w:tc>
          <w:tcPr>
            <w:tcW w:type="dxa" w:w="2448"/>
            <w:shd w:val="clear" w:color="auto" w:fill="F2F5FB"/>
          </w:tcPr>
          <w:p>
            <w:pPr>
              <w:spacing w:after="40" w:before="40"/>
              <w:jc w:val="left"/>
            </w:pPr>
            <w:r/>
            <w:r>
              <w:rPr>
                <w:rFonts w:ascii="Calibri" w:hAnsi="Calibri"/>
                <w:b w:val="0"/>
                <w:color w:val="1A2233"/>
                <w:sz w:val="18"/>
              </w:rPr>
              <w:t>PostgreSQL replica</w:t>
            </w:r>
          </w:p>
        </w:tc>
        <w:tc>
          <w:tcPr>
            <w:tcW w:type="dxa" w:w="2160"/>
            <w:shd w:val="clear" w:color="auto" w:fill="F2F5FB"/>
          </w:tcPr>
          <w:p>
            <w:pPr>
              <w:spacing w:after="40" w:before="40"/>
              <w:jc w:val="left"/>
            </w:pPr>
            <w:r/>
            <w:r>
              <w:rPr>
                <w:rFonts w:ascii="Calibri" w:hAnsi="Calibri"/>
                <w:b w:val="0"/>
                <w:color w:val="1A2233"/>
                <w:sz w:val="18"/>
              </w:rPr>
              <w:t>Streaming replication / 5432</w:t>
            </w:r>
          </w:p>
        </w:tc>
        <w:tc>
          <w:tcPr>
            <w:tcW w:type="dxa" w:w="2304"/>
            <w:shd w:val="clear" w:color="auto" w:fill="F2F5FB"/>
          </w:tcPr>
          <w:p>
            <w:pPr>
              <w:spacing w:after="40" w:before="40"/>
              <w:jc w:val="left"/>
            </w:pPr>
            <w:r/>
            <w:r>
              <w:rPr>
                <w:rFonts w:ascii="Calibri" w:hAnsi="Calibri"/>
                <w:b w:val="0"/>
                <w:color w:val="1A2233"/>
                <w:sz w:val="18"/>
              </w:rPr>
              <w:t>High availability and read scaling.</w:t>
            </w:r>
          </w:p>
        </w:tc>
      </w:tr>
      <w:tr>
        <w:tc>
          <w:tcPr>
            <w:tcW w:type="dxa" w:w="2160"/>
          </w:tcPr>
          <w:p>
            <w:pPr>
              <w:spacing w:after="40" w:before="40"/>
              <w:jc w:val="left"/>
            </w:pPr>
            <w:r/>
            <w:r>
              <w:rPr>
                <w:rFonts w:ascii="Calibri" w:hAnsi="Calibri"/>
                <w:b w:val="0"/>
                <w:color w:val="1A2233"/>
                <w:sz w:val="18"/>
              </w:rPr>
              <w:t>All nodes</w:t>
            </w:r>
          </w:p>
        </w:tc>
        <w:tc>
          <w:tcPr>
            <w:tcW w:type="dxa" w:w="2448"/>
          </w:tcPr>
          <w:p>
            <w:pPr>
              <w:spacing w:after="40" w:before="40"/>
              <w:jc w:val="left"/>
            </w:pPr>
            <w:r/>
            <w:r>
              <w:rPr>
                <w:rFonts w:ascii="Calibri" w:hAnsi="Calibri"/>
                <w:b w:val="0"/>
                <w:color w:val="1A2233"/>
                <w:sz w:val="18"/>
              </w:rPr>
              <w:t>Vault, monitoring, backup</w:t>
            </w:r>
          </w:p>
        </w:tc>
        <w:tc>
          <w:tcPr>
            <w:tcW w:type="dxa" w:w="2160"/>
          </w:tcPr>
          <w:p>
            <w:pPr>
              <w:spacing w:after="40" w:before="40"/>
              <w:jc w:val="left"/>
            </w:pPr>
            <w:r/>
            <w:r>
              <w:rPr>
                <w:rFonts w:ascii="Calibri" w:hAnsi="Calibri"/>
                <w:b w:val="0"/>
                <w:color w:val="1A2233"/>
                <w:sz w:val="18"/>
              </w:rPr>
              <w:t>HTTPS / agent</w:t>
            </w:r>
          </w:p>
        </w:tc>
        <w:tc>
          <w:tcPr>
            <w:tcW w:type="dxa" w:w="2304"/>
          </w:tcPr>
          <w:p>
            <w:pPr>
              <w:spacing w:after="40" w:before="40"/>
              <w:jc w:val="left"/>
            </w:pPr>
            <w:r/>
            <w:r>
              <w:rPr>
                <w:rFonts w:ascii="Calibri" w:hAnsi="Calibri"/>
                <w:b w:val="0"/>
                <w:color w:val="1A2233"/>
                <w:sz w:val="18"/>
              </w:rPr>
              <w:t>Secrets, telemetry and backup.</w:t>
            </w:r>
          </w:p>
        </w:tc>
      </w:tr>
    </w:tbl>
    <w:p>
      <w:pPr>
        <w:spacing w:after="40"/>
      </w:pPr>
    </w:p>
    <w:p>
      <w:pPr>
        <w:pStyle w:val="Heading2"/>
      </w:pPr>
      <w:r>
        <w:t>6.4 External integration points (to-be)</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c>
          <w:tcPr>
            <w:tcW w:type="dxa" w:w="2448"/>
            <w:shd w:val="clear" w:color="auto" w:fill="D9E2F3"/>
          </w:tcPr>
          <w:p>
            <w:pPr>
              <w:spacing w:after="40" w:before="40"/>
              <w:jc w:val="left"/>
            </w:pPr>
            <w:r/>
            <w:r>
              <w:rPr>
                <w:rFonts w:ascii="Calibri" w:hAnsi="Calibri"/>
                <w:b/>
                <w:color w:val="1A2233"/>
                <w:sz w:val="18"/>
              </w:rPr>
              <w:t>Integration</w:t>
            </w:r>
          </w:p>
        </w:tc>
        <w:tc>
          <w:tcPr>
            <w:tcW w:type="dxa" w:w="2304"/>
            <w:shd w:val="clear" w:color="auto" w:fill="D9E2F3"/>
          </w:tcPr>
          <w:p>
            <w:pPr>
              <w:spacing w:after="40" w:before="40"/>
              <w:jc w:val="left"/>
            </w:pPr>
            <w:r/>
            <w:r>
              <w:rPr>
                <w:rFonts w:ascii="Calibri" w:hAnsi="Calibri"/>
                <w:b/>
                <w:color w:val="1A2233"/>
                <w:sz w:val="18"/>
              </w:rPr>
              <w:t>Direction</w:t>
            </w:r>
          </w:p>
        </w:tc>
        <w:tc>
          <w:tcPr>
            <w:tcW w:type="dxa" w:w="2016"/>
            <w:shd w:val="clear" w:color="auto" w:fill="D9E2F3"/>
          </w:tcPr>
          <w:p>
            <w:pPr>
              <w:spacing w:after="40" w:before="40"/>
              <w:jc w:val="left"/>
            </w:pPr>
            <w:r/>
            <w:r>
              <w:rPr>
                <w:rFonts w:ascii="Calibri" w:hAnsi="Calibri"/>
                <w:b/>
                <w:color w:val="1A2233"/>
                <w:sz w:val="18"/>
              </w:rPr>
              <w:t>Protocol / port</w:t>
            </w:r>
          </w:p>
        </w:tc>
        <w:tc>
          <w:tcPr>
            <w:tcW w:type="dxa" w:w="2304"/>
            <w:shd w:val="clear" w:color="auto" w:fill="D9E2F3"/>
          </w:tcPr>
          <w:p>
            <w:pPr>
              <w:spacing w:after="40" w:before="40"/>
              <w:jc w:val="left"/>
            </w:pPr>
            <w:r/>
            <w:r>
              <w:rPr>
                <w:rFonts w:ascii="Calibri" w:hAnsi="Calibri"/>
                <w:b/>
                <w:color w:val="1A2233"/>
                <w:sz w:val="18"/>
              </w:rPr>
              <w:t>Change from as-is</w:t>
            </w:r>
          </w:p>
        </w:tc>
      </w:tr>
      <w:tr>
        <w:tc>
          <w:tcPr>
            <w:tcW w:type="dxa" w:w="2448"/>
          </w:tcPr>
          <w:p>
            <w:pPr>
              <w:spacing w:after="40" w:before="40"/>
              <w:jc w:val="left"/>
            </w:pPr>
            <w:r/>
            <w:r>
              <w:rPr>
                <w:rFonts w:ascii="Calibri" w:hAnsi="Calibri"/>
                <w:b w:val="0"/>
                <w:color w:val="1A2233"/>
                <w:sz w:val="18"/>
              </w:rPr>
              <w:t>User to Airtel WAF/LB</w:t>
            </w:r>
          </w:p>
        </w:tc>
        <w:tc>
          <w:tcPr>
            <w:tcW w:type="dxa" w:w="2304"/>
          </w:tcPr>
          <w:p>
            <w:pPr>
              <w:spacing w:after="40" w:before="40"/>
              <w:jc w:val="left"/>
            </w:pPr>
            <w:r/>
            <w:r>
              <w:rPr>
                <w:rFonts w:ascii="Calibri" w:hAnsi="Calibri"/>
                <w:b w:val="0"/>
                <w:color w:val="1A2233"/>
                <w:sz w:val="18"/>
              </w:rPr>
              <w:t>User to system (inbound)</w:t>
            </w:r>
          </w:p>
        </w:tc>
        <w:tc>
          <w:tcPr>
            <w:tcW w:type="dxa" w:w="2016"/>
          </w:tcPr>
          <w:p>
            <w:pPr>
              <w:spacing w:after="40" w:before="40"/>
              <w:jc w:val="left"/>
            </w:pPr>
            <w:r/>
            <w:r>
              <w:rPr>
                <w:rFonts w:ascii="Calibri" w:hAnsi="Calibri"/>
                <w:b w:val="0"/>
                <w:color w:val="1A2233"/>
                <w:sz w:val="18"/>
              </w:rPr>
              <w:t>HTTPS / 443</w:t>
            </w:r>
          </w:p>
        </w:tc>
        <w:tc>
          <w:tcPr>
            <w:tcW w:type="dxa" w:w="2304"/>
          </w:tcPr>
          <w:p>
            <w:pPr>
              <w:spacing w:after="40" w:before="40"/>
              <w:jc w:val="left"/>
            </w:pPr>
            <w:r/>
            <w:r>
              <w:rPr>
                <w:rFonts w:ascii="Calibri" w:hAnsi="Calibri"/>
                <w:b w:val="0"/>
                <w:color w:val="1A2233"/>
                <w:sz w:val="18"/>
              </w:rPr>
              <w:t>Single controlled ingress replaces Vercel and direct Supabase calls.</w:t>
            </w:r>
          </w:p>
        </w:tc>
      </w:tr>
      <w:tr>
        <w:tc>
          <w:tcPr>
            <w:tcW w:type="dxa" w:w="2448"/>
            <w:shd w:val="clear" w:color="auto" w:fill="F2F5FB"/>
          </w:tcPr>
          <w:p>
            <w:pPr>
              <w:spacing w:after="40" w:before="40"/>
              <w:jc w:val="left"/>
            </w:pPr>
            <w:r/>
            <w:r>
              <w:rPr>
                <w:rFonts w:ascii="Calibri" w:hAnsi="Calibri"/>
                <w:b w:val="0"/>
                <w:color w:val="1A2233"/>
                <w:sz w:val="18"/>
              </w:rPr>
              <w:t>Map tiles</w:t>
            </w:r>
          </w:p>
        </w:tc>
        <w:tc>
          <w:tcPr>
            <w:tcW w:type="dxa" w:w="2304"/>
            <w:shd w:val="clear" w:color="auto" w:fill="F2F5FB"/>
          </w:tcPr>
          <w:p>
            <w:pPr>
              <w:spacing w:after="40" w:before="40"/>
              <w:jc w:val="left"/>
            </w:pPr>
            <w:r/>
            <w:r>
              <w:rPr>
                <w:rFonts w:ascii="Calibri" w:hAnsi="Calibri"/>
                <w:b w:val="0"/>
                <w:color w:val="1A2233"/>
                <w:sz w:val="18"/>
              </w:rPr>
              <w:t>Northbound (egress)</w:t>
            </w:r>
          </w:p>
        </w:tc>
        <w:tc>
          <w:tcPr>
            <w:tcW w:type="dxa" w:w="2016"/>
            <w:shd w:val="clear" w:color="auto" w:fill="F2F5FB"/>
          </w:tcPr>
          <w:p>
            <w:pPr>
              <w:spacing w:after="40" w:before="40"/>
              <w:jc w:val="left"/>
            </w:pPr>
            <w:r/>
            <w:r>
              <w:rPr>
                <w:rFonts w:ascii="Calibri" w:hAnsi="Calibri"/>
                <w:b w:val="0"/>
                <w:color w:val="1A2233"/>
                <w:sz w:val="18"/>
              </w:rPr>
              <w:t>HTTPS / 443</w:t>
            </w:r>
          </w:p>
        </w:tc>
        <w:tc>
          <w:tcPr>
            <w:tcW w:type="dxa" w:w="2304"/>
            <w:shd w:val="clear" w:color="auto" w:fill="F2F5FB"/>
          </w:tcPr>
          <w:p>
            <w:pPr>
              <w:spacing w:after="40" w:before="40"/>
              <w:jc w:val="left"/>
            </w:pPr>
            <w:r/>
            <w:r>
              <w:rPr>
                <w:rFonts w:ascii="Calibri" w:hAnsi="Calibri"/>
                <w:b w:val="0"/>
                <w:color w:val="1A2233"/>
                <w:sz w:val="18"/>
              </w:rPr>
              <w:t>Move to a self-hosted or Airtel-sanctioned tile source.</w:t>
            </w:r>
          </w:p>
        </w:tc>
      </w:tr>
      <w:tr>
        <w:tc>
          <w:tcPr>
            <w:tcW w:type="dxa" w:w="2448"/>
          </w:tcPr>
          <w:p>
            <w:pPr>
              <w:spacing w:after="40" w:before="40"/>
              <w:jc w:val="left"/>
            </w:pPr>
            <w:r/>
            <w:r>
              <w:rPr>
                <w:rFonts w:ascii="Calibri" w:hAnsi="Calibri"/>
                <w:b w:val="0"/>
                <w:color w:val="1A2233"/>
                <w:sz w:val="18"/>
              </w:rPr>
              <w:t>Airtel PKI / CA</w:t>
            </w:r>
          </w:p>
        </w:tc>
        <w:tc>
          <w:tcPr>
            <w:tcW w:type="dxa" w:w="2304"/>
          </w:tcPr>
          <w:p>
            <w:pPr>
              <w:spacing w:after="40" w:before="40"/>
              <w:jc w:val="left"/>
            </w:pPr>
            <w:r/>
            <w:r>
              <w:rPr>
                <w:rFonts w:ascii="Calibri" w:hAnsi="Calibri"/>
                <w:b w:val="0"/>
                <w:color w:val="1A2233"/>
                <w:sz w:val="18"/>
              </w:rPr>
              <w:t>Internal</w:t>
            </w:r>
          </w:p>
        </w:tc>
        <w:tc>
          <w:tcPr>
            <w:tcW w:type="dxa" w:w="2016"/>
          </w:tcPr>
          <w:p>
            <w:pPr>
              <w:spacing w:after="40" w:before="40"/>
              <w:jc w:val="left"/>
            </w:pPr>
            <w:r/>
            <w:r>
              <w:rPr>
                <w:rFonts w:ascii="Calibri" w:hAnsi="Calibri"/>
                <w:b w:val="0"/>
                <w:color w:val="1A2233"/>
                <w:sz w:val="18"/>
              </w:rPr>
              <w:t>HTTPS</w:t>
            </w:r>
          </w:p>
        </w:tc>
        <w:tc>
          <w:tcPr>
            <w:tcW w:type="dxa" w:w="2304"/>
          </w:tcPr>
          <w:p>
            <w:pPr>
              <w:spacing w:after="40" w:before="40"/>
              <w:jc w:val="left"/>
            </w:pPr>
            <w:r/>
            <w:r>
              <w:rPr>
                <w:rFonts w:ascii="Calibri" w:hAnsi="Calibri"/>
                <w:b w:val="0"/>
                <w:color w:val="1A2233"/>
                <w:sz w:val="18"/>
              </w:rPr>
              <w:t>TLS certificate issuance.</w:t>
            </w:r>
          </w:p>
        </w:tc>
      </w:tr>
      <w:tr>
        <w:tc>
          <w:tcPr>
            <w:tcW w:type="dxa" w:w="2448"/>
            <w:shd w:val="clear" w:color="auto" w:fill="F2F5FB"/>
          </w:tcPr>
          <w:p>
            <w:pPr>
              <w:spacing w:after="40" w:before="40"/>
              <w:jc w:val="left"/>
            </w:pPr>
            <w:r/>
            <w:r>
              <w:rPr>
                <w:rFonts w:ascii="Calibri" w:hAnsi="Calibri"/>
                <w:b w:val="0"/>
                <w:color w:val="1A2233"/>
                <w:sz w:val="18"/>
              </w:rPr>
              <w:t>Airtel AD / SSO (future)</w:t>
            </w:r>
          </w:p>
        </w:tc>
        <w:tc>
          <w:tcPr>
            <w:tcW w:type="dxa" w:w="2304"/>
            <w:shd w:val="clear" w:color="auto" w:fill="F2F5FB"/>
          </w:tcPr>
          <w:p>
            <w:pPr>
              <w:spacing w:after="40" w:before="40"/>
              <w:jc w:val="left"/>
            </w:pPr>
            <w:r/>
            <w:r>
              <w:rPr>
                <w:rFonts w:ascii="Calibri" w:hAnsi="Calibri"/>
                <w:b w:val="0"/>
                <w:color w:val="1A2233"/>
                <w:sz w:val="18"/>
              </w:rPr>
              <w:t>Internal</w:t>
            </w:r>
          </w:p>
        </w:tc>
        <w:tc>
          <w:tcPr>
            <w:tcW w:type="dxa" w:w="2016"/>
            <w:shd w:val="clear" w:color="auto" w:fill="F2F5FB"/>
          </w:tcPr>
          <w:p>
            <w:pPr>
              <w:spacing w:after="40" w:before="40"/>
              <w:jc w:val="left"/>
            </w:pPr>
            <w:r/>
            <w:r>
              <w:rPr>
                <w:rFonts w:ascii="Calibri" w:hAnsi="Calibri"/>
                <w:b w:val="0"/>
                <w:color w:val="1A2233"/>
                <w:sz w:val="18"/>
              </w:rPr>
              <w:t>LDAPS / SAML / OIDC</w:t>
            </w:r>
          </w:p>
        </w:tc>
        <w:tc>
          <w:tcPr>
            <w:tcW w:type="dxa" w:w="2304"/>
            <w:shd w:val="clear" w:color="auto" w:fill="F2F5FB"/>
          </w:tcPr>
          <w:p>
            <w:pPr>
              <w:spacing w:after="40" w:before="40"/>
              <w:jc w:val="left"/>
            </w:pPr>
            <w:r/>
            <w:r>
              <w:rPr>
                <w:rFonts w:ascii="Calibri" w:hAnsi="Calibri"/>
                <w:b w:val="0"/>
                <w:color w:val="1A2233"/>
                <w:sz w:val="18"/>
              </w:rPr>
              <w:t>Optional future move from phone+PIN to enterprise identity.</w:t>
            </w:r>
          </w:p>
        </w:tc>
      </w:tr>
      <w:tr>
        <w:tc>
          <w:tcPr>
            <w:tcW w:type="dxa" w:w="2448"/>
          </w:tcPr>
          <w:p>
            <w:pPr>
              <w:spacing w:after="40" w:before="40"/>
              <w:jc w:val="left"/>
            </w:pPr>
            <w:r/>
            <w:r>
              <w:rPr>
                <w:rFonts w:ascii="Calibri" w:hAnsi="Calibri"/>
                <w:b w:val="0"/>
                <w:color w:val="1A2233"/>
                <w:sz w:val="18"/>
              </w:rPr>
              <w:t>Mobile app updates</w:t>
            </w:r>
          </w:p>
        </w:tc>
        <w:tc>
          <w:tcPr>
            <w:tcW w:type="dxa" w:w="2304"/>
          </w:tcPr>
          <w:p>
            <w:pPr>
              <w:spacing w:after="40" w:before="40"/>
              <w:jc w:val="left"/>
            </w:pPr>
            <w:r/>
            <w:r>
              <w:rPr>
                <w:rFonts w:ascii="Calibri" w:hAnsi="Calibri"/>
                <w:b w:val="0"/>
                <w:color w:val="1A2233"/>
                <w:sz w:val="18"/>
              </w:rPr>
              <w:t>Southbound (push)</w:t>
            </w:r>
          </w:p>
        </w:tc>
        <w:tc>
          <w:tcPr>
            <w:tcW w:type="dxa" w:w="2016"/>
          </w:tcPr>
          <w:p>
            <w:pPr>
              <w:spacing w:after="40" w:before="40"/>
              <w:jc w:val="left"/>
            </w:pPr>
            <w:r/>
            <w:r>
              <w:rPr>
                <w:rFonts w:ascii="Calibri" w:hAnsi="Calibri"/>
                <w:b w:val="0"/>
                <w:color w:val="1A2233"/>
                <w:sz w:val="18"/>
              </w:rPr>
              <w:t>HTTPS / 443</w:t>
            </w:r>
          </w:p>
        </w:tc>
        <w:tc>
          <w:tcPr>
            <w:tcW w:type="dxa" w:w="2304"/>
          </w:tcPr>
          <w:p>
            <w:pPr>
              <w:spacing w:after="40" w:before="40"/>
              <w:jc w:val="left"/>
            </w:pPr>
            <w:r/>
            <w:r>
              <w:rPr>
                <w:rFonts w:ascii="Calibri" w:hAnsi="Calibri"/>
                <w:b w:val="0"/>
                <w:color w:val="1A2233"/>
                <w:sz w:val="18"/>
              </w:rPr>
              <w:t>Move OTA in-house or use signed store releases; retire external Capgo.</w:t>
            </w:r>
          </w:p>
        </w:tc>
      </w:tr>
    </w:tbl>
    <w:p>
      <w:pPr>
        <w:spacing w:after="40"/>
      </w:pPr>
    </w:p>
    <w:p>
      <w:pPr>
        <w:pStyle w:val="Heading2"/>
      </w:pPr>
      <w:r>
        <w:t>6.5 Infrastructure architecture and software stack (to-be)</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016"/>
            <w:shd w:val="clear" w:color="auto" w:fill="D9E2F3"/>
          </w:tcPr>
          <w:p>
            <w:pPr>
              <w:spacing w:after="40" w:before="40"/>
              <w:jc w:val="left"/>
            </w:pPr>
            <w:r/>
            <w:r>
              <w:rPr>
                <w:rFonts w:ascii="Calibri" w:hAnsi="Calibri"/>
                <w:b/>
                <w:color w:val="1A2233"/>
                <w:sz w:val="18"/>
              </w:rPr>
              <w:t>Layer</w:t>
            </w:r>
          </w:p>
        </w:tc>
        <w:tc>
          <w:tcPr>
            <w:tcW w:type="dxa" w:w="4320"/>
            <w:shd w:val="clear" w:color="auto" w:fill="D9E2F3"/>
          </w:tcPr>
          <w:p>
            <w:pPr>
              <w:spacing w:after="40" w:before="40"/>
              <w:jc w:val="left"/>
            </w:pPr>
            <w:r/>
            <w:r>
              <w:rPr>
                <w:rFonts w:ascii="Calibri" w:hAnsi="Calibri"/>
                <w:b/>
                <w:color w:val="1A2233"/>
                <w:sz w:val="18"/>
              </w:rPr>
              <w:t>To-be technology</w:t>
            </w:r>
          </w:p>
        </w:tc>
        <w:tc>
          <w:tcPr>
            <w:tcW w:type="dxa" w:w="2736"/>
            <w:shd w:val="clear" w:color="auto" w:fill="D9E2F3"/>
          </w:tcPr>
          <w:p>
            <w:pPr>
              <w:spacing w:after="40" w:before="40"/>
              <w:jc w:val="left"/>
            </w:pPr>
            <w:r/>
            <w:r>
              <w:rPr>
                <w:rFonts w:ascii="Calibri" w:hAnsi="Calibri"/>
                <w:b/>
                <w:color w:val="1A2233"/>
                <w:sz w:val="18"/>
              </w:rPr>
              <w:t>Notes</w:t>
            </w:r>
          </w:p>
        </w:tc>
      </w:tr>
      <w:tr>
        <w:tc>
          <w:tcPr>
            <w:tcW w:type="dxa" w:w="2016"/>
          </w:tcPr>
          <w:p>
            <w:pPr>
              <w:spacing w:after="40" w:before="40"/>
              <w:jc w:val="left"/>
            </w:pPr>
            <w:r/>
            <w:r>
              <w:rPr>
                <w:rFonts w:ascii="Calibri" w:hAnsi="Calibri"/>
                <w:b w:val="0"/>
                <w:color w:val="1A2233"/>
                <w:sz w:val="18"/>
              </w:rPr>
              <w:t>Ingress</w:t>
            </w:r>
          </w:p>
        </w:tc>
        <w:tc>
          <w:tcPr>
            <w:tcW w:type="dxa" w:w="4320"/>
          </w:tcPr>
          <w:p>
            <w:pPr>
              <w:spacing w:after="40" w:before="40"/>
              <w:jc w:val="left"/>
            </w:pPr>
            <w:r/>
            <w:r>
              <w:rPr>
                <w:rFonts w:ascii="Calibri" w:hAnsi="Calibri"/>
                <w:b w:val="0"/>
                <w:color w:val="1A2233"/>
                <w:sz w:val="18"/>
              </w:rPr>
              <w:t>Airtel WAF and load balancer (reuse existing Airtel COTS, for example F5 / Imperva class)</w:t>
            </w:r>
          </w:p>
        </w:tc>
        <w:tc>
          <w:tcPr>
            <w:tcW w:type="dxa" w:w="2736"/>
          </w:tcPr>
          <w:p>
            <w:pPr>
              <w:spacing w:after="40" w:before="40"/>
              <w:jc w:val="left"/>
            </w:pPr>
            <w:r/>
            <w:r>
              <w:rPr>
                <w:rFonts w:ascii="Calibri" w:hAnsi="Calibri"/>
                <w:b w:val="0"/>
                <w:color w:val="1A2233"/>
                <w:sz w:val="18"/>
              </w:rPr>
              <w:t>Active/active, TLS termination</w:t>
            </w:r>
          </w:p>
        </w:tc>
      </w:tr>
      <w:tr>
        <w:tc>
          <w:tcPr>
            <w:tcW w:type="dxa" w:w="2016"/>
            <w:shd w:val="clear" w:color="auto" w:fill="F2F5FB"/>
          </w:tcPr>
          <w:p>
            <w:pPr>
              <w:spacing w:after="40" w:before="40"/>
              <w:jc w:val="left"/>
            </w:pPr>
            <w:r/>
            <w:r>
              <w:rPr>
                <w:rFonts w:ascii="Calibri" w:hAnsi="Calibri"/>
                <w:b w:val="0"/>
                <w:color w:val="1A2233"/>
                <w:sz w:val="18"/>
              </w:rPr>
              <w:t>Web</w:t>
            </w:r>
          </w:p>
        </w:tc>
        <w:tc>
          <w:tcPr>
            <w:tcW w:type="dxa" w:w="4320"/>
            <w:shd w:val="clear" w:color="auto" w:fill="F2F5FB"/>
          </w:tcPr>
          <w:p>
            <w:pPr>
              <w:spacing w:after="40" w:before="40"/>
              <w:jc w:val="left"/>
            </w:pPr>
            <w:r/>
            <w:r>
              <w:rPr>
                <w:rFonts w:ascii="Calibri" w:hAnsi="Calibri"/>
                <w:b w:val="0"/>
                <w:color w:val="1A2233"/>
                <w:sz w:val="18"/>
              </w:rPr>
              <w:t>Nginx serving compiled PWA</w:t>
            </w:r>
          </w:p>
        </w:tc>
        <w:tc>
          <w:tcPr>
            <w:tcW w:type="dxa" w:w="2736"/>
            <w:shd w:val="clear" w:color="auto" w:fill="F2F5FB"/>
          </w:tcPr>
          <w:p>
            <w:pPr>
              <w:spacing w:after="40" w:before="40"/>
              <w:jc w:val="left"/>
            </w:pPr>
            <w:r/>
            <w:r>
              <w:rPr>
                <w:rFonts w:ascii="Calibri" w:hAnsi="Calibri"/>
                <w:b w:val="0"/>
                <w:color w:val="1A2233"/>
                <w:sz w:val="18"/>
              </w:rPr>
              <w:t>Stateless, horizontally scalable</w:t>
            </w:r>
          </w:p>
        </w:tc>
      </w:tr>
      <w:tr>
        <w:tc>
          <w:tcPr>
            <w:tcW w:type="dxa" w:w="2016"/>
          </w:tcPr>
          <w:p>
            <w:pPr>
              <w:spacing w:after="40" w:before="40"/>
              <w:jc w:val="left"/>
            </w:pPr>
            <w:r/>
            <w:r>
              <w:rPr>
                <w:rFonts w:ascii="Calibri" w:hAnsi="Calibri"/>
                <w:b w:val="0"/>
                <w:color w:val="1A2233"/>
                <w:sz w:val="18"/>
              </w:rPr>
              <w:t>Application</w:t>
            </w:r>
          </w:p>
        </w:tc>
        <w:tc>
          <w:tcPr>
            <w:tcW w:type="dxa" w:w="4320"/>
          </w:tcPr>
          <w:p>
            <w:pPr>
              <w:spacing w:after="40" w:before="40"/>
              <w:jc w:val="left"/>
            </w:pPr>
            <w:r/>
            <w:r>
              <w:rPr>
                <w:rFonts w:ascii="Calibri" w:hAnsi="Calibri"/>
                <w:b w:val="0"/>
                <w:color w:val="1A2233"/>
                <w:sz w:val="18"/>
              </w:rPr>
              <w:t>Node.js (or Deno) functions in containers (Docker / Podman)</w:t>
            </w:r>
          </w:p>
        </w:tc>
        <w:tc>
          <w:tcPr>
            <w:tcW w:type="dxa" w:w="2736"/>
          </w:tcPr>
          <w:p>
            <w:pPr>
              <w:spacing w:after="40" w:before="40"/>
              <w:jc w:val="left"/>
            </w:pPr>
            <w:r/>
            <w:r>
              <w:rPr>
                <w:rFonts w:ascii="Calibri" w:hAnsi="Calibri"/>
                <w:b w:val="0"/>
                <w:color w:val="1A2233"/>
                <w:sz w:val="18"/>
              </w:rPr>
              <w:t>Ported from Supabase edge functions</w:t>
            </w:r>
          </w:p>
        </w:tc>
      </w:tr>
      <w:tr>
        <w:tc>
          <w:tcPr>
            <w:tcW w:type="dxa" w:w="2016"/>
            <w:shd w:val="clear" w:color="auto" w:fill="F2F5FB"/>
          </w:tcPr>
          <w:p>
            <w:pPr>
              <w:spacing w:after="40" w:before="40"/>
              <w:jc w:val="left"/>
            </w:pPr>
            <w:r/>
            <w:r>
              <w:rPr>
                <w:rFonts w:ascii="Calibri" w:hAnsi="Calibri"/>
                <w:b w:val="0"/>
                <w:color w:val="1A2233"/>
                <w:sz w:val="18"/>
              </w:rPr>
              <w:t>API layer</w:t>
            </w:r>
          </w:p>
        </w:tc>
        <w:tc>
          <w:tcPr>
            <w:tcW w:type="dxa" w:w="4320"/>
            <w:shd w:val="clear" w:color="auto" w:fill="F2F5FB"/>
          </w:tcPr>
          <w:p>
            <w:pPr>
              <w:spacing w:after="40" w:before="40"/>
              <w:jc w:val="left"/>
            </w:pPr>
            <w:r/>
            <w:r>
              <w:rPr>
                <w:rFonts w:ascii="Calibri" w:hAnsi="Calibri"/>
                <w:b w:val="0"/>
                <w:color w:val="1A2233"/>
                <w:sz w:val="18"/>
              </w:rPr>
              <w:t>PostgREST plus PgBouncer</w:t>
            </w:r>
          </w:p>
        </w:tc>
        <w:tc>
          <w:tcPr>
            <w:tcW w:type="dxa" w:w="2736"/>
            <w:shd w:val="clear" w:color="auto" w:fill="F2F5FB"/>
          </w:tcPr>
          <w:p>
            <w:pPr>
              <w:spacing w:after="40" w:before="40"/>
              <w:jc w:val="left"/>
            </w:pPr>
            <w:r/>
            <w:r>
              <w:rPr>
                <w:rFonts w:ascii="Calibri" w:hAnsi="Calibri"/>
                <w:b w:val="0"/>
                <w:color w:val="1A2233"/>
                <w:sz w:val="18"/>
              </w:rPr>
              <w:t>REST over PostgreSQL, pooled</w:t>
            </w:r>
          </w:p>
        </w:tc>
      </w:tr>
      <w:tr>
        <w:tc>
          <w:tcPr>
            <w:tcW w:type="dxa" w:w="2016"/>
          </w:tcPr>
          <w:p>
            <w:pPr>
              <w:spacing w:after="40" w:before="40"/>
              <w:jc w:val="left"/>
            </w:pPr>
            <w:r/>
            <w:r>
              <w:rPr>
                <w:rFonts w:ascii="Calibri" w:hAnsi="Calibri"/>
                <w:b w:val="0"/>
                <w:color w:val="1A2233"/>
                <w:sz w:val="18"/>
              </w:rPr>
              <w:t>Data</w:t>
            </w:r>
          </w:p>
        </w:tc>
        <w:tc>
          <w:tcPr>
            <w:tcW w:type="dxa" w:w="4320"/>
          </w:tcPr>
          <w:p>
            <w:pPr>
              <w:spacing w:after="40" w:before="40"/>
              <w:jc w:val="left"/>
            </w:pPr>
            <w:r/>
            <w:r>
              <w:rPr>
                <w:rFonts w:ascii="Calibri" w:hAnsi="Calibri"/>
                <w:b w:val="0"/>
                <w:color w:val="1A2233"/>
                <w:sz w:val="18"/>
              </w:rPr>
              <w:t>PostgreSQL 16 with Patroni and etcd</w:t>
            </w:r>
          </w:p>
        </w:tc>
        <w:tc>
          <w:tcPr>
            <w:tcW w:type="dxa" w:w="2736"/>
          </w:tcPr>
          <w:p>
            <w:pPr>
              <w:spacing w:after="40" w:before="40"/>
              <w:jc w:val="left"/>
            </w:pPr>
            <w:r/>
            <w:r>
              <w:rPr>
                <w:rFonts w:ascii="Calibri" w:hAnsi="Calibri"/>
                <w:b w:val="0"/>
                <w:color w:val="1A2233"/>
                <w:sz w:val="18"/>
              </w:rPr>
              <w:t>Primary plus replica, automatic failover</w:t>
            </w:r>
          </w:p>
        </w:tc>
      </w:tr>
      <w:tr>
        <w:tc>
          <w:tcPr>
            <w:tcW w:type="dxa" w:w="2016"/>
            <w:shd w:val="clear" w:color="auto" w:fill="F2F5FB"/>
          </w:tcPr>
          <w:p>
            <w:pPr>
              <w:spacing w:after="40" w:before="40"/>
              <w:jc w:val="left"/>
            </w:pPr>
            <w:r/>
            <w:r>
              <w:rPr>
                <w:rFonts w:ascii="Calibri" w:hAnsi="Calibri"/>
                <w:b w:val="0"/>
                <w:color w:val="1A2233"/>
                <w:sz w:val="18"/>
              </w:rPr>
              <w:t>Object storage</w:t>
            </w:r>
          </w:p>
        </w:tc>
        <w:tc>
          <w:tcPr>
            <w:tcW w:type="dxa" w:w="4320"/>
            <w:shd w:val="clear" w:color="auto" w:fill="F2F5FB"/>
          </w:tcPr>
          <w:p>
            <w:pPr>
              <w:spacing w:after="40" w:before="40"/>
              <w:jc w:val="left"/>
            </w:pPr>
            <w:r/>
            <w:r>
              <w:rPr>
                <w:rFonts w:ascii="Calibri" w:hAnsi="Calibri"/>
                <w:b w:val="0"/>
                <w:color w:val="1A2233"/>
                <w:sz w:val="18"/>
              </w:rPr>
              <w:t>MinIO (S3-compatible)</w:t>
            </w:r>
          </w:p>
        </w:tc>
        <w:tc>
          <w:tcPr>
            <w:tcW w:type="dxa" w:w="2736"/>
            <w:shd w:val="clear" w:color="auto" w:fill="F2F5FB"/>
          </w:tcPr>
          <w:p>
            <w:pPr>
              <w:spacing w:after="40" w:before="40"/>
              <w:jc w:val="left"/>
            </w:pPr>
            <w:r/>
            <w:r>
              <w:rPr>
                <w:rFonts w:ascii="Calibri" w:hAnsi="Calibri"/>
                <w:b w:val="0"/>
                <w:color w:val="1A2233"/>
                <w:sz w:val="18"/>
              </w:rPr>
              <w:t>Server-side encryption; note AGPL licensing (Section 9)</w:t>
            </w:r>
          </w:p>
        </w:tc>
      </w:tr>
      <w:tr>
        <w:tc>
          <w:tcPr>
            <w:tcW w:type="dxa" w:w="2016"/>
          </w:tcPr>
          <w:p>
            <w:pPr>
              <w:spacing w:after="40" w:before="40"/>
              <w:jc w:val="left"/>
            </w:pPr>
            <w:r/>
            <w:r>
              <w:rPr>
                <w:rFonts w:ascii="Calibri" w:hAnsi="Calibri"/>
                <w:b w:val="0"/>
                <w:color w:val="1A2233"/>
                <w:sz w:val="18"/>
              </w:rPr>
              <w:t>Secrets</w:t>
            </w:r>
          </w:p>
        </w:tc>
        <w:tc>
          <w:tcPr>
            <w:tcW w:type="dxa" w:w="4320"/>
          </w:tcPr>
          <w:p>
            <w:pPr>
              <w:spacing w:after="40" w:before="40"/>
              <w:jc w:val="left"/>
            </w:pPr>
            <w:r/>
            <w:r>
              <w:rPr>
                <w:rFonts w:ascii="Calibri" w:hAnsi="Calibri"/>
                <w:b w:val="0"/>
                <w:color w:val="1A2233"/>
                <w:sz w:val="18"/>
              </w:rPr>
              <w:t>HashiCorp Vault</w:t>
            </w:r>
          </w:p>
        </w:tc>
        <w:tc>
          <w:tcPr>
            <w:tcW w:type="dxa" w:w="2736"/>
          </w:tcPr>
          <w:p>
            <w:pPr>
              <w:spacing w:after="40" w:before="40"/>
              <w:jc w:val="left"/>
            </w:pPr>
            <w:r/>
            <w:r>
              <w:rPr>
                <w:rFonts w:ascii="Calibri" w:hAnsi="Calibri"/>
                <w:b w:val="0"/>
                <w:color w:val="1A2233"/>
                <w:sz w:val="18"/>
              </w:rPr>
              <w:t>Removes keys from client and config</w:t>
            </w:r>
          </w:p>
        </w:tc>
      </w:tr>
      <w:tr>
        <w:tc>
          <w:tcPr>
            <w:tcW w:type="dxa" w:w="2016"/>
            <w:shd w:val="clear" w:color="auto" w:fill="F2F5FB"/>
          </w:tcPr>
          <w:p>
            <w:pPr>
              <w:spacing w:after="40" w:before="40"/>
              <w:jc w:val="left"/>
            </w:pPr>
            <w:r/>
            <w:r>
              <w:rPr>
                <w:rFonts w:ascii="Calibri" w:hAnsi="Calibri"/>
                <w:b w:val="0"/>
                <w:color w:val="1A2233"/>
                <w:sz w:val="18"/>
              </w:rPr>
              <w:t>Observability</w:t>
            </w:r>
          </w:p>
        </w:tc>
        <w:tc>
          <w:tcPr>
            <w:tcW w:type="dxa" w:w="4320"/>
            <w:shd w:val="clear" w:color="auto" w:fill="F2F5FB"/>
          </w:tcPr>
          <w:p>
            <w:pPr>
              <w:spacing w:after="40" w:before="40"/>
              <w:jc w:val="left"/>
            </w:pPr>
            <w:r/>
            <w:r>
              <w:rPr>
                <w:rFonts w:ascii="Calibri" w:hAnsi="Calibri"/>
                <w:b w:val="0"/>
                <w:color w:val="1A2233"/>
                <w:sz w:val="18"/>
              </w:rPr>
              <w:t>Monitoring / SIEM per Airtel standard</w:t>
            </w:r>
          </w:p>
        </w:tc>
        <w:tc>
          <w:tcPr>
            <w:tcW w:type="dxa" w:w="2736"/>
            <w:shd w:val="clear" w:color="auto" w:fill="F2F5FB"/>
          </w:tcPr>
          <w:p>
            <w:pPr>
              <w:spacing w:after="40" w:before="40"/>
              <w:jc w:val="left"/>
            </w:pPr>
            <w:r/>
            <w:r>
              <w:rPr>
                <w:rFonts w:ascii="Calibri" w:hAnsi="Calibri"/>
                <w:b w:val="0"/>
                <w:color w:val="1A2233"/>
                <w:sz w:val="18"/>
              </w:rPr>
              <w:t>Central logging and alerting</w:t>
            </w:r>
          </w:p>
        </w:tc>
      </w:tr>
    </w:tbl>
    <w:p>
      <w:pPr>
        <w:spacing w:after="40"/>
      </w:pPr>
    </w:p>
    <w:p>
      <w:pPr>
        <w:pStyle w:val="Heading3"/>
      </w:pPr>
      <w:r>
        <w:t>6.6 Operating systems and clustering</w:t>
      </w:r>
    </w:p>
    <w:p>
      <w:pPr>
        <w:pStyle w:val="ListBullet"/>
        <w:spacing w:after="60"/>
      </w:pPr>
      <w:r>
        <w:rPr>
          <w:color w:val="1A2233"/>
          <w:sz w:val="21"/>
        </w:rPr>
        <w:t>Operating system: Ubuntu Server 22.04 LTS or RHEL 9 per Airtel data-centre standard (confirm with infrastructure team).</w:t>
      </w:r>
    </w:p>
    <w:p>
      <w:pPr>
        <w:pStyle w:val="ListBullet"/>
        <w:spacing w:after="60"/>
      </w:pPr>
      <w:r>
        <w:rPr>
          <w:color w:val="1A2233"/>
          <w:sz w:val="21"/>
        </w:rPr>
        <w:t>Web tier: two or more nodes, active/active behind the load balancer.</w:t>
      </w:r>
    </w:p>
    <w:p>
      <w:pPr>
        <w:pStyle w:val="ListBullet"/>
        <w:spacing w:after="60"/>
      </w:pPr>
      <w:r>
        <w:rPr>
          <w:color w:val="1A2233"/>
          <w:sz w:val="21"/>
        </w:rPr>
        <w:t>Application tier: two or more container hosts, horizontally scalable.</w:t>
      </w:r>
    </w:p>
    <w:p>
      <w:pPr>
        <w:pStyle w:val="ListBullet"/>
        <w:spacing w:after="60"/>
      </w:pPr>
      <w:r>
        <w:rPr>
          <w:color w:val="1A2233"/>
          <w:sz w:val="21"/>
        </w:rPr>
        <w:t>Database tier: PostgreSQL primary plus at least one streaming replica, orchestrated by Patroni with etcd for automatic failover.</w:t>
      </w:r>
    </w:p>
    <w:p>
      <w:pPr>
        <w:pStyle w:val="ListBullet"/>
        <w:spacing w:after="60"/>
      </w:pPr>
      <w:r>
        <w:rPr>
          <w:color w:val="1A2233"/>
          <w:sz w:val="21"/>
        </w:rPr>
        <w:t>Object storage: MinIO single node initially, with the option of distributed (multi-node) mode for redundancy.</w:t>
      </w:r>
    </w:p>
    <w:p>
      <w:pPr>
        <w:pStyle w:val="Heading3"/>
      </w:pPr>
      <w:r>
        <w:t>6.7 Database</w:t>
      </w:r>
    </w:p>
    <w:p>
      <w:pPr>
        <w:spacing w:after="120" w:before="0"/>
        <w:jc w:val="left"/>
      </w:pPr>
      <w:r>
        <w:rPr>
          <w:b w:val="0"/>
          <w:i w:val="0"/>
          <w:color w:val="1A2233"/>
          <w:sz w:val="21"/>
        </w:rPr>
        <w:t>PostgreSQL 16, self-managed on Airtel VMs, retaining the existing RLS policies and SECURITY DEFINER RPCs. High availability via streaming replication and Patroni. Point-in-time recovery via continuous WAL archiving to the management zone.</w:t>
      </w:r>
    </w:p>
    <w:p>
      <w:pPr>
        <w:pStyle w:val="Heading3"/>
      </w:pPr>
      <w:r>
        <w:t>6.8 Middleware</w:t>
      </w:r>
    </w:p>
    <w:p>
      <w:pPr>
        <w:spacing w:after="120" w:before="0"/>
        <w:jc w:val="left"/>
      </w:pPr>
      <w:r>
        <w:rPr>
          <w:b w:val="0"/>
          <w:i w:val="0"/>
          <w:color w:val="1A2233"/>
          <w:sz w:val="21"/>
        </w:rPr>
        <w:t>Nginx (web and reverse proxy), PgBouncer (connection pooling), PostgREST (REST API), the container runtime (Docker or Podman), Patroni and etcd (database HA), and HashiCorp Vault (secrets). All are Airtel-operated, patchable and monitorable.</w:t>
      </w:r>
    </w:p>
    <w:p>
      <w:pPr>
        <w:pStyle w:val="Heading2"/>
      </w:pPr>
      <w:r>
        <w:t>6.9 Proprietary / COTS versus open source (to-be)</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3744"/>
            <w:shd w:val="clear" w:color="auto" w:fill="D9E2F3"/>
          </w:tcPr>
          <w:p>
            <w:pPr>
              <w:spacing w:after="40" w:before="40"/>
              <w:jc w:val="left"/>
            </w:pPr>
            <w:r/>
            <w:r>
              <w:rPr>
                <w:rFonts w:ascii="Calibri" w:hAnsi="Calibri"/>
                <w:b/>
                <w:color w:val="1A2233"/>
                <w:sz w:val="18"/>
              </w:rPr>
              <w:t>Component</w:t>
            </w:r>
          </w:p>
        </w:tc>
        <w:tc>
          <w:tcPr>
            <w:tcW w:type="dxa" w:w="2736"/>
            <w:shd w:val="clear" w:color="auto" w:fill="D9E2F3"/>
          </w:tcPr>
          <w:p>
            <w:pPr>
              <w:spacing w:after="40" w:before="40"/>
              <w:jc w:val="left"/>
            </w:pPr>
            <w:r/>
            <w:r>
              <w:rPr>
                <w:rFonts w:ascii="Calibri" w:hAnsi="Calibri"/>
                <w:b/>
                <w:color w:val="1A2233"/>
                <w:sz w:val="18"/>
              </w:rPr>
              <w:t>Type</w:t>
            </w:r>
          </w:p>
        </w:tc>
        <w:tc>
          <w:tcPr>
            <w:tcW w:type="dxa" w:w="2592"/>
            <w:shd w:val="clear" w:color="auto" w:fill="D9E2F3"/>
          </w:tcPr>
          <w:p>
            <w:pPr>
              <w:spacing w:after="40" w:before="40"/>
              <w:jc w:val="left"/>
            </w:pPr>
            <w:r/>
            <w:r>
              <w:rPr>
                <w:rFonts w:ascii="Calibri" w:hAnsi="Calibri"/>
                <w:b/>
                <w:color w:val="1A2233"/>
                <w:sz w:val="18"/>
              </w:rPr>
              <w:t>Licence / commercial basis</w:t>
            </w:r>
          </w:p>
        </w:tc>
      </w:tr>
      <w:tr>
        <w:tc>
          <w:tcPr>
            <w:tcW w:type="dxa" w:w="3744"/>
          </w:tcPr>
          <w:p>
            <w:pPr>
              <w:spacing w:after="40" w:before="40"/>
              <w:jc w:val="left"/>
            </w:pPr>
            <w:r/>
            <w:r>
              <w:rPr>
                <w:rFonts w:ascii="Calibri" w:hAnsi="Calibri"/>
                <w:b w:val="0"/>
                <w:color w:val="1A2233"/>
                <w:sz w:val="18"/>
              </w:rPr>
              <w:t>PostgreSQL, Nginx, PostgREST, PgBouncer, Patroni, etcd</w:t>
            </w:r>
          </w:p>
        </w:tc>
        <w:tc>
          <w:tcPr>
            <w:tcW w:type="dxa" w:w="2736"/>
          </w:tcPr>
          <w:p>
            <w:pPr>
              <w:spacing w:after="40" w:before="40"/>
              <w:jc w:val="left"/>
            </w:pPr>
            <w:r/>
            <w:r>
              <w:rPr>
                <w:rFonts w:ascii="Calibri" w:hAnsi="Calibri"/>
                <w:b w:val="0"/>
                <w:color w:val="1A2233"/>
                <w:sz w:val="18"/>
              </w:rPr>
              <w:t>Open source</w:t>
            </w:r>
          </w:p>
        </w:tc>
        <w:tc>
          <w:tcPr>
            <w:tcW w:type="dxa" w:w="2592"/>
          </w:tcPr>
          <w:p>
            <w:pPr>
              <w:spacing w:after="40" w:before="40"/>
              <w:jc w:val="left"/>
            </w:pPr>
            <w:r/>
            <w:r>
              <w:rPr>
                <w:rFonts w:ascii="Calibri" w:hAnsi="Calibri"/>
                <w:b w:val="0"/>
                <w:color w:val="1A2233"/>
                <w:sz w:val="18"/>
              </w:rPr>
              <w:t>PostgreSQL / BSD / MIT / ISC / Apache (no fee)</w:t>
            </w:r>
          </w:p>
        </w:tc>
      </w:tr>
      <w:tr>
        <w:tc>
          <w:tcPr>
            <w:tcW w:type="dxa" w:w="3744"/>
            <w:shd w:val="clear" w:color="auto" w:fill="F2F5FB"/>
          </w:tcPr>
          <w:p>
            <w:pPr>
              <w:spacing w:after="40" w:before="40"/>
              <w:jc w:val="left"/>
            </w:pPr>
            <w:r/>
            <w:r>
              <w:rPr>
                <w:rFonts w:ascii="Calibri" w:hAnsi="Calibri"/>
                <w:b w:val="0"/>
                <w:color w:val="1A2233"/>
                <w:sz w:val="18"/>
              </w:rPr>
              <w:t>MinIO</w:t>
            </w:r>
          </w:p>
        </w:tc>
        <w:tc>
          <w:tcPr>
            <w:tcW w:type="dxa" w:w="2736"/>
            <w:shd w:val="clear" w:color="auto" w:fill="F2F5FB"/>
          </w:tcPr>
          <w:p>
            <w:pPr>
              <w:spacing w:after="40" w:before="40"/>
              <w:jc w:val="left"/>
            </w:pPr>
            <w:r/>
            <w:r>
              <w:rPr>
                <w:rFonts w:ascii="Calibri" w:hAnsi="Calibri"/>
                <w:b w:val="0"/>
                <w:color w:val="1A2233"/>
                <w:sz w:val="18"/>
              </w:rPr>
              <w:t>Open source</w:t>
            </w:r>
          </w:p>
        </w:tc>
        <w:tc>
          <w:tcPr>
            <w:tcW w:type="dxa" w:w="2592"/>
            <w:shd w:val="clear" w:color="auto" w:fill="F2F5FB"/>
          </w:tcPr>
          <w:p>
            <w:pPr>
              <w:spacing w:after="40" w:before="40"/>
              <w:jc w:val="left"/>
            </w:pPr>
            <w:r/>
            <w:r>
              <w:rPr>
                <w:rFonts w:ascii="Calibri" w:hAnsi="Calibri"/>
                <w:b w:val="0"/>
                <w:color w:val="1A2233"/>
                <w:sz w:val="18"/>
              </w:rPr>
              <w:t>AGPLv3 (consider commercial licence to avoid AGPL obligations)</w:t>
            </w:r>
          </w:p>
        </w:tc>
      </w:tr>
      <w:tr>
        <w:tc>
          <w:tcPr>
            <w:tcW w:type="dxa" w:w="3744"/>
          </w:tcPr>
          <w:p>
            <w:pPr>
              <w:spacing w:after="40" w:before="40"/>
              <w:jc w:val="left"/>
            </w:pPr>
            <w:r/>
            <w:r>
              <w:rPr>
                <w:rFonts w:ascii="Calibri" w:hAnsi="Calibri"/>
                <w:b w:val="0"/>
                <w:color w:val="1A2233"/>
                <w:sz w:val="18"/>
              </w:rPr>
              <w:t>HashiCorp Vault</w:t>
            </w:r>
          </w:p>
        </w:tc>
        <w:tc>
          <w:tcPr>
            <w:tcW w:type="dxa" w:w="2736"/>
          </w:tcPr>
          <w:p>
            <w:pPr>
              <w:spacing w:after="40" w:before="40"/>
              <w:jc w:val="left"/>
            </w:pPr>
            <w:r/>
            <w:r>
              <w:rPr>
                <w:rFonts w:ascii="Calibri" w:hAnsi="Calibri"/>
                <w:b w:val="0"/>
                <w:color w:val="1A2233"/>
                <w:sz w:val="18"/>
              </w:rPr>
              <w:t>Open source (source-available)</w:t>
            </w:r>
          </w:p>
        </w:tc>
        <w:tc>
          <w:tcPr>
            <w:tcW w:type="dxa" w:w="2592"/>
          </w:tcPr>
          <w:p>
            <w:pPr>
              <w:spacing w:after="40" w:before="40"/>
              <w:jc w:val="left"/>
            </w:pPr>
            <w:r/>
            <w:r>
              <w:rPr>
                <w:rFonts w:ascii="Calibri" w:hAnsi="Calibri"/>
                <w:b w:val="0"/>
                <w:color w:val="1A2233"/>
                <w:sz w:val="18"/>
              </w:rPr>
              <w:t>BSL 1.1 (confirm licensing / consider OpenBao)</w:t>
            </w:r>
          </w:p>
        </w:tc>
      </w:tr>
      <w:tr>
        <w:tc>
          <w:tcPr>
            <w:tcW w:type="dxa" w:w="3744"/>
            <w:shd w:val="clear" w:color="auto" w:fill="F2F5FB"/>
          </w:tcPr>
          <w:p>
            <w:pPr>
              <w:spacing w:after="40" w:before="40"/>
              <w:jc w:val="left"/>
            </w:pPr>
            <w:r/>
            <w:r>
              <w:rPr>
                <w:rFonts w:ascii="Calibri" w:hAnsi="Calibri"/>
                <w:b w:val="0"/>
                <w:color w:val="1A2233"/>
                <w:sz w:val="18"/>
              </w:rPr>
              <w:t>Operating system</w:t>
            </w:r>
          </w:p>
        </w:tc>
        <w:tc>
          <w:tcPr>
            <w:tcW w:type="dxa" w:w="2736"/>
            <w:shd w:val="clear" w:color="auto" w:fill="F2F5FB"/>
          </w:tcPr>
          <w:p>
            <w:pPr>
              <w:spacing w:after="40" w:before="40"/>
              <w:jc w:val="left"/>
            </w:pPr>
            <w:r/>
            <w:r>
              <w:rPr>
                <w:rFonts w:ascii="Calibri" w:hAnsi="Calibri"/>
                <w:b w:val="0"/>
                <w:color w:val="1A2233"/>
                <w:sz w:val="18"/>
              </w:rPr>
              <w:t>Open source or licensed</w:t>
            </w:r>
          </w:p>
        </w:tc>
        <w:tc>
          <w:tcPr>
            <w:tcW w:type="dxa" w:w="2592"/>
            <w:shd w:val="clear" w:color="auto" w:fill="F2F5FB"/>
          </w:tcPr>
          <w:p>
            <w:pPr>
              <w:spacing w:after="40" w:before="40"/>
              <w:jc w:val="left"/>
            </w:pPr>
            <w:r/>
            <w:r>
              <w:rPr>
                <w:rFonts w:ascii="Calibri" w:hAnsi="Calibri"/>
                <w:b w:val="0"/>
                <w:color w:val="1A2233"/>
                <w:sz w:val="18"/>
              </w:rPr>
              <w:t>Ubuntu LTS (free) or RHEL (paid subscription)</w:t>
            </w:r>
          </w:p>
        </w:tc>
      </w:tr>
      <w:tr>
        <w:tc>
          <w:tcPr>
            <w:tcW w:type="dxa" w:w="3744"/>
          </w:tcPr>
          <w:p>
            <w:pPr>
              <w:spacing w:after="40" w:before="40"/>
              <w:jc w:val="left"/>
            </w:pPr>
            <w:r/>
            <w:r>
              <w:rPr>
                <w:rFonts w:ascii="Calibri" w:hAnsi="Calibri"/>
                <w:b w:val="0"/>
                <w:color w:val="1A2233"/>
                <w:sz w:val="18"/>
              </w:rPr>
              <w:t>WAF and load balancer</w:t>
            </w:r>
          </w:p>
        </w:tc>
        <w:tc>
          <w:tcPr>
            <w:tcW w:type="dxa" w:w="2736"/>
          </w:tcPr>
          <w:p>
            <w:pPr>
              <w:spacing w:after="40" w:before="40"/>
              <w:jc w:val="left"/>
            </w:pPr>
            <w:r/>
            <w:r>
              <w:rPr>
                <w:rFonts w:ascii="Calibri" w:hAnsi="Calibri"/>
                <w:b w:val="0"/>
                <w:color w:val="1A2233"/>
                <w:sz w:val="18"/>
              </w:rPr>
              <w:t>COTS</w:t>
            </w:r>
          </w:p>
        </w:tc>
        <w:tc>
          <w:tcPr>
            <w:tcW w:type="dxa" w:w="2592"/>
          </w:tcPr>
          <w:p>
            <w:pPr>
              <w:spacing w:after="40" w:before="40"/>
              <w:jc w:val="left"/>
            </w:pPr>
            <w:r/>
            <w:r>
              <w:rPr>
                <w:rFonts w:ascii="Calibri" w:hAnsi="Calibri"/>
                <w:b w:val="0"/>
                <w:color w:val="1A2233"/>
                <w:sz w:val="18"/>
              </w:rPr>
              <w:t>Reuse existing Airtel licence</w:t>
            </w:r>
          </w:p>
        </w:tc>
      </w:tr>
      <w:tr>
        <w:tc>
          <w:tcPr>
            <w:tcW w:type="dxa" w:w="3744"/>
            <w:shd w:val="clear" w:color="auto" w:fill="F2F5FB"/>
          </w:tcPr>
          <w:p>
            <w:pPr>
              <w:spacing w:after="40" w:before="40"/>
              <w:jc w:val="left"/>
            </w:pPr>
            <w:r/>
            <w:r>
              <w:rPr>
                <w:rFonts w:ascii="Calibri" w:hAnsi="Calibri"/>
                <w:b w:val="0"/>
                <w:color w:val="1A2233"/>
                <w:sz w:val="18"/>
              </w:rPr>
              <w:t>Container runtime</w:t>
            </w:r>
          </w:p>
        </w:tc>
        <w:tc>
          <w:tcPr>
            <w:tcW w:type="dxa" w:w="2736"/>
            <w:shd w:val="clear" w:color="auto" w:fill="F2F5FB"/>
          </w:tcPr>
          <w:p>
            <w:pPr>
              <w:spacing w:after="40" w:before="40"/>
              <w:jc w:val="left"/>
            </w:pPr>
            <w:r/>
            <w:r>
              <w:rPr>
                <w:rFonts w:ascii="Calibri" w:hAnsi="Calibri"/>
                <w:b w:val="0"/>
                <w:color w:val="1A2233"/>
                <w:sz w:val="18"/>
              </w:rPr>
              <w:t>Open source</w:t>
            </w:r>
          </w:p>
        </w:tc>
        <w:tc>
          <w:tcPr>
            <w:tcW w:type="dxa" w:w="2592"/>
            <w:shd w:val="clear" w:color="auto" w:fill="F2F5FB"/>
          </w:tcPr>
          <w:p>
            <w:pPr>
              <w:spacing w:after="40" w:before="40"/>
              <w:jc w:val="left"/>
            </w:pPr>
            <w:r/>
            <w:r>
              <w:rPr>
                <w:rFonts w:ascii="Calibri" w:hAnsi="Calibri"/>
                <w:b w:val="0"/>
                <w:color w:val="1A2233"/>
                <w:sz w:val="18"/>
              </w:rPr>
              <w:t>Docker CE / Podman (no fee)</w:t>
            </w:r>
          </w:p>
        </w:tc>
      </w:tr>
    </w:tbl>
    <w:p>
      <w:pPr>
        <w:spacing w:after="40"/>
      </w:pPr>
    </w:p>
    <w:p>
      <w:pPr>
        <w:pStyle w:val="Heading1"/>
      </w:pPr>
      <w:r>
        <w:t>7. Hardware / VM Specification and Sizing Justification</w:t>
      </w:r>
    </w:p>
    <w:p>
      <w:pPr>
        <w:spacing w:after="120" w:before="0"/>
        <w:jc w:val="left"/>
      </w:pPr>
      <w:r>
        <w:rPr>
          <w:b w:val="0"/>
          <w:i/>
          <w:color w:val="5A6B87"/>
          <w:sz w:val="19"/>
        </w:rPr>
        <w:t>This section answers the VM-approval requirement to show how the hardware specification was reached and to provide the supporting data.</w:t>
      </w:r>
    </w:p>
    <w:p>
      <w:pPr>
        <w:pStyle w:val="Heading2"/>
      </w:pPr>
      <w:r>
        <w:t>7.1 Sizing basis (supporting data)</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3106"/>
            <w:shd w:val="clear" w:color="auto" w:fill="D9E2F3"/>
          </w:tcPr>
          <w:p>
            <w:pPr>
              <w:spacing w:after="40" w:before="40"/>
              <w:jc w:val="left"/>
            </w:pPr>
            <w:r/>
            <w:r>
              <w:rPr>
                <w:rFonts w:ascii="Calibri" w:hAnsi="Calibri"/>
                <w:b/>
                <w:color w:val="1A2233"/>
                <w:sz w:val="18"/>
              </w:rPr>
              <w:t>Driver</w:t>
            </w:r>
          </w:p>
        </w:tc>
        <w:tc>
          <w:tcPr>
            <w:tcW w:type="dxa" w:w="3106"/>
            <w:shd w:val="clear" w:color="auto" w:fill="D9E2F3"/>
          </w:tcPr>
          <w:p>
            <w:pPr>
              <w:spacing w:after="40" w:before="40"/>
              <w:jc w:val="left"/>
            </w:pPr>
            <w:r/>
            <w:r>
              <w:rPr>
                <w:rFonts w:ascii="Calibri" w:hAnsi="Calibri"/>
                <w:b/>
                <w:color w:val="1A2233"/>
                <w:sz w:val="18"/>
              </w:rPr>
              <w:t>Observed / estimated value</w:t>
            </w:r>
          </w:p>
        </w:tc>
        <w:tc>
          <w:tcPr>
            <w:tcW w:type="dxa" w:w="3106"/>
            <w:shd w:val="clear" w:color="auto" w:fill="D9E2F3"/>
          </w:tcPr>
          <w:p>
            <w:pPr>
              <w:spacing w:after="40" w:before="40"/>
              <w:jc w:val="left"/>
            </w:pPr>
            <w:r/>
            <w:r>
              <w:rPr>
                <w:rFonts w:ascii="Calibri" w:hAnsi="Calibri"/>
                <w:b/>
                <w:color w:val="1A2233"/>
                <w:sz w:val="18"/>
              </w:rPr>
              <w:t>Sizing implication</w:t>
            </w:r>
          </w:p>
        </w:tc>
      </w:tr>
      <w:tr>
        <w:tc>
          <w:tcPr>
            <w:tcW w:type="dxa" w:w="3106"/>
          </w:tcPr>
          <w:p>
            <w:pPr>
              <w:spacing w:after="40" w:before="40"/>
              <w:jc w:val="left"/>
            </w:pPr>
            <w:r/>
            <w:r>
              <w:rPr>
                <w:rFonts w:ascii="Calibri" w:hAnsi="Calibri"/>
                <w:b w:val="0"/>
                <w:color w:val="1A2233"/>
                <w:sz w:val="18"/>
              </w:rPr>
              <w:t>Named users</w:t>
            </w:r>
          </w:p>
        </w:tc>
        <w:tc>
          <w:tcPr>
            <w:tcW w:type="dxa" w:w="3106"/>
          </w:tcPr>
          <w:p>
            <w:pPr>
              <w:spacing w:after="40" w:before="40"/>
              <w:jc w:val="left"/>
            </w:pPr>
            <w:r/>
            <w:r>
              <w:rPr>
                <w:rFonts w:ascii="Calibri" w:hAnsi="Calibri"/>
                <w:b w:val="0"/>
                <w:color w:val="1A2233"/>
                <w:sz w:val="18"/>
              </w:rPr>
              <w:t>~5,000 to 6,000 (champions ~957, DSEs ~2,216, app_users ~2,604, installers ~476, agents and HQ)</w:t>
            </w:r>
          </w:p>
        </w:tc>
        <w:tc>
          <w:tcPr>
            <w:tcW w:type="dxa" w:w="3106"/>
          </w:tcPr>
          <w:p>
            <w:pPr>
              <w:spacing w:after="40" w:before="40"/>
              <w:jc w:val="left"/>
            </w:pPr>
            <w:r/>
            <w:r>
              <w:rPr>
                <w:rFonts w:ascii="Calibri" w:hAnsi="Calibri"/>
                <w:b w:val="0"/>
                <w:color w:val="1A2233"/>
                <w:sz w:val="18"/>
              </w:rPr>
              <w:t>Modest total population.</w:t>
            </w:r>
          </w:p>
        </w:tc>
      </w:tr>
      <w:tr>
        <w:tc>
          <w:tcPr>
            <w:tcW w:type="dxa" w:w="3106"/>
            <w:shd w:val="clear" w:color="auto" w:fill="F2F5FB"/>
          </w:tcPr>
          <w:p>
            <w:pPr>
              <w:spacing w:after="40" w:before="40"/>
              <w:jc w:val="left"/>
            </w:pPr>
            <w:r/>
            <w:r>
              <w:rPr>
                <w:rFonts w:ascii="Calibri" w:hAnsi="Calibri"/>
                <w:b w:val="0"/>
                <w:color w:val="1A2233"/>
                <w:sz w:val="18"/>
              </w:rPr>
              <w:t>Peak concurrency</w:t>
            </w:r>
          </w:p>
        </w:tc>
        <w:tc>
          <w:tcPr>
            <w:tcW w:type="dxa" w:w="3106"/>
            <w:shd w:val="clear" w:color="auto" w:fill="F2F5FB"/>
          </w:tcPr>
          <w:p>
            <w:pPr>
              <w:spacing w:after="40" w:before="40"/>
              <w:jc w:val="left"/>
            </w:pPr>
            <w:r/>
            <w:r>
              <w:rPr>
                <w:rFonts w:ascii="Calibri" w:hAnsi="Calibri"/>
                <w:b w:val="0"/>
                <w:color w:val="1A2233"/>
                <w:sz w:val="18"/>
              </w:rPr>
              <w:t>Estimated 10 to 15 percent of named users = ~600 to 900 concurrent at campaign peaks</w:t>
            </w:r>
          </w:p>
        </w:tc>
        <w:tc>
          <w:tcPr>
            <w:tcW w:type="dxa" w:w="3106"/>
            <w:shd w:val="clear" w:color="auto" w:fill="F2F5FB"/>
          </w:tcPr>
          <w:p>
            <w:pPr>
              <w:spacing w:after="40" w:before="40"/>
              <w:jc w:val="left"/>
            </w:pPr>
            <w:r/>
            <w:r>
              <w:rPr>
                <w:rFonts w:ascii="Calibri" w:hAnsi="Calibri"/>
                <w:b w:val="0"/>
                <w:color w:val="1A2233"/>
                <w:sz w:val="18"/>
              </w:rPr>
              <w:t>Two web and two API nodes give headroom and HA.</w:t>
            </w:r>
          </w:p>
        </w:tc>
      </w:tr>
      <w:tr>
        <w:tc>
          <w:tcPr>
            <w:tcW w:type="dxa" w:w="3106"/>
          </w:tcPr>
          <w:p>
            <w:pPr>
              <w:spacing w:after="40" w:before="40"/>
              <w:jc w:val="left"/>
            </w:pPr>
            <w:r/>
            <w:r>
              <w:rPr>
                <w:rFonts w:ascii="Calibri" w:hAnsi="Calibri"/>
                <w:b w:val="0"/>
                <w:color w:val="1A2233"/>
                <w:sz w:val="18"/>
              </w:rPr>
              <w:t>Database size</w:t>
            </w:r>
          </w:p>
        </w:tc>
        <w:tc>
          <w:tcPr>
            <w:tcW w:type="dxa" w:w="3106"/>
          </w:tcPr>
          <w:p>
            <w:pPr>
              <w:spacing w:after="40" w:before="40"/>
              <w:jc w:val="left"/>
            </w:pPr>
            <w:r/>
            <w:r>
              <w:rPr>
                <w:rFonts w:ascii="Calibri" w:hAnsi="Calibri"/>
                <w:b w:val="0"/>
                <w:color w:val="1A2233"/>
                <w:sz w:val="18"/>
              </w:rPr>
              <w:t>Current data on the order of a few GB (largest sets: ODU inactive ~19,000 rows, DSE ~2,216, app_users ~2,604)</w:t>
            </w:r>
          </w:p>
        </w:tc>
        <w:tc>
          <w:tcPr>
            <w:tcW w:type="dxa" w:w="3106"/>
          </w:tcPr>
          <w:p>
            <w:pPr>
              <w:spacing w:after="40" w:before="40"/>
              <w:jc w:val="left"/>
            </w:pPr>
            <w:r/>
            <w:r>
              <w:rPr>
                <w:rFonts w:ascii="Calibri" w:hAnsi="Calibri"/>
                <w:b w:val="0"/>
                <w:color w:val="1A2233"/>
                <w:sz w:val="18"/>
              </w:rPr>
              <w:t>32 GB RAM DB nodes cache the working set comfortably; 200 GB data volume allows years of growth.</w:t>
            </w:r>
          </w:p>
        </w:tc>
      </w:tr>
      <w:tr>
        <w:tc>
          <w:tcPr>
            <w:tcW w:type="dxa" w:w="3106"/>
            <w:shd w:val="clear" w:color="auto" w:fill="F2F5FB"/>
          </w:tcPr>
          <w:p>
            <w:pPr>
              <w:spacing w:after="40" w:before="40"/>
              <w:jc w:val="left"/>
            </w:pPr>
            <w:r/>
            <w:r>
              <w:rPr>
                <w:rFonts w:ascii="Calibri" w:hAnsi="Calibri"/>
                <w:b w:val="0"/>
                <w:color w:val="1A2233"/>
                <w:sz w:val="18"/>
              </w:rPr>
              <w:t>Object storage</w:t>
            </w:r>
          </w:p>
        </w:tc>
        <w:tc>
          <w:tcPr>
            <w:tcW w:type="dxa" w:w="3106"/>
            <w:shd w:val="clear" w:color="auto" w:fill="F2F5FB"/>
          </w:tcPr>
          <w:p>
            <w:pPr>
              <w:spacing w:after="40" w:before="40"/>
              <w:jc w:val="left"/>
            </w:pPr>
            <w:r/>
            <w:r>
              <w:rPr>
                <w:rFonts w:ascii="Calibri" w:hAnsi="Calibri"/>
                <w:b w:val="0"/>
                <w:color w:val="1A2233"/>
                <w:sz w:val="18"/>
              </w:rPr>
              <w:t>ODU device photos and documents: ~19,000 units x ~3 images x ~0.5 MB ~= 28 GB, plus other photos and growth</w:t>
            </w:r>
          </w:p>
        </w:tc>
        <w:tc>
          <w:tcPr>
            <w:tcW w:type="dxa" w:w="3106"/>
            <w:shd w:val="clear" w:color="auto" w:fill="F2F5FB"/>
          </w:tcPr>
          <w:p>
            <w:pPr>
              <w:spacing w:after="40" w:before="40"/>
              <w:jc w:val="left"/>
            </w:pPr>
            <w:r/>
            <w:r>
              <w:rPr>
                <w:rFonts w:ascii="Calibri" w:hAnsi="Calibri"/>
                <w:b w:val="0"/>
                <w:color w:val="1A2233"/>
                <w:sz w:val="18"/>
              </w:rPr>
              <w:t>Provision 1 TB with room to grow.</w:t>
            </w:r>
          </w:p>
        </w:tc>
      </w:tr>
      <w:tr>
        <w:tc>
          <w:tcPr>
            <w:tcW w:type="dxa" w:w="3106"/>
          </w:tcPr>
          <w:p>
            <w:pPr>
              <w:spacing w:after="40" w:before="40"/>
              <w:jc w:val="left"/>
            </w:pPr>
            <w:r/>
            <w:r>
              <w:rPr>
                <w:rFonts w:ascii="Calibri" w:hAnsi="Calibri"/>
                <w:b w:val="0"/>
                <w:color w:val="1A2233"/>
                <w:sz w:val="18"/>
              </w:rPr>
              <w:t>Availability target</w:t>
            </w:r>
          </w:p>
        </w:tc>
        <w:tc>
          <w:tcPr>
            <w:tcW w:type="dxa" w:w="3106"/>
          </w:tcPr>
          <w:p>
            <w:pPr>
              <w:spacing w:after="40" w:before="40"/>
              <w:jc w:val="left"/>
            </w:pPr>
            <w:r/>
            <w:r>
              <w:rPr>
                <w:rFonts w:ascii="Calibri" w:hAnsi="Calibri"/>
                <w:b w:val="0"/>
                <w:color w:val="1A2233"/>
                <w:sz w:val="18"/>
              </w:rPr>
              <w:t>Business-critical field operations and payment records</w:t>
            </w:r>
          </w:p>
        </w:tc>
        <w:tc>
          <w:tcPr>
            <w:tcW w:type="dxa" w:w="3106"/>
          </w:tcPr>
          <w:p>
            <w:pPr>
              <w:spacing w:after="40" w:before="40"/>
              <w:jc w:val="left"/>
            </w:pPr>
            <w:r/>
            <w:r>
              <w:rPr>
                <w:rFonts w:ascii="Calibri" w:hAnsi="Calibri"/>
                <w:b w:val="0"/>
                <w:color w:val="1A2233"/>
                <w:sz w:val="18"/>
              </w:rPr>
              <w:t>Primary plus replica DB, active/active web and app tiers.</w:t>
            </w:r>
          </w:p>
        </w:tc>
      </w:tr>
    </w:tbl>
    <w:p>
      <w:pPr>
        <w:spacing w:after="40"/>
      </w:pPr>
    </w:p>
    <w:tbl>
      <w:tblPr>
        <w:tblStyle w:val="TableGrid"/>
        <w:tblW w:type="auto" w:w="0"/>
        <w:tblLook w:firstColumn="1" w:firstRow="1" w:lastColumn="0" w:lastRow="0" w:noHBand="0" w:noVBand="1" w:val="04A0"/>
      </w:tblPr>
      <w:tblGrid>
        <w:gridCol w:w="9317"/>
      </w:tblGrid>
      <w:tr>
        <w:tc>
          <w:tcPr>
            <w:tcW w:type="dxa" w:w="9317"/>
            <w:shd w:val="clear" w:color="auto" w:fill="FDECEC"/>
          </w:tcPr>
          <w:p>
            <w:pPr>
              <w:spacing w:after="40" w:before="40"/>
              <w:jc w:val="left"/>
            </w:pPr>
            <w:r/>
            <w:r>
              <w:rPr>
                <w:rFonts w:ascii="Calibri" w:hAnsi="Calibri"/>
                <w:b w:val="0"/>
                <w:color w:val="1A2233"/>
                <w:sz w:val="19"/>
              </w:rPr>
              <w:t>These figures are recommended baselines derived from current data volumes and a conservative growth allowance. They should be validated by IT through load testing before final procurement. Values marked [confirm] depend on the target Airtel environment and Opco standards.</w:t>
            </w:r>
          </w:p>
        </w:tc>
      </w:tr>
    </w:tbl>
    <w:p>
      <w:pPr>
        <w:spacing w:after="40"/>
      </w:pPr>
    </w:p>
    <w:p>
      <w:pPr>
        <w:pStyle w:val="Heading2"/>
      </w:pPr>
      <w:r>
        <w:t>7.2 Production VM specification</w:t>
      </w:r>
    </w:p>
    <w:tbl>
      <w:tblPr>
        <w:tblStyle w:val="TableGrid"/>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3024"/>
            <w:shd w:val="clear" w:color="auto" w:fill="D9E2F3"/>
          </w:tcPr>
          <w:p>
            <w:pPr>
              <w:spacing w:after="40" w:before="40"/>
              <w:jc w:val="left"/>
            </w:pPr>
            <w:r/>
            <w:r>
              <w:rPr>
                <w:rFonts w:ascii="Calibri" w:hAnsi="Calibri"/>
                <w:b/>
                <w:color w:val="1A2233"/>
                <w:sz w:val="18"/>
              </w:rPr>
              <w:t>Role</w:t>
            </w:r>
          </w:p>
        </w:tc>
        <w:tc>
          <w:tcPr>
            <w:tcW w:type="dxa" w:w="720"/>
            <w:shd w:val="clear" w:color="auto" w:fill="D9E2F3"/>
          </w:tcPr>
          <w:p>
            <w:pPr>
              <w:spacing w:after="40" w:before="40"/>
              <w:jc w:val="left"/>
            </w:pPr>
            <w:r/>
            <w:r>
              <w:rPr>
                <w:rFonts w:ascii="Calibri" w:hAnsi="Calibri"/>
                <w:b/>
                <w:color w:val="1A2233"/>
                <w:sz w:val="18"/>
              </w:rPr>
              <w:t>Qty</w:t>
            </w:r>
          </w:p>
        </w:tc>
        <w:tc>
          <w:tcPr>
            <w:tcW w:type="dxa" w:w="864"/>
            <w:shd w:val="clear" w:color="auto" w:fill="D9E2F3"/>
          </w:tcPr>
          <w:p>
            <w:pPr>
              <w:spacing w:after="40" w:before="40"/>
              <w:jc w:val="left"/>
            </w:pPr>
            <w:r/>
            <w:r>
              <w:rPr>
                <w:rFonts w:ascii="Calibri" w:hAnsi="Calibri"/>
                <w:b/>
                <w:color w:val="1A2233"/>
                <w:sz w:val="18"/>
              </w:rPr>
              <w:t>vCPU</w:t>
            </w:r>
          </w:p>
        </w:tc>
        <w:tc>
          <w:tcPr>
            <w:tcW w:type="dxa" w:w="1152"/>
            <w:shd w:val="clear" w:color="auto" w:fill="D9E2F3"/>
          </w:tcPr>
          <w:p>
            <w:pPr>
              <w:spacing w:after="40" w:before="40"/>
              <w:jc w:val="left"/>
            </w:pPr>
            <w:r/>
            <w:r>
              <w:rPr>
                <w:rFonts w:ascii="Calibri" w:hAnsi="Calibri"/>
                <w:b/>
                <w:color w:val="1A2233"/>
                <w:sz w:val="18"/>
              </w:rPr>
              <w:t>RAM</w:t>
            </w:r>
          </w:p>
        </w:tc>
        <w:tc>
          <w:tcPr>
            <w:tcW w:type="dxa" w:w="1440"/>
            <w:shd w:val="clear" w:color="auto" w:fill="D9E2F3"/>
          </w:tcPr>
          <w:p>
            <w:pPr>
              <w:spacing w:after="40" w:before="40"/>
              <w:jc w:val="left"/>
            </w:pPr>
            <w:r/>
            <w:r>
              <w:rPr>
                <w:rFonts w:ascii="Calibri" w:hAnsi="Calibri"/>
                <w:b/>
                <w:color w:val="1A2233"/>
                <w:sz w:val="18"/>
              </w:rPr>
              <w:t>Disk</w:t>
            </w:r>
          </w:p>
        </w:tc>
        <w:tc>
          <w:tcPr>
            <w:tcW w:type="dxa" w:w="2160"/>
            <w:shd w:val="clear" w:color="auto" w:fill="D9E2F3"/>
          </w:tcPr>
          <w:p>
            <w:pPr>
              <w:spacing w:after="40" w:before="40"/>
              <w:jc w:val="left"/>
            </w:pPr>
            <w:r/>
            <w:r>
              <w:rPr>
                <w:rFonts w:ascii="Calibri" w:hAnsi="Calibri"/>
                <w:b/>
                <w:color w:val="1A2233"/>
                <w:sz w:val="18"/>
              </w:rPr>
              <w:t>OS</w:t>
            </w:r>
          </w:p>
        </w:tc>
      </w:tr>
      <w:tr>
        <w:tc>
          <w:tcPr>
            <w:tcW w:type="dxa" w:w="3024"/>
          </w:tcPr>
          <w:p>
            <w:pPr>
              <w:spacing w:after="40" w:before="40"/>
              <w:jc w:val="left"/>
            </w:pPr>
            <w:r/>
            <w:r>
              <w:rPr>
                <w:rFonts w:ascii="Calibri" w:hAnsi="Calibri"/>
                <w:b w:val="0"/>
                <w:color w:val="1A2233"/>
                <w:sz w:val="17"/>
              </w:rPr>
              <w:t>Web (Nginx + PWA)</w:t>
            </w:r>
          </w:p>
        </w:tc>
        <w:tc>
          <w:tcPr>
            <w:tcW w:type="dxa" w:w="720"/>
          </w:tcPr>
          <w:p>
            <w:pPr>
              <w:spacing w:after="40" w:before="40"/>
              <w:jc w:val="left"/>
            </w:pPr>
            <w:r/>
            <w:r>
              <w:rPr>
                <w:rFonts w:ascii="Calibri" w:hAnsi="Calibri"/>
                <w:b w:val="0"/>
                <w:color w:val="1A2233"/>
                <w:sz w:val="17"/>
              </w:rPr>
              <w:t>2</w:t>
            </w:r>
          </w:p>
        </w:tc>
        <w:tc>
          <w:tcPr>
            <w:tcW w:type="dxa" w:w="864"/>
          </w:tcPr>
          <w:p>
            <w:pPr>
              <w:spacing w:after="40" w:before="40"/>
              <w:jc w:val="left"/>
            </w:pPr>
            <w:r/>
            <w:r>
              <w:rPr>
                <w:rFonts w:ascii="Calibri" w:hAnsi="Calibri"/>
                <w:b w:val="0"/>
                <w:color w:val="1A2233"/>
                <w:sz w:val="17"/>
              </w:rPr>
              <w:t>2</w:t>
            </w:r>
          </w:p>
        </w:tc>
        <w:tc>
          <w:tcPr>
            <w:tcW w:type="dxa" w:w="1152"/>
          </w:tcPr>
          <w:p>
            <w:pPr>
              <w:spacing w:after="40" w:before="40"/>
              <w:jc w:val="left"/>
            </w:pPr>
            <w:r/>
            <w:r>
              <w:rPr>
                <w:rFonts w:ascii="Calibri" w:hAnsi="Calibri"/>
                <w:b w:val="0"/>
                <w:color w:val="1A2233"/>
                <w:sz w:val="17"/>
              </w:rPr>
              <w:t>4 GB</w:t>
            </w:r>
          </w:p>
        </w:tc>
        <w:tc>
          <w:tcPr>
            <w:tcW w:type="dxa" w:w="1440"/>
          </w:tcPr>
          <w:p>
            <w:pPr>
              <w:spacing w:after="40" w:before="40"/>
              <w:jc w:val="left"/>
            </w:pPr>
            <w:r/>
            <w:r>
              <w:rPr>
                <w:rFonts w:ascii="Calibri" w:hAnsi="Calibri"/>
                <w:b w:val="0"/>
                <w:color w:val="1A2233"/>
                <w:sz w:val="17"/>
              </w:rPr>
              <w:t>40 GB</w:t>
            </w:r>
          </w:p>
        </w:tc>
        <w:tc>
          <w:tcPr>
            <w:tcW w:type="dxa" w:w="2160"/>
          </w:tcPr>
          <w:p>
            <w:pPr>
              <w:spacing w:after="40" w:before="40"/>
              <w:jc w:val="left"/>
            </w:pPr>
            <w:r/>
            <w:r>
              <w:rPr>
                <w:rFonts w:ascii="Calibri" w:hAnsi="Calibri"/>
                <w:b w:val="0"/>
                <w:color w:val="1A2233"/>
                <w:sz w:val="17"/>
              </w:rPr>
              <w:t>Ubuntu 22.04 LTS / RHEL 9</w:t>
            </w:r>
          </w:p>
        </w:tc>
      </w:tr>
      <w:tr>
        <w:tc>
          <w:tcPr>
            <w:tcW w:type="dxa" w:w="3024"/>
            <w:shd w:val="clear" w:color="auto" w:fill="F2F5FB"/>
          </w:tcPr>
          <w:p>
            <w:pPr>
              <w:spacing w:after="40" w:before="40"/>
              <w:jc w:val="left"/>
            </w:pPr>
            <w:r/>
            <w:r>
              <w:rPr>
                <w:rFonts w:ascii="Calibri" w:hAnsi="Calibri"/>
                <w:b w:val="0"/>
                <w:color w:val="1A2233"/>
                <w:sz w:val="17"/>
              </w:rPr>
              <w:t>Application / API (containers)</w:t>
            </w:r>
          </w:p>
        </w:tc>
        <w:tc>
          <w:tcPr>
            <w:tcW w:type="dxa" w:w="720"/>
            <w:shd w:val="clear" w:color="auto" w:fill="F2F5FB"/>
          </w:tcPr>
          <w:p>
            <w:pPr>
              <w:spacing w:after="40" w:before="40"/>
              <w:jc w:val="left"/>
            </w:pPr>
            <w:r/>
            <w:r>
              <w:rPr>
                <w:rFonts w:ascii="Calibri" w:hAnsi="Calibri"/>
                <w:b w:val="0"/>
                <w:color w:val="1A2233"/>
                <w:sz w:val="17"/>
              </w:rPr>
              <w:t>2</w:t>
            </w:r>
          </w:p>
        </w:tc>
        <w:tc>
          <w:tcPr>
            <w:tcW w:type="dxa" w:w="864"/>
            <w:shd w:val="clear" w:color="auto" w:fill="F2F5FB"/>
          </w:tcPr>
          <w:p>
            <w:pPr>
              <w:spacing w:after="40" w:before="40"/>
              <w:jc w:val="left"/>
            </w:pPr>
            <w:r/>
            <w:r>
              <w:rPr>
                <w:rFonts w:ascii="Calibri" w:hAnsi="Calibri"/>
                <w:b w:val="0"/>
                <w:color w:val="1A2233"/>
                <w:sz w:val="17"/>
              </w:rPr>
              <w:t>4</w:t>
            </w:r>
          </w:p>
        </w:tc>
        <w:tc>
          <w:tcPr>
            <w:tcW w:type="dxa" w:w="1152"/>
            <w:shd w:val="clear" w:color="auto" w:fill="F2F5FB"/>
          </w:tcPr>
          <w:p>
            <w:pPr>
              <w:spacing w:after="40" w:before="40"/>
              <w:jc w:val="left"/>
            </w:pPr>
            <w:r/>
            <w:r>
              <w:rPr>
                <w:rFonts w:ascii="Calibri" w:hAnsi="Calibri"/>
                <w:b w:val="0"/>
                <w:color w:val="1A2233"/>
                <w:sz w:val="17"/>
              </w:rPr>
              <w:t>8 GB</w:t>
            </w:r>
          </w:p>
        </w:tc>
        <w:tc>
          <w:tcPr>
            <w:tcW w:type="dxa" w:w="1440"/>
            <w:shd w:val="clear" w:color="auto" w:fill="F2F5FB"/>
          </w:tcPr>
          <w:p>
            <w:pPr>
              <w:spacing w:after="40" w:before="40"/>
              <w:jc w:val="left"/>
            </w:pPr>
            <w:r/>
            <w:r>
              <w:rPr>
                <w:rFonts w:ascii="Calibri" w:hAnsi="Calibri"/>
                <w:b w:val="0"/>
                <w:color w:val="1A2233"/>
                <w:sz w:val="17"/>
              </w:rPr>
              <w:t>60 GB</w:t>
            </w:r>
          </w:p>
        </w:tc>
        <w:tc>
          <w:tcPr>
            <w:tcW w:type="dxa" w:w="2160"/>
            <w:shd w:val="clear" w:color="auto" w:fill="F2F5FB"/>
          </w:tcPr>
          <w:p>
            <w:pPr>
              <w:spacing w:after="40" w:before="40"/>
              <w:jc w:val="left"/>
            </w:pPr>
            <w:r/>
            <w:r>
              <w:rPr>
                <w:rFonts w:ascii="Calibri" w:hAnsi="Calibri"/>
                <w:b w:val="0"/>
                <w:color w:val="1A2233"/>
                <w:sz w:val="17"/>
              </w:rPr>
              <w:t>Ubuntu 22.04 LTS / RHEL 9</w:t>
            </w:r>
          </w:p>
        </w:tc>
      </w:tr>
      <w:tr>
        <w:tc>
          <w:tcPr>
            <w:tcW w:type="dxa" w:w="3024"/>
          </w:tcPr>
          <w:p>
            <w:pPr>
              <w:spacing w:after="40" w:before="40"/>
              <w:jc w:val="left"/>
            </w:pPr>
            <w:r/>
            <w:r>
              <w:rPr>
                <w:rFonts w:ascii="Calibri" w:hAnsi="Calibri"/>
                <w:b w:val="0"/>
                <w:color w:val="1A2233"/>
                <w:sz w:val="17"/>
              </w:rPr>
              <w:t>PostgreSQL primary</w:t>
            </w:r>
          </w:p>
        </w:tc>
        <w:tc>
          <w:tcPr>
            <w:tcW w:type="dxa" w:w="720"/>
          </w:tcPr>
          <w:p>
            <w:pPr>
              <w:spacing w:after="40" w:before="40"/>
              <w:jc w:val="left"/>
            </w:pPr>
            <w:r/>
            <w:r>
              <w:rPr>
                <w:rFonts w:ascii="Calibri" w:hAnsi="Calibri"/>
                <w:b w:val="0"/>
                <w:color w:val="1A2233"/>
                <w:sz w:val="17"/>
              </w:rPr>
              <w:t>1</w:t>
            </w:r>
          </w:p>
        </w:tc>
        <w:tc>
          <w:tcPr>
            <w:tcW w:type="dxa" w:w="864"/>
          </w:tcPr>
          <w:p>
            <w:pPr>
              <w:spacing w:after="40" w:before="40"/>
              <w:jc w:val="left"/>
            </w:pPr>
            <w:r/>
            <w:r>
              <w:rPr>
                <w:rFonts w:ascii="Calibri" w:hAnsi="Calibri"/>
                <w:b w:val="0"/>
                <w:color w:val="1A2233"/>
                <w:sz w:val="17"/>
              </w:rPr>
              <w:t>8</w:t>
            </w:r>
          </w:p>
        </w:tc>
        <w:tc>
          <w:tcPr>
            <w:tcW w:type="dxa" w:w="1152"/>
          </w:tcPr>
          <w:p>
            <w:pPr>
              <w:spacing w:after="40" w:before="40"/>
              <w:jc w:val="left"/>
            </w:pPr>
            <w:r/>
            <w:r>
              <w:rPr>
                <w:rFonts w:ascii="Calibri" w:hAnsi="Calibri"/>
                <w:b w:val="0"/>
                <w:color w:val="1A2233"/>
                <w:sz w:val="17"/>
              </w:rPr>
              <w:t>32 GB</w:t>
            </w:r>
          </w:p>
        </w:tc>
        <w:tc>
          <w:tcPr>
            <w:tcW w:type="dxa" w:w="1440"/>
          </w:tcPr>
          <w:p>
            <w:pPr>
              <w:spacing w:after="40" w:before="40"/>
              <w:jc w:val="left"/>
            </w:pPr>
            <w:r/>
            <w:r>
              <w:rPr>
                <w:rFonts w:ascii="Calibri" w:hAnsi="Calibri"/>
                <w:b w:val="0"/>
                <w:color w:val="1A2233"/>
                <w:sz w:val="17"/>
              </w:rPr>
              <w:t>200 GB SSD</w:t>
            </w:r>
          </w:p>
        </w:tc>
        <w:tc>
          <w:tcPr>
            <w:tcW w:type="dxa" w:w="2160"/>
          </w:tcPr>
          <w:p>
            <w:pPr>
              <w:spacing w:after="40" w:before="40"/>
              <w:jc w:val="left"/>
            </w:pPr>
            <w:r/>
            <w:r>
              <w:rPr>
                <w:rFonts w:ascii="Calibri" w:hAnsi="Calibri"/>
                <w:b w:val="0"/>
                <w:color w:val="1A2233"/>
                <w:sz w:val="17"/>
              </w:rPr>
              <w:t>Ubuntu 22.04 LTS / RHEL 9</w:t>
            </w:r>
          </w:p>
        </w:tc>
      </w:tr>
      <w:tr>
        <w:tc>
          <w:tcPr>
            <w:tcW w:type="dxa" w:w="3024"/>
            <w:shd w:val="clear" w:color="auto" w:fill="F2F5FB"/>
          </w:tcPr>
          <w:p>
            <w:pPr>
              <w:spacing w:after="40" w:before="40"/>
              <w:jc w:val="left"/>
            </w:pPr>
            <w:r/>
            <w:r>
              <w:rPr>
                <w:rFonts w:ascii="Calibri" w:hAnsi="Calibri"/>
                <w:b w:val="0"/>
                <w:color w:val="1A2233"/>
                <w:sz w:val="17"/>
              </w:rPr>
              <w:t>PostgreSQL replica</w:t>
            </w:r>
          </w:p>
        </w:tc>
        <w:tc>
          <w:tcPr>
            <w:tcW w:type="dxa" w:w="720"/>
            <w:shd w:val="clear" w:color="auto" w:fill="F2F5FB"/>
          </w:tcPr>
          <w:p>
            <w:pPr>
              <w:spacing w:after="40" w:before="40"/>
              <w:jc w:val="left"/>
            </w:pPr>
            <w:r/>
            <w:r>
              <w:rPr>
                <w:rFonts w:ascii="Calibri" w:hAnsi="Calibri"/>
                <w:b w:val="0"/>
                <w:color w:val="1A2233"/>
                <w:sz w:val="17"/>
              </w:rPr>
              <w:t>1</w:t>
            </w:r>
          </w:p>
        </w:tc>
        <w:tc>
          <w:tcPr>
            <w:tcW w:type="dxa" w:w="864"/>
            <w:shd w:val="clear" w:color="auto" w:fill="F2F5FB"/>
          </w:tcPr>
          <w:p>
            <w:pPr>
              <w:spacing w:after="40" w:before="40"/>
              <w:jc w:val="left"/>
            </w:pPr>
            <w:r/>
            <w:r>
              <w:rPr>
                <w:rFonts w:ascii="Calibri" w:hAnsi="Calibri"/>
                <w:b w:val="0"/>
                <w:color w:val="1A2233"/>
                <w:sz w:val="17"/>
              </w:rPr>
              <w:t>8</w:t>
            </w:r>
          </w:p>
        </w:tc>
        <w:tc>
          <w:tcPr>
            <w:tcW w:type="dxa" w:w="1152"/>
            <w:shd w:val="clear" w:color="auto" w:fill="F2F5FB"/>
          </w:tcPr>
          <w:p>
            <w:pPr>
              <w:spacing w:after="40" w:before="40"/>
              <w:jc w:val="left"/>
            </w:pPr>
            <w:r/>
            <w:r>
              <w:rPr>
                <w:rFonts w:ascii="Calibri" w:hAnsi="Calibri"/>
                <w:b w:val="0"/>
                <w:color w:val="1A2233"/>
                <w:sz w:val="17"/>
              </w:rPr>
              <w:t>32 GB</w:t>
            </w:r>
          </w:p>
        </w:tc>
        <w:tc>
          <w:tcPr>
            <w:tcW w:type="dxa" w:w="1440"/>
            <w:shd w:val="clear" w:color="auto" w:fill="F2F5FB"/>
          </w:tcPr>
          <w:p>
            <w:pPr>
              <w:spacing w:after="40" w:before="40"/>
              <w:jc w:val="left"/>
            </w:pPr>
            <w:r/>
            <w:r>
              <w:rPr>
                <w:rFonts w:ascii="Calibri" w:hAnsi="Calibri"/>
                <w:b w:val="0"/>
                <w:color w:val="1A2233"/>
                <w:sz w:val="17"/>
              </w:rPr>
              <w:t>200 GB SSD</w:t>
            </w:r>
          </w:p>
        </w:tc>
        <w:tc>
          <w:tcPr>
            <w:tcW w:type="dxa" w:w="2160"/>
            <w:shd w:val="clear" w:color="auto" w:fill="F2F5FB"/>
          </w:tcPr>
          <w:p>
            <w:pPr>
              <w:spacing w:after="40" w:before="40"/>
              <w:jc w:val="left"/>
            </w:pPr>
            <w:r/>
            <w:r>
              <w:rPr>
                <w:rFonts w:ascii="Calibri" w:hAnsi="Calibri"/>
                <w:b w:val="0"/>
                <w:color w:val="1A2233"/>
                <w:sz w:val="17"/>
              </w:rPr>
              <w:t>Ubuntu 22.04 LTS / RHEL 9</w:t>
            </w:r>
          </w:p>
        </w:tc>
      </w:tr>
      <w:tr>
        <w:tc>
          <w:tcPr>
            <w:tcW w:type="dxa" w:w="3024"/>
          </w:tcPr>
          <w:p>
            <w:pPr>
              <w:spacing w:after="40" w:before="40"/>
              <w:jc w:val="left"/>
            </w:pPr>
            <w:r/>
            <w:r>
              <w:rPr>
                <w:rFonts w:ascii="Calibri" w:hAnsi="Calibri"/>
                <w:b w:val="0"/>
                <w:color w:val="1A2233"/>
                <w:sz w:val="17"/>
              </w:rPr>
              <w:t>MinIO object storage</w:t>
            </w:r>
          </w:p>
        </w:tc>
        <w:tc>
          <w:tcPr>
            <w:tcW w:type="dxa" w:w="720"/>
          </w:tcPr>
          <w:p>
            <w:pPr>
              <w:spacing w:after="40" w:before="40"/>
              <w:jc w:val="left"/>
            </w:pPr>
            <w:r/>
            <w:r>
              <w:rPr>
                <w:rFonts w:ascii="Calibri" w:hAnsi="Calibri"/>
                <w:b w:val="0"/>
                <w:color w:val="1A2233"/>
                <w:sz w:val="17"/>
              </w:rPr>
              <w:t>1</w:t>
            </w:r>
          </w:p>
        </w:tc>
        <w:tc>
          <w:tcPr>
            <w:tcW w:type="dxa" w:w="864"/>
          </w:tcPr>
          <w:p>
            <w:pPr>
              <w:spacing w:after="40" w:before="40"/>
              <w:jc w:val="left"/>
            </w:pPr>
            <w:r/>
            <w:r>
              <w:rPr>
                <w:rFonts w:ascii="Calibri" w:hAnsi="Calibri"/>
                <w:b w:val="0"/>
                <w:color w:val="1A2233"/>
                <w:sz w:val="17"/>
              </w:rPr>
              <w:t>4</w:t>
            </w:r>
          </w:p>
        </w:tc>
        <w:tc>
          <w:tcPr>
            <w:tcW w:type="dxa" w:w="1152"/>
          </w:tcPr>
          <w:p>
            <w:pPr>
              <w:spacing w:after="40" w:before="40"/>
              <w:jc w:val="left"/>
            </w:pPr>
            <w:r/>
            <w:r>
              <w:rPr>
                <w:rFonts w:ascii="Calibri" w:hAnsi="Calibri"/>
                <w:b w:val="0"/>
                <w:color w:val="1A2233"/>
                <w:sz w:val="17"/>
              </w:rPr>
              <w:t>8 GB</w:t>
            </w:r>
          </w:p>
        </w:tc>
        <w:tc>
          <w:tcPr>
            <w:tcW w:type="dxa" w:w="1440"/>
          </w:tcPr>
          <w:p>
            <w:pPr>
              <w:spacing w:after="40" w:before="40"/>
              <w:jc w:val="left"/>
            </w:pPr>
            <w:r/>
            <w:r>
              <w:rPr>
                <w:rFonts w:ascii="Calibri" w:hAnsi="Calibri"/>
                <w:b w:val="0"/>
                <w:color w:val="1A2233"/>
                <w:sz w:val="17"/>
              </w:rPr>
              <w:t>1 TB</w:t>
            </w:r>
          </w:p>
        </w:tc>
        <w:tc>
          <w:tcPr>
            <w:tcW w:type="dxa" w:w="2160"/>
          </w:tcPr>
          <w:p>
            <w:pPr>
              <w:spacing w:after="40" w:before="40"/>
              <w:jc w:val="left"/>
            </w:pPr>
            <w:r/>
            <w:r>
              <w:rPr>
                <w:rFonts w:ascii="Calibri" w:hAnsi="Calibri"/>
                <w:b w:val="0"/>
                <w:color w:val="1A2233"/>
                <w:sz w:val="17"/>
              </w:rPr>
              <w:t>Ubuntu 22.04 LTS / RHEL 9</w:t>
            </w:r>
          </w:p>
        </w:tc>
      </w:tr>
      <w:tr>
        <w:tc>
          <w:tcPr>
            <w:tcW w:type="dxa" w:w="3024"/>
            <w:shd w:val="clear" w:color="auto" w:fill="F2F5FB"/>
          </w:tcPr>
          <w:p>
            <w:pPr>
              <w:spacing w:after="40" w:before="40"/>
              <w:jc w:val="left"/>
            </w:pPr>
            <w:r/>
            <w:r>
              <w:rPr>
                <w:rFonts w:ascii="Calibri" w:hAnsi="Calibri"/>
                <w:b w:val="0"/>
                <w:color w:val="1A2233"/>
                <w:sz w:val="17"/>
              </w:rPr>
              <w:t>Bastion / jump host</w:t>
            </w:r>
          </w:p>
        </w:tc>
        <w:tc>
          <w:tcPr>
            <w:tcW w:type="dxa" w:w="720"/>
            <w:shd w:val="clear" w:color="auto" w:fill="F2F5FB"/>
          </w:tcPr>
          <w:p>
            <w:pPr>
              <w:spacing w:after="40" w:before="40"/>
              <w:jc w:val="left"/>
            </w:pPr>
            <w:r/>
            <w:r>
              <w:rPr>
                <w:rFonts w:ascii="Calibri" w:hAnsi="Calibri"/>
                <w:b w:val="0"/>
                <w:color w:val="1A2233"/>
                <w:sz w:val="17"/>
              </w:rPr>
              <w:t>1</w:t>
            </w:r>
          </w:p>
        </w:tc>
        <w:tc>
          <w:tcPr>
            <w:tcW w:type="dxa" w:w="864"/>
            <w:shd w:val="clear" w:color="auto" w:fill="F2F5FB"/>
          </w:tcPr>
          <w:p>
            <w:pPr>
              <w:spacing w:after="40" w:before="40"/>
              <w:jc w:val="left"/>
            </w:pPr>
            <w:r/>
            <w:r>
              <w:rPr>
                <w:rFonts w:ascii="Calibri" w:hAnsi="Calibri"/>
                <w:b w:val="0"/>
                <w:color w:val="1A2233"/>
                <w:sz w:val="17"/>
              </w:rPr>
              <w:t>2</w:t>
            </w:r>
          </w:p>
        </w:tc>
        <w:tc>
          <w:tcPr>
            <w:tcW w:type="dxa" w:w="1152"/>
            <w:shd w:val="clear" w:color="auto" w:fill="F2F5FB"/>
          </w:tcPr>
          <w:p>
            <w:pPr>
              <w:spacing w:after="40" w:before="40"/>
              <w:jc w:val="left"/>
            </w:pPr>
            <w:r/>
            <w:r>
              <w:rPr>
                <w:rFonts w:ascii="Calibri" w:hAnsi="Calibri"/>
                <w:b w:val="0"/>
                <w:color w:val="1A2233"/>
                <w:sz w:val="17"/>
              </w:rPr>
              <w:t>4 GB</w:t>
            </w:r>
          </w:p>
        </w:tc>
        <w:tc>
          <w:tcPr>
            <w:tcW w:type="dxa" w:w="1440"/>
            <w:shd w:val="clear" w:color="auto" w:fill="F2F5FB"/>
          </w:tcPr>
          <w:p>
            <w:pPr>
              <w:spacing w:after="40" w:before="40"/>
              <w:jc w:val="left"/>
            </w:pPr>
            <w:r/>
            <w:r>
              <w:rPr>
                <w:rFonts w:ascii="Calibri" w:hAnsi="Calibri"/>
                <w:b w:val="0"/>
                <w:color w:val="1A2233"/>
                <w:sz w:val="17"/>
              </w:rPr>
              <w:t>40 GB</w:t>
            </w:r>
          </w:p>
        </w:tc>
        <w:tc>
          <w:tcPr>
            <w:tcW w:type="dxa" w:w="2160"/>
            <w:shd w:val="clear" w:color="auto" w:fill="F2F5FB"/>
          </w:tcPr>
          <w:p>
            <w:pPr>
              <w:spacing w:after="40" w:before="40"/>
              <w:jc w:val="left"/>
            </w:pPr>
            <w:r/>
            <w:r>
              <w:rPr>
                <w:rFonts w:ascii="Calibri" w:hAnsi="Calibri"/>
                <w:b w:val="0"/>
                <w:color w:val="1A2233"/>
                <w:sz w:val="17"/>
              </w:rPr>
              <w:t>Ubuntu 22.04 LTS / RHEL 9</w:t>
            </w:r>
          </w:p>
        </w:tc>
      </w:tr>
      <w:tr>
        <w:tc>
          <w:tcPr>
            <w:tcW w:type="dxa" w:w="3024"/>
          </w:tcPr>
          <w:p>
            <w:pPr>
              <w:spacing w:after="40" w:before="40"/>
              <w:jc w:val="left"/>
            </w:pPr>
            <w:r/>
            <w:r>
              <w:rPr>
                <w:rFonts w:ascii="Calibri" w:hAnsi="Calibri"/>
                <w:b w:val="0"/>
                <w:color w:val="1A2233"/>
                <w:sz w:val="17"/>
              </w:rPr>
              <w:t>Monitoring + Vault</w:t>
            </w:r>
          </w:p>
        </w:tc>
        <w:tc>
          <w:tcPr>
            <w:tcW w:type="dxa" w:w="720"/>
          </w:tcPr>
          <w:p>
            <w:pPr>
              <w:spacing w:after="40" w:before="40"/>
              <w:jc w:val="left"/>
            </w:pPr>
            <w:r/>
            <w:r>
              <w:rPr>
                <w:rFonts w:ascii="Calibri" w:hAnsi="Calibri"/>
                <w:b w:val="0"/>
                <w:color w:val="1A2233"/>
                <w:sz w:val="17"/>
              </w:rPr>
              <w:t>1</w:t>
            </w:r>
          </w:p>
        </w:tc>
        <w:tc>
          <w:tcPr>
            <w:tcW w:type="dxa" w:w="864"/>
          </w:tcPr>
          <w:p>
            <w:pPr>
              <w:spacing w:after="40" w:before="40"/>
              <w:jc w:val="left"/>
            </w:pPr>
            <w:r/>
            <w:r>
              <w:rPr>
                <w:rFonts w:ascii="Calibri" w:hAnsi="Calibri"/>
                <w:b w:val="0"/>
                <w:color w:val="1A2233"/>
                <w:sz w:val="17"/>
              </w:rPr>
              <w:t>4</w:t>
            </w:r>
          </w:p>
        </w:tc>
        <w:tc>
          <w:tcPr>
            <w:tcW w:type="dxa" w:w="1152"/>
          </w:tcPr>
          <w:p>
            <w:pPr>
              <w:spacing w:after="40" w:before="40"/>
              <w:jc w:val="left"/>
            </w:pPr>
            <w:r/>
            <w:r>
              <w:rPr>
                <w:rFonts w:ascii="Calibri" w:hAnsi="Calibri"/>
                <w:b w:val="0"/>
                <w:color w:val="1A2233"/>
                <w:sz w:val="17"/>
              </w:rPr>
              <w:t>8 GB</w:t>
            </w:r>
          </w:p>
        </w:tc>
        <w:tc>
          <w:tcPr>
            <w:tcW w:type="dxa" w:w="1440"/>
          </w:tcPr>
          <w:p>
            <w:pPr>
              <w:spacing w:after="40" w:before="40"/>
              <w:jc w:val="left"/>
            </w:pPr>
            <w:r/>
            <w:r>
              <w:rPr>
                <w:rFonts w:ascii="Calibri" w:hAnsi="Calibri"/>
                <w:b w:val="0"/>
                <w:color w:val="1A2233"/>
                <w:sz w:val="17"/>
              </w:rPr>
              <w:t>100 GB</w:t>
            </w:r>
          </w:p>
        </w:tc>
        <w:tc>
          <w:tcPr>
            <w:tcW w:type="dxa" w:w="2160"/>
          </w:tcPr>
          <w:p>
            <w:pPr>
              <w:spacing w:after="40" w:before="40"/>
              <w:jc w:val="left"/>
            </w:pPr>
            <w:r/>
            <w:r>
              <w:rPr>
                <w:rFonts w:ascii="Calibri" w:hAnsi="Calibri"/>
                <w:b w:val="0"/>
                <w:color w:val="1A2233"/>
                <w:sz w:val="17"/>
              </w:rPr>
              <w:t>Ubuntu 22.04 LTS / RHEL 9</w:t>
            </w:r>
          </w:p>
        </w:tc>
      </w:tr>
    </w:tbl>
    <w:p>
      <w:pPr>
        <w:spacing w:after="40"/>
      </w:pPr>
    </w:p>
    <w:p>
      <w:pPr>
        <w:spacing w:after="120" w:before="0"/>
        <w:jc w:val="left"/>
      </w:pPr>
      <w:r>
        <w:rPr>
          <w:b w:val="0"/>
          <w:i/>
          <w:color w:val="5A6B87"/>
          <w:sz w:val="19"/>
        </w:rPr>
        <w:t>Production subtotal: 8 VMs, approximately 32 vCPU, 96 GB RAM, and about 1.64 TB of disk before backup allocation.</w:t>
      </w:r>
    </w:p>
    <w:p>
      <w:pPr>
        <w:pStyle w:val="Heading2"/>
      </w:pPr>
      <w:r>
        <w:t>7.3 Non-Production (UAT) VM specification</w:t>
      </w:r>
    </w:p>
    <w:tbl>
      <w:tblPr>
        <w:tblStyle w:val="TableGrid"/>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3024"/>
            <w:shd w:val="clear" w:color="auto" w:fill="D9E2F3"/>
          </w:tcPr>
          <w:p>
            <w:pPr>
              <w:spacing w:after="40" w:before="40"/>
              <w:jc w:val="left"/>
            </w:pPr>
            <w:r/>
            <w:r>
              <w:rPr>
                <w:rFonts w:ascii="Calibri" w:hAnsi="Calibri"/>
                <w:b/>
                <w:color w:val="1A2233"/>
                <w:sz w:val="18"/>
              </w:rPr>
              <w:t>Role</w:t>
            </w:r>
          </w:p>
        </w:tc>
        <w:tc>
          <w:tcPr>
            <w:tcW w:type="dxa" w:w="720"/>
            <w:shd w:val="clear" w:color="auto" w:fill="D9E2F3"/>
          </w:tcPr>
          <w:p>
            <w:pPr>
              <w:spacing w:after="40" w:before="40"/>
              <w:jc w:val="left"/>
            </w:pPr>
            <w:r/>
            <w:r>
              <w:rPr>
                <w:rFonts w:ascii="Calibri" w:hAnsi="Calibri"/>
                <w:b/>
                <w:color w:val="1A2233"/>
                <w:sz w:val="18"/>
              </w:rPr>
              <w:t>Qty</w:t>
            </w:r>
          </w:p>
        </w:tc>
        <w:tc>
          <w:tcPr>
            <w:tcW w:type="dxa" w:w="864"/>
            <w:shd w:val="clear" w:color="auto" w:fill="D9E2F3"/>
          </w:tcPr>
          <w:p>
            <w:pPr>
              <w:spacing w:after="40" w:before="40"/>
              <w:jc w:val="left"/>
            </w:pPr>
            <w:r/>
            <w:r>
              <w:rPr>
                <w:rFonts w:ascii="Calibri" w:hAnsi="Calibri"/>
                <w:b/>
                <w:color w:val="1A2233"/>
                <w:sz w:val="18"/>
              </w:rPr>
              <w:t>vCPU</w:t>
            </w:r>
          </w:p>
        </w:tc>
        <w:tc>
          <w:tcPr>
            <w:tcW w:type="dxa" w:w="1152"/>
            <w:shd w:val="clear" w:color="auto" w:fill="D9E2F3"/>
          </w:tcPr>
          <w:p>
            <w:pPr>
              <w:spacing w:after="40" w:before="40"/>
              <w:jc w:val="left"/>
            </w:pPr>
            <w:r/>
            <w:r>
              <w:rPr>
                <w:rFonts w:ascii="Calibri" w:hAnsi="Calibri"/>
                <w:b/>
                <w:color w:val="1A2233"/>
                <w:sz w:val="18"/>
              </w:rPr>
              <w:t>RAM</w:t>
            </w:r>
          </w:p>
        </w:tc>
        <w:tc>
          <w:tcPr>
            <w:tcW w:type="dxa" w:w="1440"/>
            <w:shd w:val="clear" w:color="auto" w:fill="D9E2F3"/>
          </w:tcPr>
          <w:p>
            <w:pPr>
              <w:spacing w:after="40" w:before="40"/>
              <w:jc w:val="left"/>
            </w:pPr>
            <w:r/>
            <w:r>
              <w:rPr>
                <w:rFonts w:ascii="Calibri" w:hAnsi="Calibri"/>
                <w:b/>
                <w:color w:val="1A2233"/>
                <w:sz w:val="18"/>
              </w:rPr>
              <w:t>Disk</w:t>
            </w:r>
          </w:p>
        </w:tc>
        <w:tc>
          <w:tcPr>
            <w:tcW w:type="dxa" w:w="2160"/>
            <w:shd w:val="clear" w:color="auto" w:fill="D9E2F3"/>
          </w:tcPr>
          <w:p>
            <w:pPr>
              <w:spacing w:after="40" w:before="40"/>
              <w:jc w:val="left"/>
            </w:pPr>
            <w:r/>
            <w:r>
              <w:rPr>
                <w:rFonts w:ascii="Calibri" w:hAnsi="Calibri"/>
                <w:b/>
                <w:color w:val="1A2233"/>
                <w:sz w:val="18"/>
              </w:rPr>
              <w:t>OS</w:t>
            </w:r>
          </w:p>
        </w:tc>
      </w:tr>
      <w:tr>
        <w:tc>
          <w:tcPr>
            <w:tcW w:type="dxa" w:w="3024"/>
          </w:tcPr>
          <w:p>
            <w:pPr>
              <w:spacing w:after="40" w:before="40"/>
              <w:jc w:val="left"/>
            </w:pPr>
            <w:r/>
            <w:r>
              <w:rPr>
                <w:rFonts w:ascii="Calibri" w:hAnsi="Calibri"/>
                <w:b w:val="0"/>
                <w:color w:val="1A2233"/>
                <w:sz w:val="17"/>
              </w:rPr>
              <w:t>Web + Application (combined)</w:t>
            </w:r>
          </w:p>
        </w:tc>
        <w:tc>
          <w:tcPr>
            <w:tcW w:type="dxa" w:w="720"/>
          </w:tcPr>
          <w:p>
            <w:pPr>
              <w:spacing w:after="40" w:before="40"/>
              <w:jc w:val="left"/>
            </w:pPr>
            <w:r/>
            <w:r>
              <w:rPr>
                <w:rFonts w:ascii="Calibri" w:hAnsi="Calibri"/>
                <w:b w:val="0"/>
                <w:color w:val="1A2233"/>
                <w:sz w:val="17"/>
              </w:rPr>
              <w:t>1</w:t>
            </w:r>
          </w:p>
        </w:tc>
        <w:tc>
          <w:tcPr>
            <w:tcW w:type="dxa" w:w="864"/>
          </w:tcPr>
          <w:p>
            <w:pPr>
              <w:spacing w:after="40" w:before="40"/>
              <w:jc w:val="left"/>
            </w:pPr>
            <w:r/>
            <w:r>
              <w:rPr>
                <w:rFonts w:ascii="Calibri" w:hAnsi="Calibri"/>
                <w:b w:val="0"/>
                <w:color w:val="1A2233"/>
                <w:sz w:val="17"/>
              </w:rPr>
              <w:t>4</w:t>
            </w:r>
          </w:p>
        </w:tc>
        <w:tc>
          <w:tcPr>
            <w:tcW w:type="dxa" w:w="1152"/>
          </w:tcPr>
          <w:p>
            <w:pPr>
              <w:spacing w:after="40" w:before="40"/>
              <w:jc w:val="left"/>
            </w:pPr>
            <w:r/>
            <w:r>
              <w:rPr>
                <w:rFonts w:ascii="Calibri" w:hAnsi="Calibri"/>
                <w:b w:val="0"/>
                <w:color w:val="1A2233"/>
                <w:sz w:val="17"/>
              </w:rPr>
              <w:t>8 GB</w:t>
            </w:r>
          </w:p>
        </w:tc>
        <w:tc>
          <w:tcPr>
            <w:tcW w:type="dxa" w:w="1440"/>
          </w:tcPr>
          <w:p>
            <w:pPr>
              <w:spacing w:after="40" w:before="40"/>
              <w:jc w:val="left"/>
            </w:pPr>
            <w:r/>
            <w:r>
              <w:rPr>
                <w:rFonts w:ascii="Calibri" w:hAnsi="Calibri"/>
                <w:b w:val="0"/>
                <w:color w:val="1A2233"/>
                <w:sz w:val="17"/>
              </w:rPr>
              <w:t>60 GB</w:t>
            </w:r>
          </w:p>
        </w:tc>
        <w:tc>
          <w:tcPr>
            <w:tcW w:type="dxa" w:w="2160"/>
          </w:tcPr>
          <w:p>
            <w:pPr>
              <w:spacing w:after="40" w:before="40"/>
              <w:jc w:val="left"/>
            </w:pPr>
            <w:r/>
            <w:r>
              <w:rPr>
                <w:rFonts w:ascii="Calibri" w:hAnsi="Calibri"/>
                <w:b w:val="0"/>
                <w:color w:val="1A2233"/>
                <w:sz w:val="17"/>
              </w:rPr>
              <w:t>Ubuntu 22.04 LTS / RHEL 9</w:t>
            </w:r>
          </w:p>
        </w:tc>
      </w:tr>
      <w:tr>
        <w:tc>
          <w:tcPr>
            <w:tcW w:type="dxa" w:w="3024"/>
            <w:shd w:val="clear" w:color="auto" w:fill="F2F5FB"/>
          </w:tcPr>
          <w:p>
            <w:pPr>
              <w:spacing w:after="40" w:before="40"/>
              <w:jc w:val="left"/>
            </w:pPr>
            <w:r/>
            <w:r>
              <w:rPr>
                <w:rFonts w:ascii="Calibri" w:hAnsi="Calibri"/>
                <w:b w:val="0"/>
                <w:color w:val="1A2233"/>
                <w:sz w:val="17"/>
              </w:rPr>
              <w:t>PostgreSQL (single node)</w:t>
            </w:r>
          </w:p>
        </w:tc>
        <w:tc>
          <w:tcPr>
            <w:tcW w:type="dxa" w:w="720"/>
            <w:shd w:val="clear" w:color="auto" w:fill="F2F5FB"/>
          </w:tcPr>
          <w:p>
            <w:pPr>
              <w:spacing w:after="40" w:before="40"/>
              <w:jc w:val="left"/>
            </w:pPr>
            <w:r/>
            <w:r>
              <w:rPr>
                <w:rFonts w:ascii="Calibri" w:hAnsi="Calibri"/>
                <w:b w:val="0"/>
                <w:color w:val="1A2233"/>
                <w:sz w:val="17"/>
              </w:rPr>
              <w:t>1</w:t>
            </w:r>
          </w:p>
        </w:tc>
        <w:tc>
          <w:tcPr>
            <w:tcW w:type="dxa" w:w="864"/>
            <w:shd w:val="clear" w:color="auto" w:fill="F2F5FB"/>
          </w:tcPr>
          <w:p>
            <w:pPr>
              <w:spacing w:after="40" w:before="40"/>
              <w:jc w:val="left"/>
            </w:pPr>
            <w:r/>
            <w:r>
              <w:rPr>
                <w:rFonts w:ascii="Calibri" w:hAnsi="Calibri"/>
                <w:b w:val="0"/>
                <w:color w:val="1A2233"/>
                <w:sz w:val="17"/>
              </w:rPr>
              <w:t>4</w:t>
            </w:r>
          </w:p>
        </w:tc>
        <w:tc>
          <w:tcPr>
            <w:tcW w:type="dxa" w:w="1152"/>
            <w:shd w:val="clear" w:color="auto" w:fill="F2F5FB"/>
          </w:tcPr>
          <w:p>
            <w:pPr>
              <w:spacing w:after="40" w:before="40"/>
              <w:jc w:val="left"/>
            </w:pPr>
            <w:r/>
            <w:r>
              <w:rPr>
                <w:rFonts w:ascii="Calibri" w:hAnsi="Calibri"/>
                <w:b w:val="0"/>
                <w:color w:val="1A2233"/>
                <w:sz w:val="17"/>
              </w:rPr>
              <w:t>16 GB</w:t>
            </w:r>
          </w:p>
        </w:tc>
        <w:tc>
          <w:tcPr>
            <w:tcW w:type="dxa" w:w="1440"/>
            <w:shd w:val="clear" w:color="auto" w:fill="F2F5FB"/>
          </w:tcPr>
          <w:p>
            <w:pPr>
              <w:spacing w:after="40" w:before="40"/>
              <w:jc w:val="left"/>
            </w:pPr>
            <w:r/>
            <w:r>
              <w:rPr>
                <w:rFonts w:ascii="Calibri" w:hAnsi="Calibri"/>
                <w:b w:val="0"/>
                <w:color w:val="1A2233"/>
                <w:sz w:val="17"/>
              </w:rPr>
              <w:t>100 GB SSD</w:t>
            </w:r>
          </w:p>
        </w:tc>
        <w:tc>
          <w:tcPr>
            <w:tcW w:type="dxa" w:w="2160"/>
            <w:shd w:val="clear" w:color="auto" w:fill="F2F5FB"/>
          </w:tcPr>
          <w:p>
            <w:pPr>
              <w:spacing w:after="40" w:before="40"/>
              <w:jc w:val="left"/>
            </w:pPr>
            <w:r/>
            <w:r>
              <w:rPr>
                <w:rFonts w:ascii="Calibri" w:hAnsi="Calibri"/>
                <w:b w:val="0"/>
                <w:color w:val="1A2233"/>
                <w:sz w:val="17"/>
              </w:rPr>
              <w:t>Ubuntu 22.04 LTS / RHEL 9</w:t>
            </w:r>
          </w:p>
        </w:tc>
      </w:tr>
      <w:tr>
        <w:tc>
          <w:tcPr>
            <w:tcW w:type="dxa" w:w="3024"/>
          </w:tcPr>
          <w:p>
            <w:pPr>
              <w:spacing w:after="40" w:before="40"/>
              <w:jc w:val="left"/>
            </w:pPr>
            <w:r/>
            <w:r>
              <w:rPr>
                <w:rFonts w:ascii="Calibri" w:hAnsi="Calibri"/>
                <w:b w:val="0"/>
                <w:color w:val="1A2233"/>
                <w:sz w:val="17"/>
              </w:rPr>
              <w:t>MinIO object storage</w:t>
            </w:r>
          </w:p>
        </w:tc>
        <w:tc>
          <w:tcPr>
            <w:tcW w:type="dxa" w:w="720"/>
          </w:tcPr>
          <w:p>
            <w:pPr>
              <w:spacing w:after="40" w:before="40"/>
              <w:jc w:val="left"/>
            </w:pPr>
            <w:r/>
            <w:r>
              <w:rPr>
                <w:rFonts w:ascii="Calibri" w:hAnsi="Calibri"/>
                <w:b w:val="0"/>
                <w:color w:val="1A2233"/>
                <w:sz w:val="17"/>
              </w:rPr>
              <w:t>1</w:t>
            </w:r>
          </w:p>
        </w:tc>
        <w:tc>
          <w:tcPr>
            <w:tcW w:type="dxa" w:w="864"/>
          </w:tcPr>
          <w:p>
            <w:pPr>
              <w:spacing w:after="40" w:before="40"/>
              <w:jc w:val="left"/>
            </w:pPr>
            <w:r/>
            <w:r>
              <w:rPr>
                <w:rFonts w:ascii="Calibri" w:hAnsi="Calibri"/>
                <w:b w:val="0"/>
                <w:color w:val="1A2233"/>
                <w:sz w:val="17"/>
              </w:rPr>
              <w:t>2</w:t>
            </w:r>
          </w:p>
        </w:tc>
        <w:tc>
          <w:tcPr>
            <w:tcW w:type="dxa" w:w="1152"/>
          </w:tcPr>
          <w:p>
            <w:pPr>
              <w:spacing w:after="40" w:before="40"/>
              <w:jc w:val="left"/>
            </w:pPr>
            <w:r/>
            <w:r>
              <w:rPr>
                <w:rFonts w:ascii="Calibri" w:hAnsi="Calibri"/>
                <w:b w:val="0"/>
                <w:color w:val="1A2233"/>
                <w:sz w:val="17"/>
              </w:rPr>
              <w:t>4 GB</w:t>
            </w:r>
          </w:p>
        </w:tc>
        <w:tc>
          <w:tcPr>
            <w:tcW w:type="dxa" w:w="1440"/>
          </w:tcPr>
          <w:p>
            <w:pPr>
              <w:spacing w:after="40" w:before="40"/>
              <w:jc w:val="left"/>
            </w:pPr>
            <w:r/>
            <w:r>
              <w:rPr>
                <w:rFonts w:ascii="Calibri" w:hAnsi="Calibri"/>
                <w:b w:val="0"/>
                <w:color w:val="1A2233"/>
                <w:sz w:val="17"/>
              </w:rPr>
              <w:t>250 GB</w:t>
            </w:r>
          </w:p>
        </w:tc>
        <w:tc>
          <w:tcPr>
            <w:tcW w:type="dxa" w:w="2160"/>
          </w:tcPr>
          <w:p>
            <w:pPr>
              <w:spacing w:after="40" w:before="40"/>
              <w:jc w:val="left"/>
            </w:pPr>
            <w:r/>
            <w:r>
              <w:rPr>
                <w:rFonts w:ascii="Calibri" w:hAnsi="Calibri"/>
                <w:b w:val="0"/>
                <w:color w:val="1A2233"/>
                <w:sz w:val="17"/>
              </w:rPr>
              <w:t>Ubuntu 22.04 LTS / RHEL 9</w:t>
            </w:r>
          </w:p>
        </w:tc>
      </w:tr>
    </w:tbl>
    <w:p>
      <w:pPr>
        <w:spacing w:after="40"/>
      </w:pPr>
    </w:p>
    <w:p>
      <w:pPr>
        <w:spacing w:after="120" w:before="0"/>
        <w:jc w:val="left"/>
      </w:pPr>
      <w:r>
        <w:rPr>
          <w:b w:val="0"/>
          <w:i/>
          <w:color w:val="5A6B87"/>
          <w:sz w:val="19"/>
        </w:rPr>
        <w:t>UAT subtotal: 3 VMs, approximately 10 vCPU, 28 GB RAM, 410 GB disk. A scaled-down mirror for testing and release validation (policy expects code review and post-live support, addressing the operational instability risk in Section 5 of the policy).</w:t>
      </w:r>
    </w:p>
    <w:p>
      <w:pPr>
        <w:pStyle w:val="Heading2"/>
      </w:pPr>
      <w:r>
        <w:t>7.4 Backup, WAL archive and disaster recovery</w:t>
      </w:r>
    </w:p>
    <w:p>
      <w:pPr>
        <w:pStyle w:val="ListBullet"/>
        <w:spacing w:after="60"/>
      </w:pPr>
      <w:r>
        <w:rPr>
          <w:color w:val="1A2233"/>
          <w:sz w:val="21"/>
        </w:rPr>
        <w:t>Backup / WAL archive storage: allow 500 GB to 1 TB in the management zone for database backups and continuous WAL archiving (retention per AAISP).</w:t>
      </w:r>
    </w:p>
    <w:p>
      <w:pPr>
        <w:pStyle w:val="ListBullet"/>
        <w:spacing w:after="60"/>
      </w:pPr>
      <w:r>
        <w:rPr>
          <w:color w:val="1A2233"/>
          <w:sz w:val="21"/>
        </w:rPr>
        <w:t>Disaster recovery: a warm replica at a secondary Airtel site is recommended as a Phase 2 item [confirm DR requirement and RPO/RTO with IT].</w:t>
      </w:r>
    </w:p>
    <w:p>
      <w:pPr>
        <w:pStyle w:val="Heading2"/>
      </w:pPr>
      <w:r>
        <w:t>7.5 How the specification was derived</w:t>
      </w:r>
    </w:p>
    <w:p>
      <w:pPr>
        <w:pStyle w:val="ListNumber"/>
        <w:spacing w:after="60"/>
      </w:pPr>
      <w:r>
        <w:rPr>
          <w:color w:val="1A2233"/>
          <w:sz w:val="21"/>
        </w:rPr>
        <w:t>Start from the named-user population and estimate peak concurrency (10 to 15 percent).</w:t>
      </w:r>
    </w:p>
    <w:p>
      <w:pPr>
        <w:pStyle w:val="ListNumber"/>
        <w:spacing w:after="60"/>
      </w:pPr>
      <w:r>
        <w:rPr>
          <w:color w:val="1A2233"/>
          <w:sz w:val="21"/>
        </w:rPr>
        <w:t>Size the web and application tiers for that concurrency with N+1 redundancy (two nodes each), since the workload is light and mostly I/O bound.</w:t>
      </w:r>
    </w:p>
    <w:p>
      <w:pPr>
        <w:pStyle w:val="ListNumber"/>
        <w:spacing w:after="60"/>
      </w:pPr>
      <w:r>
        <w:rPr>
          <w:color w:val="1A2233"/>
          <w:sz w:val="21"/>
        </w:rPr>
        <w:t>Size the database for the working set to fit in RAM (current data is only a few GB; 32 GB gives large cache headroom) and provision SSD for growth and WAL.</w:t>
      </w:r>
    </w:p>
    <w:p>
      <w:pPr>
        <w:pStyle w:val="ListNumber"/>
        <w:spacing w:after="60"/>
      </w:pPr>
      <w:r>
        <w:rPr>
          <w:color w:val="1A2233"/>
          <w:sz w:val="21"/>
        </w:rPr>
        <w:t>Size object storage from the ODU photo volume estimate plus growth (1 TB).</w:t>
      </w:r>
    </w:p>
    <w:p>
      <w:pPr>
        <w:pStyle w:val="ListNumber"/>
        <w:spacing w:after="60"/>
      </w:pPr>
      <w:r>
        <w:rPr>
          <w:color w:val="1A2233"/>
          <w:sz w:val="21"/>
        </w:rPr>
        <w:t>Add management, bastion, monitoring and secrets nodes for operability and security.</w:t>
      </w:r>
    </w:p>
    <w:p>
      <w:pPr>
        <w:pStyle w:val="ListNumber"/>
        <w:spacing w:after="60"/>
      </w:pPr>
      <w:r>
        <w:rPr>
          <w:color w:val="1A2233"/>
          <w:sz w:val="21"/>
        </w:rPr>
        <w:t>Mirror a reduced footprint for UAT to enable testing and controlled releases.</w:t>
      </w:r>
    </w:p>
    <w:p>
      <w:pPr>
        <w:pStyle w:val="Heading1"/>
      </w:pPr>
      <w:r>
        <w:t>8. Integration Touch Points (Consolidated)</w:t>
      </w:r>
    </w:p>
    <w:tbl>
      <w:tblPr>
        <w:tblStyle w:val="TableGrid"/>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1728"/>
            <w:shd w:val="clear" w:color="auto" w:fill="D9E2F3"/>
          </w:tcPr>
          <w:p>
            <w:pPr>
              <w:spacing w:after="40" w:before="40"/>
              <w:jc w:val="left"/>
            </w:pPr>
            <w:r/>
            <w:r>
              <w:rPr>
                <w:rFonts w:ascii="Calibri" w:hAnsi="Calibri"/>
                <w:b/>
                <w:color w:val="1A2233"/>
                <w:sz w:val="17"/>
              </w:rPr>
              <w:t>Source</w:t>
            </w:r>
          </w:p>
        </w:tc>
        <w:tc>
          <w:tcPr>
            <w:tcW w:type="dxa" w:w="1728"/>
            <w:shd w:val="clear" w:color="auto" w:fill="D9E2F3"/>
          </w:tcPr>
          <w:p>
            <w:pPr>
              <w:spacing w:after="40" w:before="40"/>
              <w:jc w:val="left"/>
            </w:pPr>
            <w:r/>
            <w:r>
              <w:rPr>
                <w:rFonts w:ascii="Calibri" w:hAnsi="Calibri"/>
                <w:b/>
                <w:color w:val="1A2233"/>
                <w:sz w:val="17"/>
              </w:rPr>
              <w:t>Target</w:t>
            </w:r>
          </w:p>
        </w:tc>
        <w:tc>
          <w:tcPr>
            <w:tcW w:type="dxa" w:w="1728"/>
            <w:shd w:val="clear" w:color="auto" w:fill="D9E2F3"/>
          </w:tcPr>
          <w:p>
            <w:pPr>
              <w:spacing w:after="40" w:before="40"/>
              <w:jc w:val="left"/>
            </w:pPr>
            <w:r/>
            <w:r>
              <w:rPr>
                <w:rFonts w:ascii="Calibri" w:hAnsi="Calibri"/>
                <w:b/>
                <w:color w:val="1A2233"/>
                <w:sz w:val="17"/>
              </w:rPr>
              <w:t>Type</w:t>
            </w:r>
          </w:p>
        </w:tc>
        <w:tc>
          <w:tcPr>
            <w:tcW w:type="dxa" w:w="1872"/>
            <w:shd w:val="clear" w:color="auto" w:fill="D9E2F3"/>
          </w:tcPr>
          <w:p>
            <w:pPr>
              <w:spacing w:after="40" w:before="40"/>
              <w:jc w:val="left"/>
            </w:pPr>
            <w:r/>
            <w:r>
              <w:rPr>
                <w:rFonts w:ascii="Calibri" w:hAnsi="Calibri"/>
                <w:b/>
                <w:color w:val="1A2233"/>
                <w:sz w:val="17"/>
              </w:rPr>
              <w:t>Protocol / port</w:t>
            </w:r>
          </w:p>
        </w:tc>
        <w:tc>
          <w:tcPr>
            <w:tcW w:type="dxa" w:w="1872"/>
            <w:shd w:val="clear" w:color="auto" w:fill="D9E2F3"/>
          </w:tcPr>
          <w:p>
            <w:pPr>
              <w:spacing w:after="40" w:before="40"/>
              <w:jc w:val="left"/>
            </w:pPr>
            <w:r/>
            <w:r>
              <w:rPr>
                <w:rFonts w:ascii="Calibri" w:hAnsi="Calibri"/>
                <w:b/>
                <w:color w:val="1A2233"/>
                <w:sz w:val="17"/>
              </w:rPr>
              <w:t>Data</w:t>
            </w:r>
          </w:p>
        </w:tc>
        <w:tc>
          <w:tcPr>
            <w:tcW w:type="dxa" w:w="1872"/>
            <w:shd w:val="clear" w:color="auto" w:fill="D9E2F3"/>
          </w:tcPr>
          <w:p>
            <w:pPr>
              <w:spacing w:after="40" w:before="40"/>
              <w:jc w:val="left"/>
            </w:pPr>
            <w:r/>
            <w:r>
              <w:rPr>
                <w:rFonts w:ascii="Calibri" w:hAnsi="Calibri"/>
                <w:b/>
                <w:color w:val="1A2233"/>
                <w:sz w:val="17"/>
              </w:rPr>
              <w:t>Auth</w:t>
            </w:r>
          </w:p>
        </w:tc>
      </w:tr>
      <w:tr>
        <w:tc>
          <w:tcPr>
            <w:tcW w:type="dxa" w:w="1728"/>
          </w:tcPr>
          <w:p>
            <w:pPr>
              <w:spacing w:after="40" w:before="40"/>
              <w:jc w:val="left"/>
            </w:pPr>
            <w:r/>
            <w:r>
              <w:rPr>
                <w:rFonts w:ascii="Calibri" w:hAnsi="Calibri"/>
                <w:b w:val="0"/>
                <w:color w:val="1A2233"/>
                <w:sz w:val="16"/>
              </w:rPr>
              <w:t>User device</w:t>
            </w:r>
          </w:p>
        </w:tc>
        <w:tc>
          <w:tcPr>
            <w:tcW w:type="dxa" w:w="1728"/>
          </w:tcPr>
          <w:p>
            <w:pPr>
              <w:spacing w:after="40" w:before="40"/>
              <w:jc w:val="left"/>
            </w:pPr>
            <w:r/>
            <w:r>
              <w:rPr>
                <w:rFonts w:ascii="Calibri" w:hAnsi="Calibri"/>
                <w:b w:val="0"/>
                <w:color w:val="1A2233"/>
                <w:sz w:val="16"/>
              </w:rPr>
              <w:t>Airtel WAF/LB</w:t>
            </w:r>
          </w:p>
        </w:tc>
        <w:tc>
          <w:tcPr>
            <w:tcW w:type="dxa" w:w="1728"/>
          </w:tcPr>
          <w:p>
            <w:pPr>
              <w:spacing w:after="40" w:before="40"/>
              <w:jc w:val="left"/>
            </w:pPr>
            <w:r/>
            <w:r>
              <w:rPr>
                <w:rFonts w:ascii="Calibri" w:hAnsi="Calibri"/>
                <w:b w:val="0"/>
                <w:color w:val="1A2233"/>
                <w:sz w:val="16"/>
              </w:rPr>
              <w:t>User to system</w:t>
            </w:r>
          </w:p>
        </w:tc>
        <w:tc>
          <w:tcPr>
            <w:tcW w:type="dxa" w:w="1872"/>
          </w:tcPr>
          <w:p>
            <w:pPr>
              <w:spacing w:after="40" w:before="40"/>
              <w:jc w:val="left"/>
            </w:pPr>
            <w:r/>
            <w:r>
              <w:rPr>
                <w:rFonts w:ascii="Calibri" w:hAnsi="Calibri"/>
                <w:b w:val="0"/>
                <w:color w:val="1A2233"/>
                <w:sz w:val="16"/>
              </w:rPr>
              <w:t>HTTPS / 443</w:t>
            </w:r>
          </w:p>
        </w:tc>
        <w:tc>
          <w:tcPr>
            <w:tcW w:type="dxa" w:w="1872"/>
          </w:tcPr>
          <w:p>
            <w:pPr>
              <w:spacing w:after="40" w:before="40"/>
              <w:jc w:val="left"/>
            </w:pPr>
            <w:r/>
            <w:r>
              <w:rPr>
                <w:rFonts w:ascii="Calibri" w:hAnsi="Calibri"/>
                <w:b w:val="0"/>
                <w:color w:val="1A2233"/>
                <w:sz w:val="16"/>
              </w:rPr>
              <w:t>App traffic</w:t>
            </w:r>
          </w:p>
        </w:tc>
        <w:tc>
          <w:tcPr>
            <w:tcW w:type="dxa" w:w="1872"/>
          </w:tcPr>
          <w:p>
            <w:pPr>
              <w:spacing w:after="40" w:before="40"/>
              <w:jc w:val="left"/>
            </w:pPr>
            <w:r/>
            <w:r>
              <w:rPr>
                <w:rFonts w:ascii="Calibri" w:hAnsi="Calibri"/>
                <w:b w:val="0"/>
                <w:color w:val="1A2233"/>
                <w:sz w:val="16"/>
              </w:rPr>
              <w:t>Session token / (future SSO)</w:t>
            </w:r>
          </w:p>
        </w:tc>
      </w:tr>
      <w:tr>
        <w:tc>
          <w:tcPr>
            <w:tcW w:type="dxa" w:w="1728"/>
            <w:shd w:val="clear" w:color="auto" w:fill="F2F5FB"/>
          </w:tcPr>
          <w:p>
            <w:pPr>
              <w:spacing w:after="40" w:before="40"/>
              <w:jc w:val="left"/>
            </w:pPr>
            <w:r/>
            <w:r>
              <w:rPr>
                <w:rFonts w:ascii="Calibri" w:hAnsi="Calibri"/>
                <w:b w:val="0"/>
                <w:color w:val="1A2233"/>
                <w:sz w:val="16"/>
              </w:rPr>
              <w:t>Web VMs</w:t>
            </w:r>
          </w:p>
        </w:tc>
        <w:tc>
          <w:tcPr>
            <w:tcW w:type="dxa" w:w="1728"/>
            <w:shd w:val="clear" w:color="auto" w:fill="F2F5FB"/>
          </w:tcPr>
          <w:p>
            <w:pPr>
              <w:spacing w:after="40" w:before="40"/>
              <w:jc w:val="left"/>
            </w:pPr>
            <w:r/>
            <w:r>
              <w:rPr>
                <w:rFonts w:ascii="Calibri" w:hAnsi="Calibri"/>
                <w:b w:val="0"/>
                <w:color w:val="1A2233"/>
                <w:sz w:val="16"/>
              </w:rPr>
              <w:t>API VMs</w:t>
            </w:r>
          </w:p>
        </w:tc>
        <w:tc>
          <w:tcPr>
            <w:tcW w:type="dxa" w:w="1728"/>
            <w:shd w:val="clear" w:color="auto" w:fill="F2F5FB"/>
          </w:tcPr>
          <w:p>
            <w:pPr>
              <w:spacing w:after="40" w:before="40"/>
              <w:jc w:val="left"/>
            </w:pPr>
            <w:r/>
            <w:r>
              <w:rPr>
                <w:rFonts w:ascii="Calibri" w:hAnsi="Calibri"/>
                <w:b w:val="0"/>
                <w:color w:val="1A2233"/>
                <w:sz w:val="16"/>
              </w:rPr>
              <w:t>System to system</w:t>
            </w:r>
          </w:p>
        </w:tc>
        <w:tc>
          <w:tcPr>
            <w:tcW w:type="dxa" w:w="1872"/>
            <w:shd w:val="clear" w:color="auto" w:fill="F2F5FB"/>
          </w:tcPr>
          <w:p>
            <w:pPr>
              <w:spacing w:after="40" w:before="40"/>
              <w:jc w:val="left"/>
            </w:pPr>
            <w:r/>
            <w:r>
              <w:rPr>
                <w:rFonts w:ascii="Calibri" w:hAnsi="Calibri"/>
                <w:b w:val="0"/>
                <w:color w:val="1A2233"/>
                <w:sz w:val="16"/>
              </w:rPr>
              <w:t>HTTPS / internal</w:t>
            </w:r>
          </w:p>
        </w:tc>
        <w:tc>
          <w:tcPr>
            <w:tcW w:type="dxa" w:w="1872"/>
            <w:shd w:val="clear" w:color="auto" w:fill="F2F5FB"/>
          </w:tcPr>
          <w:p>
            <w:pPr>
              <w:spacing w:after="40" w:before="40"/>
              <w:jc w:val="left"/>
            </w:pPr>
            <w:r/>
            <w:r>
              <w:rPr>
                <w:rFonts w:ascii="Calibri" w:hAnsi="Calibri"/>
                <w:b w:val="0"/>
                <w:color w:val="1A2233"/>
                <w:sz w:val="16"/>
              </w:rPr>
              <w:t>API requests</w:t>
            </w:r>
          </w:p>
        </w:tc>
        <w:tc>
          <w:tcPr>
            <w:tcW w:type="dxa" w:w="1872"/>
            <w:shd w:val="clear" w:color="auto" w:fill="F2F5FB"/>
          </w:tcPr>
          <w:p>
            <w:pPr>
              <w:spacing w:after="40" w:before="40"/>
              <w:jc w:val="left"/>
            </w:pPr>
            <w:r/>
            <w:r>
              <w:rPr>
                <w:rFonts w:ascii="Calibri" w:hAnsi="Calibri"/>
                <w:b w:val="0"/>
                <w:color w:val="1A2233"/>
                <w:sz w:val="16"/>
              </w:rPr>
              <w:t>Internal service auth</w:t>
            </w:r>
          </w:p>
        </w:tc>
      </w:tr>
      <w:tr>
        <w:tc>
          <w:tcPr>
            <w:tcW w:type="dxa" w:w="1728"/>
          </w:tcPr>
          <w:p>
            <w:pPr>
              <w:spacing w:after="40" w:before="40"/>
              <w:jc w:val="left"/>
            </w:pPr>
            <w:r/>
            <w:r>
              <w:rPr>
                <w:rFonts w:ascii="Calibri" w:hAnsi="Calibri"/>
                <w:b w:val="0"/>
                <w:color w:val="1A2233"/>
                <w:sz w:val="16"/>
              </w:rPr>
              <w:t>API VMs</w:t>
            </w:r>
          </w:p>
        </w:tc>
        <w:tc>
          <w:tcPr>
            <w:tcW w:type="dxa" w:w="1728"/>
          </w:tcPr>
          <w:p>
            <w:pPr>
              <w:spacing w:after="40" w:before="40"/>
              <w:jc w:val="left"/>
            </w:pPr>
            <w:r/>
            <w:r>
              <w:rPr>
                <w:rFonts w:ascii="Calibri" w:hAnsi="Calibri"/>
                <w:b w:val="0"/>
                <w:color w:val="1A2233"/>
                <w:sz w:val="16"/>
              </w:rPr>
              <w:t>PostgreSQL</w:t>
            </w:r>
          </w:p>
        </w:tc>
        <w:tc>
          <w:tcPr>
            <w:tcW w:type="dxa" w:w="1728"/>
          </w:tcPr>
          <w:p>
            <w:pPr>
              <w:spacing w:after="40" w:before="40"/>
              <w:jc w:val="left"/>
            </w:pPr>
            <w:r/>
            <w:r>
              <w:rPr>
                <w:rFonts w:ascii="Calibri" w:hAnsi="Calibri"/>
                <w:b w:val="0"/>
                <w:color w:val="1A2233"/>
                <w:sz w:val="16"/>
              </w:rPr>
              <w:t>System to system</w:t>
            </w:r>
          </w:p>
        </w:tc>
        <w:tc>
          <w:tcPr>
            <w:tcW w:type="dxa" w:w="1872"/>
          </w:tcPr>
          <w:p>
            <w:pPr>
              <w:spacing w:after="40" w:before="40"/>
              <w:jc w:val="left"/>
            </w:pPr>
            <w:r/>
            <w:r>
              <w:rPr>
                <w:rFonts w:ascii="Calibri" w:hAnsi="Calibri"/>
                <w:b w:val="0"/>
                <w:color w:val="1A2233"/>
                <w:sz w:val="16"/>
              </w:rPr>
              <w:t>libpq / 5432, 6432</w:t>
            </w:r>
          </w:p>
        </w:tc>
        <w:tc>
          <w:tcPr>
            <w:tcW w:type="dxa" w:w="1872"/>
          </w:tcPr>
          <w:p>
            <w:pPr>
              <w:spacing w:after="40" w:before="40"/>
              <w:jc w:val="left"/>
            </w:pPr>
            <w:r/>
            <w:r>
              <w:rPr>
                <w:rFonts w:ascii="Calibri" w:hAnsi="Calibri"/>
                <w:b w:val="0"/>
                <w:color w:val="1A2233"/>
                <w:sz w:val="16"/>
              </w:rPr>
              <w:t>Business data (PII, payments)</w:t>
            </w:r>
          </w:p>
        </w:tc>
        <w:tc>
          <w:tcPr>
            <w:tcW w:type="dxa" w:w="1872"/>
          </w:tcPr>
          <w:p>
            <w:pPr>
              <w:spacing w:after="40" w:before="40"/>
              <w:jc w:val="left"/>
            </w:pPr>
            <w:r/>
            <w:r>
              <w:rPr>
                <w:rFonts w:ascii="Calibri" w:hAnsi="Calibri"/>
                <w:b w:val="0"/>
                <w:color w:val="1A2233"/>
                <w:sz w:val="16"/>
              </w:rPr>
              <w:t>DB credential (Vault)</w:t>
            </w:r>
          </w:p>
        </w:tc>
      </w:tr>
      <w:tr>
        <w:tc>
          <w:tcPr>
            <w:tcW w:type="dxa" w:w="1728"/>
            <w:shd w:val="clear" w:color="auto" w:fill="F2F5FB"/>
          </w:tcPr>
          <w:p>
            <w:pPr>
              <w:spacing w:after="40" w:before="40"/>
              <w:jc w:val="left"/>
            </w:pPr>
            <w:r/>
            <w:r>
              <w:rPr>
                <w:rFonts w:ascii="Calibri" w:hAnsi="Calibri"/>
                <w:b w:val="0"/>
                <w:color w:val="1A2233"/>
                <w:sz w:val="16"/>
              </w:rPr>
              <w:t>API VMs</w:t>
            </w:r>
          </w:p>
        </w:tc>
        <w:tc>
          <w:tcPr>
            <w:tcW w:type="dxa" w:w="1728"/>
            <w:shd w:val="clear" w:color="auto" w:fill="F2F5FB"/>
          </w:tcPr>
          <w:p>
            <w:pPr>
              <w:spacing w:after="40" w:before="40"/>
              <w:jc w:val="left"/>
            </w:pPr>
            <w:r/>
            <w:r>
              <w:rPr>
                <w:rFonts w:ascii="Calibri" w:hAnsi="Calibri"/>
                <w:b w:val="0"/>
                <w:color w:val="1A2233"/>
                <w:sz w:val="16"/>
              </w:rPr>
              <w:t>MinIO</w:t>
            </w:r>
          </w:p>
        </w:tc>
        <w:tc>
          <w:tcPr>
            <w:tcW w:type="dxa" w:w="1728"/>
            <w:shd w:val="clear" w:color="auto" w:fill="F2F5FB"/>
          </w:tcPr>
          <w:p>
            <w:pPr>
              <w:spacing w:after="40" w:before="40"/>
              <w:jc w:val="left"/>
            </w:pPr>
            <w:r/>
            <w:r>
              <w:rPr>
                <w:rFonts w:ascii="Calibri" w:hAnsi="Calibri"/>
                <w:b w:val="0"/>
                <w:color w:val="1A2233"/>
                <w:sz w:val="16"/>
              </w:rPr>
              <w:t>System to system</w:t>
            </w:r>
          </w:p>
        </w:tc>
        <w:tc>
          <w:tcPr>
            <w:tcW w:type="dxa" w:w="1872"/>
            <w:shd w:val="clear" w:color="auto" w:fill="F2F5FB"/>
          </w:tcPr>
          <w:p>
            <w:pPr>
              <w:spacing w:after="40" w:before="40"/>
              <w:jc w:val="left"/>
            </w:pPr>
            <w:r/>
            <w:r>
              <w:rPr>
                <w:rFonts w:ascii="Calibri" w:hAnsi="Calibri"/>
                <w:b w:val="0"/>
                <w:color w:val="1A2233"/>
                <w:sz w:val="16"/>
              </w:rPr>
              <w:t>S3 API / 9000</w:t>
            </w:r>
          </w:p>
        </w:tc>
        <w:tc>
          <w:tcPr>
            <w:tcW w:type="dxa" w:w="1872"/>
            <w:shd w:val="clear" w:color="auto" w:fill="F2F5FB"/>
          </w:tcPr>
          <w:p>
            <w:pPr>
              <w:spacing w:after="40" w:before="40"/>
              <w:jc w:val="left"/>
            </w:pPr>
            <w:r/>
            <w:r>
              <w:rPr>
                <w:rFonts w:ascii="Calibri" w:hAnsi="Calibri"/>
                <w:b w:val="0"/>
                <w:color w:val="1A2233"/>
                <w:sz w:val="16"/>
              </w:rPr>
              <w:t>Documents, photos</w:t>
            </w:r>
          </w:p>
        </w:tc>
        <w:tc>
          <w:tcPr>
            <w:tcW w:type="dxa" w:w="1872"/>
            <w:shd w:val="clear" w:color="auto" w:fill="F2F5FB"/>
          </w:tcPr>
          <w:p>
            <w:pPr>
              <w:spacing w:after="40" w:before="40"/>
              <w:jc w:val="left"/>
            </w:pPr>
            <w:r/>
            <w:r>
              <w:rPr>
                <w:rFonts w:ascii="Calibri" w:hAnsi="Calibri"/>
                <w:b w:val="0"/>
                <w:color w:val="1A2233"/>
                <w:sz w:val="16"/>
              </w:rPr>
              <w:t>Access key (Vault), SSE</w:t>
            </w:r>
          </w:p>
        </w:tc>
      </w:tr>
      <w:tr>
        <w:tc>
          <w:tcPr>
            <w:tcW w:type="dxa" w:w="1728"/>
          </w:tcPr>
          <w:p>
            <w:pPr>
              <w:spacing w:after="40" w:before="40"/>
              <w:jc w:val="left"/>
            </w:pPr>
            <w:r/>
            <w:r>
              <w:rPr>
                <w:rFonts w:ascii="Calibri" w:hAnsi="Calibri"/>
                <w:b w:val="0"/>
                <w:color w:val="1A2233"/>
                <w:sz w:val="16"/>
              </w:rPr>
              <w:t>Primary DB</w:t>
            </w:r>
          </w:p>
        </w:tc>
        <w:tc>
          <w:tcPr>
            <w:tcW w:type="dxa" w:w="1728"/>
          </w:tcPr>
          <w:p>
            <w:pPr>
              <w:spacing w:after="40" w:before="40"/>
              <w:jc w:val="left"/>
            </w:pPr>
            <w:r/>
            <w:r>
              <w:rPr>
                <w:rFonts w:ascii="Calibri" w:hAnsi="Calibri"/>
                <w:b w:val="0"/>
                <w:color w:val="1A2233"/>
                <w:sz w:val="16"/>
              </w:rPr>
              <w:t>Replica DB</w:t>
            </w:r>
          </w:p>
        </w:tc>
        <w:tc>
          <w:tcPr>
            <w:tcW w:type="dxa" w:w="1728"/>
          </w:tcPr>
          <w:p>
            <w:pPr>
              <w:spacing w:after="40" w:before="40"/>
              <w:jc w:val="left"/>
            </w:pPr>
            <w:r/>
            <w:r>
              <w:rPr>
                <w:rFonts w:ascii="Calibri" w:hAnsi="Calibri"/>
                <w:b w:val="0"/>
                <w:color w:val="1A2233"/>
                <w:sz w:val="16"/>
              </w:rPr>
              <w:t>System to system</w:t>
            </w:r>
          </w:p>
        </w:tc>
        <w:tc>
          <w:tcPr>
            <w:tcW w:type="dxa" w:w="1872"/>
          </w:tcPr>
          <w:p>
            <w:pPr>
              <w:spacing w:after="40" w:before="40"/>
              <w:jc w:val="left"/>
            </w:pPr>
            <w:r/>
            <w:r>
              <w:rPr>
                <w:rFonts w:ascii="Calibri" w:hAnsi="Calibri"/>
                <w:b w:val="0"/>
                <w:color w:val="1A2233"/>
                <w:sz w:val="16"/>
              </w:rPr>
              <w:t>Streaming repl / 5432</w:t>
            </w:r>
          </w:p>
        </w:tc>
        <w:tc>
          <w:tcPr>
            <w:tcW w:type="dxa" w:w="1872"/>
          </w:tcPr>
          <w:p>
            <w:pPr>
              <w:spacing w:after="40" w:before="40"/>
              <w:jc w:val="left"/>
            </w:pPr>
            <w:r/>
            <w:r>
              <w:rPr>
                <w:rFonts w:ascii="Calibri" w:hAnsi="Calibri"/>
                <w:b w:val="0"/>
                <w:color w:val="1A2233"/>
                <w:sz w:val="16"/>
              </w:rPr>
              <w:t>WAL stream</w:t>
            </w:r>
          </w:p>
        </w:tc>
        <w:tc>
          <w:tcPr>
            <w:tcW w:type="dxa" w:w="1872"/>
          </w:tcPr>
          <w:p>
            <w:pPr>
              <w:spacing w:after="40" w:before="40"/>
              <w:jc w:val="left"/>
            </w:pPr>
            <w:r/>
            <w:r>
              <w:rPr>
                <w:rFonts w:ascii="Calibri" w:hAnsi="Calibri"/>
                <w:b w:val="0"/>
                <w:color w:val="1A2233"/>
                <w:sz w:val="16"/>
              </w:rPr>
              <w:t>Replication credential</w:t>
            </w:r>
          </w:p>
        </w:tc>
      </w:tr>
      <w:tr>
        <w:tc>
          <w:tcPr>
            <w:tcW w:type="dxa" w:w="1728"/>
            <w:shd w:val="clear" w:color="auto" w:fill="F2F5FB"/>
          </w:tcPr>
          <w:p>
            <w:pPr>
              <w:spacing w:after="40" w:before="40"/>
              <w:jc w:val="left"/>
            </w:pPr>
            <w:r/>
            <w:r>
              <w:rPr>
                <w:rFonts w:ascii="Calibri" w:hAnsi="Calibri"/>
                <w:b w:val="0"/>
                <w:color w:val="1A2233"/>
                <w:sz w:val="16"/>
              </w:rPr>
              <w:t>Nodes</w:t>
            </w:r>
          </w:p>
        </w:tc>
        <w:tc>
          <w:tcPr>
            <w:tcW w:type="dxa" w:w="1728"/>
            <w:shd w:val="clear" w:color="auto" w:fill="F2F5FB"/>
          </w:tcPr>
          <w:p>
            <w:pPr>
              <w:spacing w:after="40" w:before="40"/>
              <w:jc w:val="left"/>
            </w:pPr>
            <w:r/>
            <w:r>
              <w:rPr>
                <w:rFonts w:ascii="Calibri" w:hAnsi="Calibri"/>
                <w:b w:val="0"/>
                <w:color w:val="1A2233"/>
                <w:sz w:val="16"/>
              </w:rPr>
              <w:t>Vault / SIEM / Backup</w:t>
            </w:r>
          </w:p>
        </w:tc>
        <w:tc>
          <w:tcPr>
            <w:tcW w:type="dxa" w:w="1728"/>
            <w:shd w:val="clear" w:color="auto" w:fill="F2F5FB"/>
          </w:tcPr>
          <w:p>
            <w:pPr>
              <w:spacing w:after="40" w:before="40"/>
              <w:jc w:val="left"/>
            </w:pPr>
            <w:r/>
            <w:r>
              <w:rPr>
                <w:rFonts w:ascii="Calibri" w:hAnsi="Calibri"/>
                <w:b w:val="0"/>
                <w:color w:val="1A2233"/>
                <w:sz w:val="16"/>
              </w:rPr>
              <w:t>System to system</w:t>
            </w:r>
          </w:p>
        </w:tc>
        <w:tc>
          <w:tcPr>
            <w:tcW w:type="dxa" w:w="1872"/>
            <w:shd w:val="clear" w:color="auto" w:fill="F2F5FB"/>
          </w:tcPr>
          <w:p>
            <w:pPr>
              <w:spacing w:after="40" w:before="40"/>
              <w:jc w:val="left"/>
            </w:pPr>
            <w:r/>
            <w:r>
              <w:rPr>
                <w:rFonts w:ascii="Calibri" w:hAnsi="Calibri"/>
                <w:b w:val="0"/>
                <w:color w:val="1A2233"/>
                <w:sz w:val="16"/>
              </w:rPr>
              <w:t>HTTPS / agent</w:t>
            </w:r>
          </w:p>
        </w:tc>
        <w:tc>
          <w:tcPr>
            <w:tcW w:type="dxa" w:w="1872"/>
            <w:shd w:val="clear" w:color="auto" w:fill="F2F5FB"/>
          </w:tcPr>
          <w:p>
            <w:pPr>
              <w:spacing w:after="40" w:before="40"/>
              <w:jc w:val="left"/>
            </w:pPr>
            <w:r/>
            <w:r>
              <w:rPr>
                <w:rFonts w:ascii="Calibri" w:hAnsi="Calibri"/>
                <w:b w:val="0"/>
                <w:color w:val="1A2233"/>
                <w:sz w:val="16"/>
              </w:rPr>
              <w:t>Secrets, logs, backups</w:t>
            </w:r>
          </w:p>
        </w:tc>
        <w:tc>
          <w:tcPr>
            <w:tcW w:type="dxa" w:w="1872"/>
            <w:shd w:val="clear" w:color="auto" w:fill="F2F5FB"/>
          </w:tcPr>
          <w:p>
            <w:pPr>
              <w:spacing w:after="40" w:before="40"/>
              <w:jc w:val="left"/>
            </w:pPr>
            <w:r/>
            <w:r>
              <w:rPr>
                <w:rFonts w:ascii="Calibri" w:hAnsi="Calibri"/>
                <w:b w:val="0"/>
                <w:color w:val="1A2233"/>
                <w:sz w:val="16"/>
              </w:rPr>
              <w:t>mTLS / agent token</w:t>
            </w:r>
          </w:p>
        </w:tc>
      </w:tr>
      <w:tr>
        <w:tc>
          <w:tcPr>
            <w:tcW w:type="dxa" w:w="1728"/>
          </w:tcPr>
          <w:p>
            <w:pPr>
              <w:spacing w:after="40" w:before="40"/>
              <w:jc w:val="left"/>
            </w:pPr>
            <w:r/>
            <w:r>
              <w:rPr>
                <w:rFonts w:ascii="Calibri" w:hAnsi="Calibri"/>
                <w:b w:val="0"/>
                <w:color w:val="1A2233"/>
                <w:sz w:val="16"/>
              </w:rPr>
              <w:t>Browser</w:t>
            </w:r>
          </w:p>
        </w:tc>
        <w:tc>
          <w:tcPr>
            <w:tcW w:type="dxa" w:w="1728"/>
          </w:tcPr>
          <w:p>
            <w:pPr>
              <w:spacing w:after="40" w:before="40"/>
              <w:jc w:val="left"/>
            </w:pPr>
            <w:r/>
            <w:r>
              <w:rPr>
                <w:rFonts w:ascii="Calibri" w:hAnsi="Calibri"/>
                <w:b w:val="0"/>
                <w:color w:val="1A2233"/>
                <w:sz w:val="16"/>
              </w:rPr>
              <w:t>Map tiles (sanctioned)</w:t>
            </w:r>
          </w:p>
        </w:tc>
        <w:tc>
          <w:tcPr>
            <w:tcW w:type="dxa" w:w="1728"/>
          </w:tcPr>
          <w:p>
            <w:pPr>
              <w:spacing w:after="40" w:before="40"/>
              <w:jc w:val="left"/>
            </w:pPr>
            <w:r/>
            <w:r>
              <w:rPr>
                <w:rFonts w:ascii="Calibri" w:hAnsi="Calibri"/>
                <w:b w:val="0"/>
                <w:color w:val="1A2233"/>
                <w:sz w:val="16"/>
              </w:rPr>
              <w:t>Northbound egress</w:t>
            </w:r>
          </w:p>
        </w:tc>
        <w:tc>
          <w:tcPr>
            <w:tcW w:type="dxa" w:w="1872"/>
          </w:tcPr>
          <w:p>
            <w:pPr>
              <w:spacing w:after="40" w:before="40"/>
              <w:jc w:val="left"/>
            </w:pPr>
            <w:r/>
            <w:r>
              <w:rPr>
                <w:rFonts w:ascii="Calibri" w:hAnsi="Calibri"/>
                <w:b w:val="0"/>
                <w:color w:val="1A2233"/>
                <w:sz w:val="16"/>
              </w:rPr>
              <w:t>HTTPS / 443</w:t>
            </w:r>
          </w:p>
        </w:tc>
        <w:tc>
          <w:tcPr>
            <w:tcW w:type="dxa" w:w="1872"/>
          </w:tcPr>
          <w:p>
            <w:pPr>
              <w:spacing w:after="40" w:before="40"/>
              <w:jc w:val="left"/>
            </w:pPr>
            <w:r/>
            <w:r>
              <w:rPr>
                <w:rFonts w:ascii="Calibri" w:hAnsi="Calibri"/>
                <w:b w:val="0"/>
                <w:color w:val="1A2233"/>
                <w:sz w:val="16"/>
              </w:rPr>
              <w:t>Map tiles</w:t>
            </w:r>
          </w:p>
        </w:tc>
        <w:tc>
          <w:tcPr>
            <w:tcW w:type="dxa" w:w="1872"/>
          </w:tcPr>
          <w:p>
            <w:pPr>
              <w:spacing w:after="40" w:before="40"/>
              <w:jc w:val="left"/>
            </w:pPr>
            <w:r/>
            <w:r>
              <w:rPr>
                <w:rFonts w:ascii="Calibri" w:hAnsi="Calibri"/>
                <w:b w:val="0"/>
                <w:color w:val="1A2233"/>
                <w:sz w:val="16"/>
              </w:rPr>
              <w:t>None</w:t>
            </w:r>
          </w:p>
        </w:tc>
      </w:tr>
    </w:tbl>
    <w:p>
      <w:pPr>
        <w:spacing w:after="40"/>
      </w:pPr>
    </w:p>
    <w:p>
      <w:pPr>
        <w:pStyle w:val="Heading1"/>
      </w:pPr>
      <w:r>
        <w:t>9. Third-Party and Paid Licences</w:t>
      </w:r>
    </w:p>
    <w:p>
      <w:pPr>
        <w:pStyle w:val="Heading2"/>
      </w:pPr>
      <w:r>
        <w:t>9.1 Current (to be retired on migration)</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3024"/>
            <w:shd w:val="clear" w:color="auto" w:fill="D9E2F3"/>
          </w:tcPr>
          <w:p>
            <w:pPr>
              <w:spacing w:after="40" w:before="40"/>
              <w:jc w:val="left"/>
            </w:pPr>
            <w:r/>
            <w:r>
              <w:rPr>
                <w:rFonts w:ascii="Calibri" w:hAnsi="Calibri"/>
                <w:b/>
                <w:color w:val="1A2233"/>
                <w:sz w:val="18"/>
              </w:rPr>
              <w:t>Item</w:t>
            </w:r>
          </w:p>
        </w:tc>
        <w:tc>
          <w:tcPr>
            <w:tcW w:type="dxa" w:w="2304"/>
            <w:shd w:val="clear" w:color="auto" w:fill="D9E2F3"/>
          </w:tcPr>
          <w:p>
            <w:pPr>
              <w:spacing w:after="40" w:before="40"/>
              <w:jc w:val="left"/>
            </w:pPr>
            <w:r/>
            <w:r>
              <w:rPr>
                <w:rFonts w:ascii="Calibri" w:hAnsi="Calibri"/>
                <w:b/>
                <w:color w:val="1A2233"/>
                <w:sz w:val="18"/>
              </w:rPr>
              <w:t>Type</w:t>
            </w:r>
          </w:p>
        </w:tc>
        <w:tc>
          <w:tcPr>
            <w:tcW w:type="dxa" w:w="3744"/>
            <w:shd w:val="clear" w:color="auto" w:fill="D9E2F3"/>
          </w:tcPr>
          <w:p>
            <w:pPr>
              <w:spacing w:after="40" w:before="40"/>
              <w:jc w:val="left"/>
            </w:pPr>
            <w:r/>
            <w:r>
              <w:rPr>
                <w:rFonts w:ascii="Calibri" w:hAnsi="Calibri"/>
                <w:b/>
                <w:color w:val="1A2233"/>
                <w:sz w:val="18"/>
              </w:rPr>
              <w:t>Action</w:t>
            </w:r>
          </w:p>
        </w:tc>
      </w:tr>
      <w:tr>
        <w:tc>
          <w:tcPr>
            <w:tcW w:type="dxa" w:w="3024"/>
          </w:tcPr>
          <w:p>
            <w:pPr>
              <w:spacing w:after="40" w:before="40"/>
              <w:jc w:val="left"/>
            </w:pPr>
            <w:r/>
            <w:r>
              <w:rPr>
                <w:rFonts w:ascii="Calibri" w:hAnsi="Calibri"/>
                <w:b w:val="0"/>
                <w:color w:val="1A2233"/>
                <w:sz w:val="18"/>
              </w:rPr>
              <w:t>Vercel subscription</w:t>
            </w:r>
          </w:p>
        </w:tc>
        <w:tc>
          <w:tcPr>
            <w:tcW w:type="dxa" w:w="2304"/>
          </w:tcPr>
          <w:p>
            <w:pPr>
              <w:spacing w:after="40" w:before="40"/>
              <w:jc w:val="left"/>
            </w:pPr>
            <w:r/>
            <w:r>
              <w:rPr>
                <w:rFonts w:ascii="Calibri" w:hAnsi="Calibri"/>
                <w:b w:val="0"/>
                <w:color w:val="1A2233"/>
                <w:sz w:val="18"/>
              </w:rPr>
              <w:t>Hosting SaaS</w:t>
            </w:r>
          </w:p>
        </w:tc>
        <w:tc>
          <w:tcPr>
            <w:tcW w:type="dxa" w:w="3744"/>
          </w:tcPr>
          <w:p>
            <w:pPr>
              <w:spacing w:after="40" w:before="40"/>
              <w:jc w:val="left"/>
            </w:pPr>
            <w:r/>
            <w:r>
              <w:rPr>
                <w:rFonts w:ascii="Calibri" w:hAnsi="Calibri"/>
                <w:b w:val="0"/>
                <w:color w:val="1A2233"/>
                <w:sz w:val="18"/>
              </w:rPr>
              <w:t>Retire after web tier migration</w:t>
            </w:r>
          </w:p>
        </w:tc>
      </w:tr>
      <w:tr>
        <w:tc>
          <w:tcPr>
            <w:tcW w:type="dxa" w:w="3024"/>
            <w:shd w:val="clear" w:color="auto" w:fill="F2F5FB"/>
          </w:tcPr>
          <w:p>
            <w:pPr>
              <w:spacing w:after="40" w:before="40"/>
              <w:jc w:val="left"/>
            </w:pPr>
            <w:r/>
            <w:r>
              <w:rPr>
                <w:rFonts w:ascii="Calibri" w:hAnsi="Calibri"/>
                <w:b w:val="0"/>
                <w:color w:val="1A2233"/>
                <w:sz w:val="18"/>
              </w:rPr>
              <w:t>Supabase subscription</w:t>
            </w:r>
          </w:p>
        </w:tc>
        <w:tc>
          <w:tcPr>
            <w:tcW w:type="dxa" w:w="2304"/>
            <w:shd w:val="clear" w:color="auto" w:fill="F2F5FB"/>
          </w:tcPr>
          <w:p>
            <w:pPr>
              <w:spacing w:after="40" w:before="40"/>
              <w:jc w:val="left"/>
            </w:pPr>
            <w:r/>
            <w:r>
              <w:rPr>
                <w:rFonts w:ascii="Calibri" w:hAnsi="Calibri"/>
                <w:b w:val="0"/>
                <w:color w:val="1A2233"/>
                <w:sz w:val="18"/>
              </w:rPr>
              <w:t>Backend SaaS</w:t>
            </w:r>
          </w:p>
        </w:tc>
        <w:tc>
          <w:tcPr>
            <w:tcW w:type="dxa" w:w="3744"/>
            <w:shd w:val="clear" w:color="auto" w:fill="F2F5FB"/>
          </w:tcPr>
          <w:p>
            <w:pPr>
              <w:spacing w:after="40" w:before="40"/>
              <w:jc w:val="left"/>
            </w:pPr>
            <w:r/>
            <w:r>
              <w:rPr>
                <w:rFonts w:ascii="Calibri" w:hAnsi="Calibri"/>
                <w:b w:val="0"/>
                <w:color w:val="1A2233"/>
                <w:sz w:val="18"/>
              </w:rPr>
              <w:t>Retire after data and API migration</w:t>
            </w:r>
          </w:p>
        </w:tc>
      </w:tr>
      <w:tr>
        <w:tc>
          <w:tcPr>
            <w:tcW w:type="dxa" w:w="3024"/>
          </w:tcPr>
          <w:p>
            <w:pPr>
              <w:spacing w:after="40" w:before="40"/>
              <w:jc w:val="left"/>
            </w:pPr>
            <w:r/>
            <w:r>
              <w:rPr>
                <w:rFonts w:ascii="Calibri" w:hAnsi="Calibri"/>
                <w:b w:val="0"/>
                <w:color w:val="1A2233"/>
                <w:sz w:val="18"/>
              </w:rPr>
              <w:t>Capgo subscription</w:t>
            </w:r>
          </w:p>
        </w:tc>
        <w:tc>
          <w:tcPr>
            <w:tcW w:type="dxa" w:w="2304"/>
          </w:tcPr>
          <w:p>
            <w:pPr>
              <w:spacing w:after="40" w:before="40"/>
              <w:jc w:val="left"/>
            </w:pPr>
            <w:r/>
            <w:r>
              <w:rPr>
                <w:rFonts w:ascii="Calibri" w:hAnsi="Calibri"/>
                <w:b w:val="0"/>
                <w:color w:val="1A2233"/>
                <w:sz w:val="18"/>
              </w:rPr>
              <w:t>OTA SaaS</w:t>
            </w:r>
          </w:p>
        </w:tc>
        <w:tc>
          <w:tcPr>
            <w:tcW w:type="dxa" w:w="3744"/>
          </w:tcPr>
          <w:p>
            <w:pPr>
              <w:spacing w:after="40" w:before="40"/>
              <w:jc w:val="left"/>
            </w:pPr>
            <w:r/>
            <w:r>
              <w:rPr>
                <w:rFonts w:ascii="Calibri" w:hAnsi="Calibri"/>
                <w:b w:val="0"/>
                <w:color w:val="1A2233"/>
                <w:sz w:val="18"/>
              </w:rPr>
              <w:t>Retire; move updates in-house or to signed store releases</w:t>
            </w:r>
          </w:p>
        </w:tc>
      </w:tr>
      <w:tr>
        <w:tc>
          <w:tcPr>
            <w:tcW w:type="dxa" w:w="3024"/>
            <w:shd w:val="clear" w:color="auto" w:fill="F2F5FB"/>
          </w:tcPr>
          <w:p>
            <w:pPr>
              <w:spacing w:after="40" w:before="40"/>
              <w:jc w:val="left"/>
            </w:pPr>
            <w:r/>
            <w:r>
              <w:rPr>
                <w:rFonts w:ascii="Calibri" w:hAnsi="Calibri"/>
                <w:b w:val="0"/>
                <w:color w:val="1A2233"/>
                <w:sz w:val="18"/>
              </w:rPr>
              <w:t>Figma subscription</w:t>
            </w:r>
          </w:p>
        </w:tc>
        <w:tc>
          <w:tcPr>
            <w:tcW w:type="dxa" w:w="2304"/>
            <w:shd w:val="clear" w:color="auto" w:fill="F2F5FB"/>
          </w:tcPr>
          <w:p>
            <w:pPr>
              <w:spacing w:after="40" w:before="40"/>
              <w:jc w:val="left"/>
            </w:pPr>
            <w:r/>
            <w:r>
              <w:rPr>
                <w:rFonts w:ascii="Calibri" w:hAnsi="Calibri"/>
                <w:b w:val="0"/>
                <w:color w:val="1A2233"/>
                <w:sz w:val="18"/>
              </w:rPr>
              <w:t>Design SaaS</w:t>
            </w:r>
          </w:p>
        </w:tc>
        <w:tc>
          <w:tcPr>
            <w:tcW w:type="dxa" w:w="3744"/>
            <w:shd w:val="clear" w:color="auto" w:fill="F2F5FB"/>
          </w:tcPr>
          <w:p>
            <w:pPr>
              <w:spacing w:after="40" w:before="40"/>
              <w:jc w:val="left"/>
            </w:pPr>
            <w:r/>
            <w:r>
              <w:rPr>
                <w:rFonts w:ascii="Calibri" w:hAnsi="Calibri"/>
                <w:b w:val="0"/>
                <w:color w:val="1A2233"/>
                <w:sz w:val="18"/>
              </w:rPr>
              <w:t>Retain only if still used for design; not a runtime dependency</w:t>
            </w:r>
          </w:p>
        </w:tc>
      </w:tr>
      <w:tr>
        <w:tc>
          <w:tcPr>
            <w:tcW w:type="dxa" w:w="3024"/>
          </w:tcPr>
          <w:p>
            <w:pPr>
              <w:spacing w:after="40" w:before="40"/>
              <w:jc w:val="left"/>
            </w:pPr>
            <w:r/>
            <w:r>
              <w:rPr>
                <w:rFonts w:ascii="Calibri" w:hAnsi="Calibri"/>
                <w:b w:val="0"/>
                <w:color w:val="1A2233"/>
                <w:sz w:val="18"/>
              </w:rPr>
              <w:t>Apple Developer / Google Play</w:t>
            </w:r>
          </w:p>
        </w:tc>
        <w:tc>
          <w:tcPr>
            <w:tcW w:type="dxa" w:w="2304"/>
          </w:tcPr>
          <w:p>
            <w:pPr>
              <w:spacing w:after="40" w:before="40"/>
              <w:jc w:val="left"/>
            </w:pPr>
            <w:r/>
            <w:r>
              <w:rPr>
                <w:rFonts w:ascii="Calibri" w:hAnsi="Calibri"/>
                <w:b w:val="0"/>
                <w:color w:val="1A2233"/>
                <w:sz w:val="18"/>
              </w:rPr>
              <w:t>Mobile store</w:t>
            </w:r>
          </w:p>
        </w:tc>
        <w:tc>
          <w:tcPr>
            <w:tcW w:type="dxa" w:w="3744"/>
          </w:tcPr>
          <w:p>
            <w:pPr>
              <w:spacing w:after="40" w:before="40"/>
              <w:jc w:val="left"/>
            </w:pPr>
            <w:r/>
            <w:r>
              <w:rPr>
                <w:rFonts w:ascii="Calibri" w:hAnsi="Calibri"/>
                <w:b w:val="0"/>
                <w:color w:val="1A2233"/>
                <w:sz w:val="18"/>
              </w:rPr>
              <w:t>Retain if native app is published to stores [confirm]</w:t>
            </w:r>
          </w:p>
        </w:tc>
      </w:tr>
    </w:tbl>
    <w:p>
      <w:pPr>
        <w:spacing w:after="40"/>
      </w:pPr>
    </w:p>
    <w:p>
      <w:pPr>
        <w:pStyle w:val="Heading2"/>
      </w:pPr>
      <w:r>
        <w:t>9.2 Proposed (new or reused)</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3024"/>
            <w:shd w:val="clear" w:color="auto" w:fill="D9E2F3"/>
          </w:tcPr>
          <w:p>
            <w:pPr>
              <w:spacing w:after="40" w:before="40"/>
              <w:jc w:val="left"/>
            </w:pPr>
            <w:r/>
            <w:r>
              <w:rPr>
                <w:rFonts w:ascii="Calibri" w:hAnsi="Calibri"/>
                <w:b/>
                <w:color w:val="1A2233"/>
                <w:sz w:val="18"/>
              </w:rPr>
              <w:t>Item</w:t>
            </w:r>
          </w:p>
        </w:tc>
        <w:tc>
          <w:tcPr>
            <w:tcW w:type="dxa" w:w="2304"/>
            <w:shd w:val="clear" w:color="auto" w:fill="D9E2F3"/>
          </w:tcPr>
          <w:p>
            <w:pPr>
              <w:spacing w:after="40" w:before="40"/>
              <w:jc w:val="left"/>
            </w:pPr>
            <w:r/>
            <w:r>
              <w:rPr>
                <w:rFonts w:ascii="Calibri" w:hAnsi="Calibri"/>
                <w:b/>
                <w:color w:val="1A2233"/>
                <w:sz w:val="18"/>
              </w:rPr>
              <w:t>Type</w:t>
            </w:r>
          </w:p>
        </w:tc>
        <w:tc>
          <w:tcPr>
            <w:tcW w:type="dxa" w:w="3744"/>
            <w:shd w:val="clear" w:color="auto" w:fill="D9E2F3"/>
          </w:tcPr>
          <w:p>
            <w:pPr>
              <w:spacing w:after="40" w:before="40"/>
              <w:jc w:val="left"/>
            </w:pPr>
            <w:r/>
            <w:r>
              <w:rPr>
                <w:rFonts w:ascii="Calibri" w:hAnsi="Calibri"/>
                <w:b/>
                <w:color w:val="1A2233"/>
                <w:sz w:val="18"/>
              </w:rPr>
              <w:t>Basis</w:t>
            </w:r>
          </w:p>
        </w:tc>
      </w:tr>
      <w:tr>
        <w:tc>
          <w:tcPr>
            <w:tcW w:type="dxa" w:w="3024"/>
          </w:tcPr>
          <w:p>
            <w:pPr>
              <w:spacing w:after="40" w:before="40"/>
              <w:jc w:val="left"/>
            </w:pPr>
            <w:r/>
            <w:r>
              <w:rPr>
                <w:rFonts w:ascii="Calibri" w:hAnsi="Calibri"/>
                <w:b w:val="0"/>
                <w:color w:val="1A2233"/>
                <w:sz w:val="18"/>
              </w:rPr>
              <w:t>Operating system</w:t>
            </w:r>
          </w:p>
        </w:tc>
        <w:tc>
          <w:tcPr>
            <w:tcW w:type="dxa" w:w="2304"/>
          </w:tcPr>
          <w:p>
            <w:pPr>
              <w:spacing w:after="40" w:before="40"/>
              <w:jc w:val="left"/>
            </w:pPr>
            <w:r/>
            <w:r>
              <w:rPr>
                <w:rFonts w:ascii="Calibri" w:hAnsi="Calibri"/>
                <w:b w:val="0"/>
                <w:color w:val="1A2233"/>
                <w:sz w:val="18"/>
              </w:rPr>
              <w:t>OS</w:t>
            </w:r>
          </w:p>
        </w:tc>
        <w:tc>
          <w:tcPr>
            <w:tcW w:type="dxa" w:w="3744"/>
          </w:tcPr>
          <w:p>
            <w:pPr>
              <w:spacing w:after="40" w:before="40"/>
              <w:jc w:val="left"/>
            </w:pPr>
            <w:r/>
            <w:r>
              <w:rPr>
                <w:rFonts w:ascii="Calibri" w:hAnsi="Calibri"/>
                <w:b w:val="0"/>
                <w:color w:val="1A2233"/>
                <w:sz w:val="18"/>
              </w:rPr>
              <w:t>Ubuntu LTS (no fee) or RHEL subscription (paid) [choose per standard]</w:t>
            </w:r>
          </w:p>
        </w:tc>
      </w:tr>
      <w:tr>
        <w:tc>
          <w:tcPr>
            <w:tcW w:type="dxa" w:w="3024"/>
            <w:shd w:val="clear" w:color="auto" w:fill="F2F5FB"/>
          </w:tcPr>
          <w:p>
            <w:pPr>
              <w:spacing w:after="40" w:before="40"/>
              <w:jc w:val="left"/>
            </w:pPr>
            <w:r/>
            <w:r>
              <w:rPr>
                <w:rFonts w:ascii="Calibri" w:hAnsi="Calibri"/>
                <w:b w:val="0"/>
                <w:color w:val="1A2233"/>
                <w:sz w:val="18"/>
              </w:rPr>
              <w:t>WAF and load balancer</w:t>
            </w:r>
          </w:p>
        </w:tc>
        <w:tc>
          <w:tcPr>
            <w:tcW w:type="dxa" w:w="2304"/>
            <w:shd w:val="clear" w:color="auto" w:fill="F2F5FB"/>
          </w:tcPr>
          <w:p>
            <w:pPr>
              <w:spacing w:after="40" w:before="40"/>
              <w:jc w:val="left"/>
            </w:pPr>
            <w:r/>
            <w:r>
              <w:rPr>
                <w:rFonts w:ascii="Calibri" w:hAnsi="Calibri"/>
                <w:b w:val="0"/>
                <w:color w:val="1A2233"/>
                <w:sz w:val="18"/>
              </w:rPr>
              <w:t>COTS</w:t>
            </w:r>
          </w:p>
        </w:tc>
        <w:tc>
          <w:tcPr>
            <w:tcW w:type="dxa" w:w="3744"/>
            <w:shd w:val="clear" w:color="auto" w:fill="F2F5FB"/>
          </w:tcPr>
          <w:p>
            <w:pPr>
              <w:spacing w:after="40" w:before="40"/>
              <w:jc w:val="left"/>
            </w:pPr>
            <w:r/>
            <w:r>
              <w:rPr>
                <w:rFonts w:ascii="Calibri" w:hAnsi="Calibri"/>
                <w:b w:val="0"/>
                <w:color w:val="1A2233"/>
                <w:sz w:val="18"/>
              </w:rPr>
              <w:t>Reuse existing Airtel licence</w:t>
            </w:r>
          </w:p>
        </w:tc>
      </w:tr>
      <w:tr>
        <w:tc>
          <w:tcPr>
            <w:tcW w:type="dxa" w:w="3024"/>
          </w:tcPr>
          <w:p>
            <w:pPr>
              <w:spacing w:after="40" w:before="40"/>
              <w:jc w:val="left"/>
            </w:pPr>
            <w:r/>
            <w:r>
              <w:rPr>
                <w:rFonts w:ascii="Calibri" w:hAnsi="Calibri"/>
                <w:b w:val="0"/>
                <w:color w:val="1A2233"/>
                <w:sz w:val="18"/>
              </w:rPr>
              <w:t>MinIO</w:t>
            </w:r>
          </w:p>
        </w:tc>
        <w:tc>
          <w:tcPr>
            <w:tcW w:type="dxa" w:w="2304"/>
          </w:tcPr>
          <w:p>
            <w:pPr>
              <w:spacing w:after="40" w:before="40"/>
              <w:jc w:val="left"/>
            </w:pPr>
            <w:r/>
            <w:r>
              <w:rPr>
                <w:rFonts w:ascii="Calibri" w:hAnsi="Calibri"/>
                <w:b w:val="0"/>
                <w:color w:val="1A2233"/>
                <w:sz w:val="18"/>
              </w:rPr>
              <w:t>Object storage</w:t>
            </w:r>
          </w:p>
        </w:tc>
        <w:tc>
          <w:tcPr>
            <w:tcW w:type="dxa" w:w="3744"/>
          </w:tcPr>
          <w:p>
            <w:pPr>
              <w:spacing w:after="40" w:before="40"/>
              <w:jc w:val="left"/>
            </w:pPr>
            <w:r/>
            <w:r>
              <w:rPr>
                <w:rFonts w:ascii="Calibri" w:hAnsi="Calibri"/>
                <w:b w:val="0"/>
                <w:color w:val="1A2233"/>
                <w:sz w:val="18"/>
              </w:rPr>
              <w:t>AGPLv3 free, or commercial licence to avoid AGPL obligations [decide]</w:t>
            </w:r>
          </w:p>
        </w:tc>
      </w:tr>
      <w:tr>
        <w:tc>
          <w:tcPr>
            <w:tcW w:type="dxa" w:w="3024"/>
            <w:shd w:val="clear" w:color="auto" w:fill="F2F5FB"/>
          </w:tcPr>
          <w:p>
            <w:pPr>
              <w:spacing w:after="40" w:before="40"/>
              <w:jc w:val="left"/>
            </w:pPr>
            <w:r/>
            <w:r>
              <w:rPr>
                <w:rFonts w:ascii="Calibri" w:hAnsi="Calibri"/>
                <w:b w:val="0"/>
                <w:color w:val="1A2233"/>
                <w:sz w:val="18"/>
              </w:rPr>
              <w:t>HashiCorp Vault</w:t>
            </w:r>
          </w:p>
        </w:tc>
        <w:tc>
          <w:tcPr>
            <w:tcW w:type="dxa" w:w="2304"/>
            <w:shd w:val="clear" w:color="auto" w:fill="F2F5FB"/>
          </w:tcPr>
          <w:p>
            <w:pPr>
              <w:spacing w:after="40" w:before="40"/>
              <w:jc w:val="left"/>
            </w:pPr>
            <w:r/>
            <w:r>
              <w:rPr>
                <w:rFonts w:ascii="Calibri" w:hAnsi="Calibri"/>
                <w:b w:val="0"/>
                <w:color w:val="1A2233"/>
                <w:sz w:val="18"/>
              </w:rPr>
              <w:t>Secrets</w:t>
            </w:r>
          </w:p>
        </w:tc>
        <w:tc>
          <w:tcPr>
            <w:tcW w:type="dxa" w:w="3744"/>
            <w:shd w:val="clear" w:color="auto" w:fill="F2F5FB"/>
          </w:tcPr>
          <w:p>
            <w:pPr>
              <w:spacing w:after="40" w:before="40"/>
              <w:jc w:val="left"/>
            </w:pPr>
            <w:r/>
            <w:r>
              <w:rPr>
                <w:rFonts w:ascii="Calibri" w:hAnsi="Calibri"/>
                <w:b w:val="0"/>
                <w:color w:val="1A2233"/>
                <w:sz w:val="18"/>
              </w:rPr>
              <w:t>BSL free tier, Enterprise optional, or OpenBao (open source) [decide]</w:t>
            </w:r>
          </w:p>
        </w:tc>
      </w:tr>
      <w:tr>
        <w:tc>
          <w:tcPr>
            <w:tcW w:type="dxa" w:w="3024"/>
          </w:tcPr>
          <w:p>
            <w:pPr>
              <w:spacing w:after="40" w:before="40"/>
              <w:jc w:val="left"/>
            </w:pPr>
            <w:r/>
            <w:r>
              <w:rPr>
                <w:rFonts w:ascii="Calibri" w:hAnsi="Calibri"/>
                <w:b w:val="0"/>
                <w:color w:val="1A2233"/>
                <w:sz w:val="18"/>
              </w:rPr>
              <w:t>TLS certificates</w:t>
            </w:r>
          </w:p>
        </w:tc>
        <w:tc>
          <w:tcPr>
            <w:tcW w:type="dxa" w:w="2304"/>
          </w:tcPr>
          <w:p>
            <w:pPr>
              <w:spacing w:after="40" w:before="40"/>
              <w:jc w:val="left"/>
            </w:pPr>
            <w:r/>
            <w:r>
              <w:rPr>
                <w:rFonts w:ascii="Calibri" w:hAnsi="Calibri"/>
                <w:b w:val="0"/>
                <w:color w:val="1A2233"/>
                <w:sz w:val="18"/>
              </w:rPr>
              <w:t>PKI</w:t>
            </w:r>
          </w:p>
        </w:tc>
        <w:tc>
          <w:tcPr>
            <w:tcW w:type="dxa" w:w="3744"/>
          </w:tcPr>
          <w:p>
            <w:pPr>
              <w:spacing w:after="40" w:before="40"/>
              <w:jc w:val="left"/>
            </w:pPr>
            <w:r/>
            <w:r>
              <w:rPr>
                <w:rFonts w:ascii="Calibri" w:hAnsi="Calibri"/>
                <w:b w:val="0"/>
                <w:color w:val="1A2233"/>
                <w:sz w:val="18"/>
              </w:rPr>
              <w:t>Airtel internal CA (no external fee)</w:t>
            </w:r>
          </w:p>
        </w:tc>
      </w:tr>
      <w:tr>
        <w:tc>
          <w:tcPr>
            <w:tcW w:type="dxa" w:w="3024"/>
            <w:shd w:val="clear" w:color="auto" w:fill="F2F5FB"/>
          </w:tcPr>
          <w:p>
            <w:pPr>
              <w:spacing w:after="40" w:before="40"/>
              <w:jc w:val="left"/>
            </w:pPr>
            <w:r/>
            <w:r>
              <w:rPr>
                <w:rFonts w:ascii="Calibri" w:hAnsi="Calibri"/>
                <w:b w:val="0"/>
                <w:color w:val="1A2233"/>
                <w:sz w:val="18"/>
              </w:rPr>
              <w:t>PostgreSQL, Nginx, PostgREST, PgBouncer, Patroni</w:t>
            </w:r>
          </w:p>
        </w:tc>
        <w:tc>
          <w:tcPr>
            <w:tcW w:type="dxa" w:w="2304"/>
            <w:shd w:val="clear" w:color="auto" w:fill="F2F5FB"/>
          </w:tcPr>
          <w:p>
            <w:pPr>
              <w:spacing w:after="40" w:before="40"/>
              <w:jc w:val="left"/>
            </w:pPr>
            <w:r/>
            <w:r>
              <w:rPr>
                <w:rFonts w:ascii="Calibri" w:hAnsi="Calibri"/>
                <w:b w:val="0"/>
                <w:color w:val="1A2233"/>
                <w:sz w:val="18"/>
              </w:rPr>
              <w:t>Open source</w:t>
            </w:r>
          </w:p>
        </w:tc>
        <w:tc>
          <w:tcPr>
            <w:tcW w:type="dxa" w:w="3744"/>
            <w:shd w:val="clear" w:color="auto" w:fill="F2F5FB"/>
          </w:tcPr>
          <w:p>
            <w:pPr>
              <w:spacing w:after="40" w:before="40"/>
              <w:jc w:val="left"/>
            </w:pPr>
            <w:r/>
            <w:r>
              <w:rPr>
                <w:rFonts w:ascii="Calibri" w:hAnsi="Calibri"/>
                <w:b w:val="0"/>
                <w:color w:val="1A2233"/>
                <w:sz w:val="18"/>
              </w:rPr>
              <w:t>No licence fee</w:t>
            </w:r>
          </w:p>
        </w:tc>
      </w:tr>
    </w:tbl>
    <w:p>
      <w:pPr>
        <w:spacing w:after="40"/>
      </w:pPr>
    </w:p>
    <w:p>
      <w:pPr>
        <w:pStyle w:val="Heading1"/>
      </w:pPr>
      <w:r>
        <w:t>10. Data Security and Compliance Controls (Policy Section 6 and AAISP)</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160"/>
            <w:shd w:val="clear" w:color="auto" w:fill="D9E2F3"/>
          </w:tcPr>
          <w:p>
            <w:pPr>
              <w:spacing w:after="40" w:before="40"/>
              <w:jc w:val="left"/>
            </w:pPr>
            <w:r/>
            <w:r>
              <w:rPr>
                <w:rFonts w:ascii="Calibri" w:hAnsi="Calibri"/>
                <w:b/>
                <w:color w:val="1A2233"/>
                <w:sz w:val="17"/>
              </w:rPr>
              <w:t>Control area</w:t>
            </w:r>
          </w:p>
        </w:tc>
        <w:tc>
          <w:tcPr>
            <w:tcW w:type="dxa" w:w="3312"/>
            <w:shd w:val="clear" w:color="auto" w:fill="D9E2F3"/>
          </w:tcPr>
          <w:p>
            <w:pPr>
              <w:spacing w:after="40" w:before="40"/>
              <w:jc w:val="left"/>
            </w:pPr>
            <w:r/>
            <w:r>
              <w:rPr>
                <w:rFonts w:ascii="Calibri" w:hAnsi="Calibri"/>
                <w:b/>
                <w:color w:val="1A2233"/>
                <w:sz w:val="17"/>
              </w:rPr>
              <w:t>As-is position</w:t>
            </w:r>
          </w:p>
        </w:tc>
        <w:tc>
          <w:tcPr>
            <w:tcW w:type="dxa" w:w="3600"/>
            <w:shd w:val="clear" w:color="auto" w:fill="D9E2F3"/>
          </w:tcPr>
          <w:p>
            <w:pPr>
              <w:spacing w:after="40" w:before="40"/>
              <w:jc w:val="left"/>
            </w:pPr>
            <w:r/>
            <w:r>
              <w:rPr>
                <w:rFonts w:ascii="Calibri" w:hAnsi="Calibri"/>
                <w:b/>
                <w:color w:val="1A2233"/>
                <w:sz w:val="17"/>
              </w:rPr>
              <w:t>To-be control</w:t>
            </w:r>
          </w:p>
        </w:tc>
      </w:tr>
      <w:tr>
        <w:tc>
          <w:tcPr>
            <w:tcW w:type="dxa" w:w="2160"/>
          </w:tcPr>
          <w:p>
            <w:pPr>
              <w:spacing w:after="40" w:before="40"/>
              <w:jc w:val="left"/>
            </w:pPr>
            <w:r/>
            <w:r>
              <w:rPr>
                <w:rFonts w:ascii="Calibri" w:hAnsi="Calibri"/>
                <w:b w:val="0"/>
                <w:color w:val="1A2233"/>
                <w:sz w:val="17"/>
              </w:rPr>
              <w:t>Data residency</w:t>
            </w:r>
          </w:p>
        </w:tc>
        <w:tc>
          <w:tcPr>
            <w:tcW w:type="dxa" w:w="3312"/>
          </w:tcPr>
          <w:p>
            <w:pPr>
              <w:spacing w:after="40" w:before="40"/>
              <w:jc w:val="left"/>
            </w:pPr>
            <w:r/>
            <w:r>
              <w:rPr>
                <w:rFonts w:ascii="Calibri" w:hAnsi="Calibri"/>
                <w:b w:val="0"/>
                <w:color w:val="1A2233"/>
                <w:sz w:val="17"/>
              </w:rPr>
              <w:t>Customer PII and payment data on external SaaS</w:t>
            </w:r>
          </w:p>
        </w:tc>
        <w:tc>
          <w:tcPr>
            <w:tcW w:type="dxa" w:w="3600"/>
          </w:tcPr>
          <w:p>
            <w:pPr>
              <w:spacing w:after="40" w:before="40"/>
              <w:jc w:val="left"/>
            </w:pPr>
            <w:r/>
            <w:r>
              <w:rPr>
                <w:rFonts w:ascii="Calibri" w:hAnsi="Calibri"/>
                <w:b w:val="0"/>
                <w:color w:val="1A2233"/>
                <w:sz w:val="17"/>
              </w:rPr>
              <w:t>All data inside Airtel data centre / private cloud</w:t>
            </w:r>
          </w:p>
        </w:tc>
      </w:tr>
      <w:tr>
        <w:tc>
          <w:tcPr>
            <w:tcW w:type="dxa" w:w="2160"/>
            <w:shd w:val="clear" w:color="auto" w:fill="F2F5FB"/>
          </w:tcPr>
          <w:p>
            <w:pPr>
              <w:spacing w:after="40" w:before="40"/>
              <w:jc w:val="left"/>
            </w:pPr>
            <w:r/>
            <w:r>
              <w:rPr>
                <w:rFonts w:ascii="Calibri" w:hAnsi="Calibri"/>
                <w:b w:val="0"/>
                <w:color w:val="1A2233"/>
                <w:sz w:val="17"/>
              </w:rPr>
              <w:t>Encryption in transit</w:t>
            </w:r>
          </w:p>
        </w:tc>
        <w:tc>
          <w:tcPr>
            <w:tcW w:type="dxa" w:w="3312"/>
            <w:shd w:val="clear" w:color="auto" w:fill="F2F5FB"/>
          </w:tcPr>
          <w:p>
            <w:pPr>
              <w:spacing w:after="40" w:before="40"/>
              <w:jc w:val="left"/>
            </w:pPr>
            <w:r/>
            <w:r>
              <w:rPr>
                <w:rFonts w:ascii="Calibri" w:hAnsi="Calibri"/>
                <w:b w:val="0"/>
                <w:color w:val="1A2233"/>
                <w:sz w:val="17"/>
              </w:rPr>
              <w:t>HTTPS to SaaS</w:t>
            </w:r>
          </w:p>
        </w:tc>
        <w:tc>
          <w:tcPr>
            <w:tcW w:type="dxa" w:w="3600"/>
            <w:shd w:val="clear" w:color="auto" w:fill="F2F5FB"/>
          </w:tcPr>
          <w:p>
            <w:pPr>
              <w:spacing w:after="40" w:before="40"/>
              <w:jc w:val="left"/>
            </w:pPr>
            <w:r/>
            <w:r>
              <w:rPr>
                <w:rFonts w:ascii="Calibri" w:hAnsi="Calibri"/>
                <w:b w:val="0"/>
                <w:color w:val="1A2233"/>
                <w:sz w:val="17"/>
              </w:rPr>
              <w:t>TLS 1.2+ terminated at Airtel WAF; internal TLS between tiers</w:t>
            </w:r>
          </w:p>
        </w:tc>
      </w:tr>
      <w:tr>
        <w:tc>
          <w:tcPr>
            <w:tcW w:type="dxa" w:w="2160"/>
          </w:tcPr>
          <w:p>
            <w:pPr>
              <w:spacing w:after="40" w:before="40"/>
              <w:jc w:val="left"/>
            </w:pPr>
            <w:r/>
            <w:r>
              <w:rPr>
                <w:rFonts w:ascii="Calibri" w:hAnsi="Calibri"/>
                <w:b w:val="0"/>
                <w:color w:val="1A2233"/>
                <w:sz w:val="17"/>
              </w:rPr>
              <w:t>Encryption at rest</w:t>
            </w:r>
          </w:p>
        </w:tc>
        <w:tc>
          <w:tcPr>
            <w:tcW w:type="dxa" w:w="3312"/>
          </w:tcPr>
          <w:p>
            <w:pPr>
              <w:spacing w:after="40" w:before="40"/>
              <w:jc w:val="left"/>
            </w:pPr>
            <w:r/>
            <w:r>
              <w:rPr>
                <w:rFonts w:ascii="Calibri" w:hAnsi="Calibri"/>
                <w:b w:val="0"/>
                <w:color w:val="1A2233"/>
                <w:sz w:val="17"/>
              </w:rPr>
              <w:t>Provider-managed</w:t>
            </w:r>
          </w:p>
        </w:tc>
        <w:tc>
          <w:tcPr>
            <w:tcW w:type="dxa" w:w="3600"/>
          </w:tcPr>
          <w:p>
            <w:pPr>
              <w:spacing w:after="40" w:before="40"/>
              <w:jc w:val="left"/>
            </w:pPr>
            <w:r/>
            <w:r>
              <w:rPr>
                <w:rFonts w:ascii="Calibri" w:hAnsi="Calibri"/>
                <w:b w:val="0"/>
                <w:color w:val="1A2233"/>
                <w:sz w:val="17"/>
              </w:rPr>
              <w:t>Full-disk / volume encryption; server-side encryption on MinIO; DB-level encryption per standard</w:t>
            </w:r>
          </w:p>
        </w:tc>
      </w:tr>
      <w:tr>
        <w:tc>
          <w:tcPr>
            <w:tcW w:type="dxa" w:w="2160"/>
            <w:shd w:val="clear" w:color="auto" w:fill="F2F5FB"/>
          </w:tcPr>
          <w:p>
            <w:pPr>
              <w:spacing w:after="40" w:before="40"/>
              <w:jc w:val="left"/>
            </w:pPr>
            <w:r/>
            <w:r>
              <w:rPr>
                <w:rFonts w:ascii="Calibri" w:hAnsi="Calibri"/>
                <w:b w:val="0"/>
                <w:color w:val="1A2233"/>
                <w:sz w:val="17"/>
              </w:rPr>
              <w:t>Identity and access</w:t>
            </w:r>
          </w:p>
        </w:tc>
        <w:tc>
          <w:tcPr>
            <w:tcW w:type="dxa" w:w="3312"/>
            <w:shd w:val="clear" w:color="auto" w:fill="F2F5FB"/>
          </w:tcPr>
          <w:p>
            <w:pPr>
              <w:spacing w:after="40" w:before="40"/>
              <w:jc w:val="left"/>
            </w:pPr>
            <w:r/>
            <w:r>
              <w:rPr>
                <w:rFonts w:ascii="Calibri" w:hAnsi="Calibri"/>
                <w:b w:val="0"/>
                <w:color w:val="1A2233"/>
                <w:sz w:val="17"/>
              </w:rPr>
              <w:t>Phone plus PIN; universal default PIN weakness; login formerly compared PINs in the browser via the public anon key</w:t>
            </w:r>
          </w:p>
        </w:tc>
        <w:tc>
          <w:tcPr>
            <w:tcW w:type="dxa" w:w="3600"/>
            <w:shd w:val="clear" w:color="auto" w:fill="F2F5FB"/>
          </w:tcPr>
          <w:p>
            <w:pPr>
              <w:spacing w:after="40" w:before="40"/>
              <w:jc w:val="left"/>
            </w:pPr>
            <w:r/>
            <w:r>
              <w:rPr>
                <w:rFonts w:ascii="Calibri" w:hAnsi="Calibri"/>
                <w:b w:val="0"/>
                <w:color w:val="1A2233"/>
                <w:sz w:val="17"/>
              </w:rPr>
              <w:t>Sign in runs server side and mints short lived authenticated tokens; only the public anon key is client side and it is inert for personal data; RBAC retained and hardened; enforce PIN policy; optional future SSO</w:t>
            </w:r>
          </w:p>
        </w:tc>
      </w:tr>
      <w:tr>
        <w:tc>
          <w:tcPr>
            <w:tcW w:type="dxa" w:w="2160"/>
          </w:tcPr>
          <w:p>
            <w:pPr>
              <w:spacing w:after="40" w:before="40"/>
              <w:jc w:val="left"/>
            </w:pPr>
            <w:r/>
            <w:r>
              <w:rPr>
                <w:rFonts w:ascii="Calibri" w:hAnsi="Calibri"/>
                <w:b w:val="0"/>
                <w:color w:val="1A2233"/>
                <w:sz w:val="17"/>
              </w:rPr>
              <w:t>Row level security</w:t>
            </w:r>
          </w:p>
        </w:tc>
        <w:tc>
          <w:tcPr>
            <w:tcW w:type="dxa" w:w="3312"/>
          </w:tcPr>
          <w:p>
            <w:pPr>
              <w:spacing w:after="40" w:before="40"/>
              <w:jc w:val="left"/>
            </w:pPr>
            <w:r/>
            <w:r>
              <w:rPr>
                <w:rFonts w:ascii="Calibri" w:hAnsi="Calibri"/>
                <w:b w:val="0"/>
                <w:color w:val="1A2233"/>
                <w:sz w:val="17"/>
              </w:rPr>
              <w:t>Previously off or inconsistent on credential tables (public read of plaintext PINs)</w:t>
            </w:r>
          </w:p>
        </w:tc>
        <w:tc>
          <w:tcPr>
            <w:tcW w:type="dxa" w:w="3600"/>
          </w:tcPr>
          <w:p>
            <w:pPr>
              <w:spacing w:after="40" w:before="40"/>
              <w:jc w:val="left"/>
            </w:pPr>
            <w:r/>
            <w:r>
              <w:rPr>
                <w:rFonts w:ascii="Calibri" w:hAnsi="Calibri"/>
                <w:b w:val="0"/>
                <w:color w:val="1A2233"/>
                <w:sz w:val="17"/>
              </w:rPr>
              <w:t>RLS enforced on all data tables; anon revoked; privileged writes only through service-role Edge Functions / SECURITY DEFINER RPCs</w:t>
            </w:r>
          </w:p>
        </w:tc>
      </w:tr>
      <w:tr>
        <w:tc>
          <w:tcPr>
            <w:tcW w:type="dxa" w:w="2160"/>
            <w:shd w:val="clear" w:color="auto" w:fill="F2F5FB"/>
          </w:tcPr>
          <w:p>
            <w:pPr>
              <w:spacing w:after="40" w:before="40"/>
              <w:jc w:val="left"/>
            </w:pPr>
            <w:r/>
            <w:r>
              <w:rPr>
                <w:rFonts w:ascii="Calibri" w:hAnsi="Calibri"/>
                <w:b w:val="0"/>
                <w:color w:val="1A2233"/>
                <w:sz w:val="17"/>
              </w:rPr>
              <w:t>Audit trails</w:t>
            </w:r>
          </w:p>
        </w:tc>
        <w:tc>
          <w:tcPr>
            <w:tcW w:type="dxa" w:w="3312"/>
            <w:shd w:val="clear" w:color="auto" w:fill="F2F5FB"/>
          </w:tcPr>
          <w:p>
            <w:pPr>
              <w:spacing w:after="40" w:before="40"/>
              <w:jc w:val="left"/>
            </w:pPr>
            <w:r/>
            <w:r>
              <w:rPr>
                <w:rFonts w:ascii="Calibri" w:hAnsi="Calibri"/>
                <w:b w:val="0"/>
                <w:color w:val="1A2233"/>
                <w:sz w:val="17"/>
              </w:rPr>
              <w:t>Limited central visibility</w:t>
            </w:r>
          </w:p>
        </w:tc>
        <w:tc>
          <w:tcPr>
            <w:tcW w:type="dxa" w:w="3600"/>
            <w:shd w:val="clear" w:color="auto" w:fill="F2F5FB"/>
          </w:tcPr>
          <w:p>
            <w:pPr>
              <w:spacing w:after="40" w:before="40"/>
              <w:jc w:val="left"/>
            </w:pPr>
            <w:r/>
            <w:r>
              <w:rPr>
                <w:rFonts w:ascii="Calibri" w:hAnsi="Calibri"/>
                <w:b w:val="0"/>
                <w:color w:val="1A2233"/>
                <w:sz w:val="17"/>
              </w:rPr>
              <w:t>Central logging and SIEM; DB audit; admin access via bastion with MFA</w:t>
            </w:r>
          </w:p>
        </w:tc>
      </w:tr>
      <w:tr>
        <w:tc>
          <w:tcPr>
            <w:tcW w:type="dxa" w:w="2160"/>
          </w:tcPr>
          <w:p>
            <w:pPr>
              <w:spacing w:after="40" w:before="40"/>
              <w:jc w:val="left"/>
            </w:pPr>
            <w:r/>
            <w:r>
              <w:rPr>
                <w:rFonts w:ascii="Calibri" w:hAnsi="Calibri"/>
                <w:b w:val="0"/>
                <w:color w:val="1A2233"/>
                <w:sz w:val="17"/>
              </w:rPr>
              <w:t>Backup and recovery</w:t>
            </w:r>
          </w:p>
        </w:tc>
        <w:tc>
          <w:tcPr>
            <w:tcW w:type="dxa" w:w="3312"/>
          </w:tcPr>
          <w:p>
            <w:pPr>
              <w:spacing w:after="40" w:before="40"/>
              <w:jc w:val="left"/>
            </w:pPr>
            <w:r/>
            <w:r>
              <w:rPr>
                <w:rFonts w:ascii="Calibri" w:hAnsi="Calibri"/>
                <w:b w:val="0"/>
                <w:color w:val="1A2233"/>
                <w:sz w:val="17"/>
              </w:rPr>
              <w:t>Provider-managed</w:t>
            </w:r>
          </w:p>
        </w:tc>
        <w:tc>
          <w:tcPr>
            <w:tcW w:type="dxa" w:w="3600"/>
          </w:tcPr>
          <w:p>
            <w:pPr>
              <w:spacing w:after="40" w:before="40"/>
              <w:jc w:val="left"/>
            </w:pPr>
            <w:r/>
            <w:r>
              <w:rPr>
                <w:rFonts w:ascii="Calibri" w:hAnsi="Calibri"/>
                <w:b w:val="0"/>
                <w:color w:val="1A2233"/>
                <w:sz w:val="17"/>
              </w:rPr>
              <w:t>Scheduled backups and WAL archive per AAISP; tested restore; optional DR site</w:t>
            </w:r>
          </w:p>
        </w:tc>
      </w:tr>
      <w:tr>
        <w:tc>
          <w:tcPr>
            <w:tcW w:type="dxa" w:w="2160"/>
            <w:shd w:val="clear" w:color="auto" w:fill="F2F5FB"/>
          </w:tcPr>
          <w:p>
            <w:pPr>
              <w:spacing w:after="40" w:before="40"/>
              <w:jc w:val="left"/>
            </w:pPr>
            <w:r/>
            <w:r>
              <w:rPr>
                <w:rFonts w:ascii="Calibri" w:hAnsi="Calibri"/>
                <w:b w:val="0"/>
                <w:color w:val="1A2233"/>
                <w:sz w:val="17"/>
              </w:rPr>
              <w:t>Secrets management</w:t>
            </w:r>
          </w:p>
        </w:tc>
        <w:tc>
          <w:tcPr>
            <w:tcW w:type="dxa" w:w="3312"/>
            <w:shd w:val="clear" w:color="auto" w:fill="F2F5FB"/>
          </w:tcPr>
          <w:p>
            <w:pPr>
              <w:spacing w:after="40" w:before="40"/>
              <w:jc w:val="left"/>
            </w:pPr>
            <w:r/>
            <w:r>
              <w:rPr>
                <w:rFonts w:ascii="Calibri" w:hAnsi="Calibri"/>
                <w:b w:val="0"/>
                <w:color w:val="1A2233"/>
                <w:sz w:val="17"/>
              </w:rPr>
              <w:t>Keys distributed to browser and config</w:t>
            </w:r>
          </w:p>
        </w:tc>
        <w:tc>
          <w:tcPr>
            <w:tcW w:type="dxa" w:w="3600"/>
            <w:shd w:val="clear" w:color="auto" w:fill="F2F5FB"/>
          </w:tcPr>
          <w:p>
            <w:pPr>
              <w:spacing w:after="40" w:before="40"/>
              <w:jc w:val="left"/>
            </w:pPr>
            <w:r/>
            <w:r>
              <w:rPr>
                <w:rFonts w:ascii="Calibri" w:hAnsi="Calibri"/>
                <w:b w:val="0"/>
                <w:color w:val="1A2233"/>
                <w:sz w:val="17"/>
              </w:rPr>
              <w:t>HashiCorp Vault; no secrets in client or repo</w:t>
            </w:r>
          </w:p>
        </w:tc>
      </w:tr>
      <w:tr>
        <w:tc>
          <w:tcPr>
            <w:tcW w:type="dxa" w:w="2160"/>
          </w:tcPr>
          <w:p>
            <w:pPr>
              <w:spacing w:after="40" w:before="40"/>
              <w:jc w:val="left"/>
            </w:pPr>
            <w:r/>
            <w:r>
              <w:rPr>
                <w:rFonts w:ascii="Calibri" w:hAnsi="Calibri"/>
                <w:b w:val="0"/>
                <w:color w:val="1A2233"/>
                <w:sz w:val="17"/>
              </w:rPr>
              <w:t>Vulnerability and patching</w:t>
            </w:r>
          </w:p>
        </w:tc>
        <w:tc>
          <w:tcPr>
            <w:tcW w:type="dxa" w:w="3312"/>
          </w:tcPr>
          <w:p>
            <w:pPr>
              <w:spacing w:after="40" w:before="40"/>
              <w:jc w:val="left"/>
            </w:pPr>
            <w:r/>
            <w:r>
              <w:rPr>
                <w:rFonts w:ascii="Calibri" w:hAnsi="Calibri"/>
                <w:b w:val="0"/>
                <w:color w:val="1A2233"/>
                <w:sz w:val="17"/>
              </w:rPr>
              <w:t>Not under Airtel control</w:t>
            </w:r>
          </w:p>
        </w:tc>
        <w:tc>
          <w:tcPr>
            <w:tcW w:type="dxa" w:w="3600"/>
          </w:tcPr>
          <w:p>
            <w:pPr>
              <w:spacing w:after="40" w:before="40"/>
              <w:jc w:val="left"/>
            </w:pPr>
            <w:r/>
            <w:r>
              <w:rPr>
                <w:rFonts w:ascii="Calibri" w:hAnsi="Calibri"/>
                <w:b w:val="0"/>
                <w:color w:val="1A2233"/>
                <w:sz w:val="17"/>
              </w:rPr>
              <w:t>Standard Airtel patch and vulnerability management</w:t>
            </w:r>
          </w:p>
        </w:tc>
      </w:tr>
    </w:tbl>
    <w:p>
      <w:pPr>
        <w:spacing w:after="40"/>
      </w:pPr>
    </w:p>
    <w:tbl>
      <w:tblPr>
        <w:tblStyle w:val="TableGrid"/>
        <w:tblW w:type="auto" w:w="0"/>
        <w:tblLook w:firstColumn="1" w:firstRow="1" w:lastColumn="0" w:lastRow="0" w:noHBand="0" w:noVBand="1" w:val="04A0"/>
      </w:tblPr>
      <w:tblGrid>
        <w:gridCol w:w="9317"/>
      </w:tblGrid>
      <w:tr>
        <w:tc>
          <w:tcPr>
            <w:tcW w:type="dxa" w:w="9317"/>
            <w:shd w:val="clear" w:color="auto" w:fill="FDECEC"/>
          </w:tcPr>
          <w:p>
            <w:pPr>
              <w:spacing w:after="40" w:before="40"/>
              <w:jc w:val="left"/>
            </w:pPr>
            <w:r/>
            <w:r>
              <w:rPr>
                <w:rFonts w:ascii="Calibri" w:hAnsi="Calibri"/>
                <w:b w:val="0"/>
                <w:color w:val="1A2233"/>
                <w:sz w:val="19"/>
              </w:rPr>
              <w:t>Current-state security note (updated 16 August 2026). The public read exposure identified in the privacy review has been closed on the current platform, ahead of the VM migration. The public anon key has been revoked on every table holding personal data or credentials (the sales user table, the identity store, the HBB installer, DSE and supervisor tables, the Airtel Money agent and HQ tables, and the ODU customer table); row level security is enabled with role scoped policies; and all sign in now runs server side in Edge Functions that mint short lived authenticated tokens, so the browser never reads a credential. This was verified from the attacker position: the anon key returns HTTP 401 on all of these tables, and a zero-PII blind-index login (with the pepper held outside the database) is in use. Remaining items to close, tracked in Section 12, are the universal default PIN (1234) with forced change disabled, restricting authenticated read of the residual plaintext PIN columns at column level, and nulling those columns once all users are on the blind-index store.</w:t>
            </w:r>
          </w:p>
        </w:tc>
      </w:tr>
    </w:tbl>
    <w:p>
      <w:pPr>
        <w:spacing w:after="40"/>
      </w:pPr>
    </w:p>
    <w:p>
      <w:pPr>
        <w:pStyle w:val="Heading1"/>
      </w:pPr>
      <w:r>
        <w:t>11. Risk Assessment (mapped to Policy Section 5)</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160"/>
            <w:shd w:val="clear" w:color="auto" w:fill="D9E2F3"/>
          </w:tcPr>
          <w:p>
            <w:pPr>
              <w:spacing w:after="40" w:before="40"/>
              <w:jc w:val="left"/>
            </w:pPr>
            <w:r/>
            <w:r>
              <w:rPr>
                <w:rFonts w:ascii="Calibri" w:hAnsi="Calibri"/>
                <w:b/>
                <w:color w:val="1A2233"/>
                <w:sz w:val="17"/>
              </w:rPr>
              <w:t>Policy risk</w:t>
            </w:r>
          </w:p>
        </w:tc>
        <w:tc>
          <w:tcPr>
            <w:tcW w:type="dxa" w:w="3312"/>
            <w:shd w:val="clear" w:color="auto" w:fill="D9E2F3"/>
          </w:tcPr>
          <w:p>
            <w:pPr>
              <w:spacing w:after="40" w:before="40"/>
              <w:jc w:val="left"/>
            </w:pPr>
            <w:r/>
            <w:r>
              <w:rPr>
                <w:rFonts w:ascii="Calibri" w:hAnsi="Calibri"/>
                <w:b/>
                <w:color w:val="1A2233"/>
                <w:sz w:val="17"/>
              </w:rPr>
              <w:t>Current exposure</w:t>
            </w:r>
          </w:p>
        </w:tc>
        <w:tc>
          <w:tcPr>
            <w:tcW w:type="dxa" w:w="3600"/>
            <w:shd w:val="clear" w:color="auto" w:fill="D9E2F3"/>
          </w:tcPr>
          <w:p>
            <w:pPr>
              <w:spacing w:after="40" w:before="40"/>
              <w:jc w:val="left"/>
            </w:pPr>
            <w:r/>
            <w:r>
              <w:rPr>
                <w:rFonts w:ascii="Calibri" w:hAnsi="Calibri"/>
                <w:b/>
                <w:color w:val="1A2233"/>
                <w:sz w:val="17"/>
              </w:rPr>
              <w:t>Mitigation in proposed architecture</w:t>
            </w:r>
          </w:p>
        </w:tc>
      </w:tr>
      <w:tr>
        <w:tc>
          <w:tcPr>
            <w:tcW w:type="dxa" w:w="2160"/>
          </w:tcPr>
          <w:p>
            <w:pPr>
              <w:spacing w:after="40" w:before="40"/>
              <w:jc w:val="left"/>
            </w:pPr>
            <w:r/>
            <w:r>
              <w:rPr>
                <w:rFonts w:ascii="Calibri" w:hAnsi="Calibri"/>
                <w:b w:val="0"/>
                <w:color w:val="1A2233"/>
                <w:sz w:val="17"/>
              </w:rPr>
              <w:t>Security vulnerabilities</w:t>
            </w:r>
          </w:p>
        </w:tc>
        <w:tc>
          <w:tcPr>
            <w:tcW w:type="dxa" w:w="3312"/>
          </w:tcPr>
          <w:p>
            <w:pPr>
              <w:spacing w:after="40" w:before="40"/>
              <w:jc w:val="left"/>
            </w:pPr>
            <w:r/>
            <w:r>
              <w:rPr>
                <w:rFonts w:ascii="Calibri" w:hAnsi="Calibri"/>
                <w:b w:val="0"/>
                <w:color w:val="1A2233"/>
                <w:sz w:val="17"/>
              </w:rPr>
              <w:t>PII and payment data on external SaaS; no Airtel WAF (the public read of credential tables has been closed: anon revoked, RLS enforced, server-side sign in)</w:t>
            </w:r>
          </w:p>
        </w:tc>
        <w:tc>
          <w:tcPr>
            <w:tcW w:type="dxa" w:w="3600"/>
          </w:tcPr>
          <w:p>
            <w:pPr>
              <w:spacing w:after="40" w:before="40"/>
              <w:jc w:val="left"/>
            </w:pPr>
            <w:r/>
            <w:r>
              <w:rPr>
                <w:rFonts w:ascii="Calibri" w:hAnsi="Calibri"/>
                <w:b w:val="0"/>
                <w:color w:val="1A2233"/>
                <w:sz w:val="17"/>
              </w:rPr>
              <w:t>In-house hosting, WAF, Vault, encryption, hardened auth</w:t>
            </w:r>
          </w:p>
        </w:tc>
      </w:tr>
      <w:tr>
        <w:tc>
          <w:tcPr>
            <w:tcW w:type="dxa" w:w="2160"/>
            <w:shd w:val="clear" w:color="auto" w:fill="F2F5FB"/>
          </w:tcPr>
          <w:p>
            <w:pPr>
              <w:spacing w:after="40" w:before="40"/>
              <w:jc w:val="left"/>
            </w:pPr>
            <w:r/>
            <w:r>
              <w:rPr>
                <w:rFonts w:ascii="Calibri" w:hAnsi="Calibri"/>
                <w:b w:val="0"/>
                <w:color w:val="1A2233"/>
                <w:sz w:val="17"/>
              </w:rPr>
              <w:t>Compliance violations</w:t>
            </w:r>
          </w:p>
        </w:tc>
        <w:tc>
          <w:tcPr>
            <w:tcW w:type="dxa" w:w="3312"/>
            <w:shd w:val="clear" w:color="auto" w:fill="F2F5FB"/>
          </w:tcPr>
          <w:p>
            <w:pPr>
              <w:spacing w:after="40" w:before="40"/>
              <w:jc w:val="left"/>
            </w:pPr>
            <w:r/>
            <w:r>
              <w:rPr>
                <w:rFonts w:ascii="Calibri" w:hAnsi="Calibri"/>
                <w:b w:val="0"/>
                <w:color w:val="1A2233"/>
                <w:sz w:val="17"/>
              </w:rPr>
              <w:t>Customer data outside Airtel control and data-residency governance</w:t>
            </w:r>
          </w:p>
        </w:tc>
        <w:tc>
          <w:tcPr>
            <w:tcW w:type="dxa" w:w="3600"/>
            <w:shd w:val="clear" w:color="auto" w:fill="F2F5FB"/>
          </w:tcPr>
          <w:p>
            <w:pPr>
              <w:spacing w:after="40" w:before="40"/>
              <w:jc w:val="left"/>
            </w:pPr>
            <w:r/>
            <w:r>
              <w:rPr>
                <w:rFonts w:ascii="Calibri" w:hAnsi="Calibri"/>
                <w:b w:val="0"/>
                <w:color w:val="1A2233"/>
                <w:sz w:val="17"/>
              </w:rPr>
              <w:t>Data resident in Airtel estate; AAISP controls; DPA needs removed</w:t>
            </w:r>
          </w:p>
        </w:tc>
      </w:tr>
      <w:tr>
        <w:tc>
          <w:tcPr>
            <w:tcW w:type="dxa" w:w="2160"/>
          </w:tcPr>
          <w:p>
            <w:pPr>
              <w:spacing w:after="40" w:before="40"/>
              <w:jc w:val="left"/>
            </w:pPr>
            <w:r/>
            <w:r>
              <w:rPr>
                <w:rFonts w:ascii="Calibri" w:hAnsi="Calibri"/>
                <w:b w:val="0"/>
                <w:color w:val="1A2233"/>
                <w:sz w:val="17"/>
              </w:rPr>
              <w:t>Reduced visibility and control</w:t>
            </w:r>
          </w:p>
        </w:tc>
        <w:tc>
          <w:tcPr>
            <w:tcW w:type="dxa" w:w="3312"/>
          </w:tcPr>
          <w:p>
            <w:pPr>
              <w:spacing w:after="40" w:before="40"/>
              <w:jc w:val="left"/>
            </w:pPr>
            <w:r/>
            <w:r>
              <w:rPr>
                <w:rFonts w:ascii="Calibri" w:hAnsi="Calibri"/>
                <w:b w:val="0"/>
                <w:color w:val="1A2233"/>
                <w:sz w:val="17"/>
              </w:rPr>
              <w:t>No central monitoring of the stack</w:t>
            </w:r>
          </w:p>
        </w:tc>
        <w:tc>
          <w:tcPr>
            <w:tcW w:type="dxa" w:w="3600"/>
          </w:tcPr>
          <w:p>
            <w:pPr>
              <w:spacing w:after="40" w:before="40"/>
              <w:jc w:val="left"/>
            </w:pPr>
            <w:r/>
            <w:r>
              <w:rPr>
                <w:rFonts w:ascii="Calibri" w:hAnsi="Calibri"/>
                <w:b w:val="0"/>
                <w:color w:val="1A2233"/>
                <w:sz w:val="17"/>
              </w:rPr>
              <w:t>Central SIEM, logging, standard change and patch management</w:t>
            </w:r>
          </w:p>
        </w:tc>
      </w:tr>
      <w:tr>
        <w:tc>
          <w:tcPr>
            <w:tcW w:type="dxa" w:w="2160"/>
            <w:shd w:val="clear" w:color="auto" w:fill="F2F5FB"/>
          </w:tcPr>
          <w:p>
            <w:pPr>
              <w:spacing w:after="40" w:before="40"/>
              <w:jc w:val="left"/>
            </w:pPr>
            <w:r/>
            <w:r>
              <w:rPr>
                <w:rFonts w:ascii="Calibri" w:hAnsi="Calibri"/>
                <w:b w:val="0"/>
                <w:color w:val="1A2233"/>
                <w:sz w:val="17"/>
              </w:rPr>
              <w:t>Financial implications</w:t>
            </w:r>
          </w:p>
        </w:tc>
        <w:tc>
          <w:tcPr>
            <w:tcW w:type="dxa" w:w="3312"/>
            <w:shd w:val="clear" w:color="auto" w:fill="F2F5FB"/>
          </w:tcPr>
          <w:p>
            <w:pPr>
              <w:spacing w:after="40" w:before="40"/>
              <w:jc w:val="left"/>
            </w:pPr>
            <w:r/>
            <w:r>
              <w:rPr>
                <w:rFonts w:ascii="Calibri" w:hAnsi="Calibri"/>
                <w:b w:val="0"/>
                <w:color w:val="1A2233"/>
                <w:sz w:val="17"/>
              </w:rPr>
              <w:t>Recurring SaaS subscriptions (Vercel, Supabase, Capgo)</w:t>
            </w:r>
          </w:p>
        </w:tc>
        <w:tc>
          <w:tcPr>
            <w:tcW w:type="dxa" w:w="3600"/>
            <w:shd w:val="clear" w:color="auto" w:fill="F2F5FB"/>
          </w:tcPr>
          <w:p>
            <w:pPr>
              <w:spacing w:after="40" w:before="40"/>
              <w:jc w:val="left"/>
            </w:pPr>
            <w:r/>
            <w:r>
              <w:rPr>
                <w:rFonts w:ascii="Calibri" w:hAnsi="Calibri"/>
                <w:b w:val="0"/>
                <w:color w:val="1A2233"/>
                <w:sz w:val="17"/>
              </w:rPr>
              <w:t>Retire subscriptions; run on Airtel infrastructure</w:t>
            </w:r>
          </w:p>
        </w:tc>
      </w:tr>
      <w:tr>
        <w:tc>
          <w:tcPr>
            <w:tcW w:type="dxa" w:w="2160"/>
          </w:tcPr>
          <w:p>
            <w:pPr>
              <w:spacing w:after="40" w:before="40"/>
              <w:jc w:val="left"/>
            </w:pPr>
            <w:r/>
            <w:r>
              <w:rPr>
                <w:rFonts w:ascii="Calibri" w:hAnsi="Calibri"/>
                <w:b w:val="0"/>
                <w:color w:val="1A2233"/>
                <w:sz w:val="17"/>
              </w:rPr>
              <w:t>Decreased productivity</w:t>
            </w:r>
          </w:p>
        </w:tc>
        <w:tc>
          <w:tcPr>
            <w:tcW w:type="dxa" w:w="3312"/>
          </w:tcPr>
          <w:p>
            <w:pPr>
              <w:spacing w:after="40" w:before="40"/>
              <w:jc w:val="left"/>
            </w:pPr>
            <w:r/>
            <w:r>
              <w:rPr>
                <w:rFonts w:ascii="Calibri" w:hAnsi="Calibri"/>
                <w:b w:val="0"/>
                <w:color w:val="1A2233"/>
                <w:sz w:val="17"/>
              </w:rPr>
              <w:t>Provider outages outside Airtel remedy</w:t>
            </w:r>
          </w:p>
        </w:tc>
        <w:tc>
          <w:tcPr>
            <w:tcW w:type="dxa" w:w="3600"/>
          </w:tcPr>
          <w:p>
            <w:pPr>
              <w:spacing w:after="40" w:before="40"/>
              <w:jc w:val="left"/>
            </w:pPr>
            <w:r/>
            <w:r>
              <w:rPr>
                <w:rFonts w:ascii="Calibri" w:hAnsi="Calibri"/>
                <w:b w:val="0"/>
                <w:color w:val="1A2233"/>
                <w:sz w:val="17"/>
              </w:rPr>
              <w:t>Airtel-operated HA (replica, active/active tiers)</w:t>
            </w:r>
          </w:p>
        </w:tc>
      </w:tr>
      <w:tr>
        <w:tc>
          <w:tcPr>
            <w:tcW w:type="dxa" w:w="2160"/>
            <w:shd w:val="clear" w:color="auto" w:fill="F2F5FB"/>
          </w:tcPr>
          <w:p>
            <w:pPr>
              <w:spacing w:after="40" w:before="40"/>
              <w:jc w:val="left"/>
            </w:pPr>
            <w:r/>
            <w:r>
              <w:rPr>
                <w:rFonts w:ascii="Calibri" w:hAnsi="Calibri"/>
                <w:b w:val="0"/>
                <w:color w:val="1A2233"/>
                <w:sz w:val="17"/>
              </w:rPr>
              <w:t>Operational instability</w:t>
            </w:r>
          </w:p>
        </w:tc>
        <w:tc>
          <w:tcPr>
            <w:tcW w:type="dxa" w:w="3312"/>
            <w:shd w:val="clear" w:color="auto" w:fill="F2F5FB"/>
          </w:tcPr>
          <w:p>
            <w:pPr>
              <w:spacing w:after="40" w:before="40"/>
              <w:jc w:val="left"/>
            </w:pPr>
            <w:r/>
            <w:r>
              <w:rPr>
                <w:rFonts w:ascii="Calibri" w:hAnsi="Calibri"/>
                <w:b w:val="0"/>
                <w:color w:val="1A2233"/>
                <w:sz w:val="17"/>
              </w:rPr>
              <w:t>Limited code review and post-live support</w:t>
            </w:r>
          </w:p>
        </w:tc>
        <w:tc>
          <w:tcPr>
            <w:tcW w:type="dxa" w:w="3600"/>
            <w:shd w:val="clear" w:color="auto" w:fill="F2F5FB"/>
          </w:tcPr>
          <w:p>
            <w:pPr>
              <w:spacing w:after="40" w:before="40"/>
              <w:jc w:val="left"/>
            </w:pPr>
            <w:r/>
            <w:r>
              <w:rPr>
                <w:rFonts w:ascii="Calibri" w:hAnsi="Calibri"/>
                <w:b w:val="0"/>
                <w:color w:val="1A2233"/>
                <w:sz w:val="17"/>
              </w:rPr>
              <w:t>UAT environment, release process, managed support</w:t>
            </w:r>
          </w:p>
        </w:tc>
      </w:tr>
      <w:tr>
        <w:tc>
          <w:tcPr>
            <w:tcW w:type="dxa" w:w="2160"/>
          </w:tcPr>
          <w:p>
            <w:pPr>
              <w:spacing w:after="40" w:before="40"/>
              <w:jc w:val="left"/>
            </w:pPr>
            <w:r/>
            <w:r>
              <w:rPr>
                <w:rFonts w:ascii="Calibri" w:hAnsi="Calibri"/>
                <w:b w:val="0"/>
                <w:color w:val="1A2233"/>
                <w:sz w:val="17"/>
              </w:rPr>
              <w:t>Data silos and inconsistencies</w:t>
            </w:r>
          </w:p>
        </w:tc>
        <w:tc>
          <w:tcPr>
            <w:tcW w:type="dxa" w:w="3312"/>
          </w:tcPr>
          <w:p>
            <w:pPr>
              <w:spacing w:after="40" w:before="40"/>
              <w:jc w:val="left"/>
            </w:pPr>
            <w:r/>
            <w:r>
              <w:rPr>
                <w:rFonts w:ascii="Calibri" w:hAnsi="Calibri"/>
                <w:b w:val="0"/>
                <w:color w:val="1A2233"/>
                <w:sz w:val="17"/>
              </w:rPr>
              <w:t>Data isolated from Airtel systems</w:t>
            </w:r>
          </w:p>
        </w:tc>
        <w:tc>
          <w:tcPr>
            <w:tcW w:type="dxa" w:w="3600"/>
          </w:tcPr>
          <w:p>
            <w:pPr>
              <w:spacing w:after="40" w:before="40"/>
              <w:jc w:val="left"/>
            </w:pPr>
            <w:r/>
            <w:r>
              <w:rPr>
                <w:rFonts w:ascii="Calibri" w:hAnsi="Calibri"/>
                <w:b w:val="0"/>
                <w:color w:val="1A2233"/>
                <w:sz w:val="17"/>
              </w:rPr>
              <w:t>Path to integrate with Airtel identity and data platforms</w:t>
            </w:r>
          </w:p>
        </w:tc>
      </w:tr>
      <w:tr>
        <w:tc>
          <w:tcPr>
            <w:tcW w:type="dxa" w:w="2160"/>
            <w:shd w:val="clear" w:color="auto" w:fill="F2F5FB"/>
          </w:tcPr>
          <w:p>
            <w:pPr>
              <w:spacing w:after="40" w:before="40"/>
              <w:jc w:val="left"/>
            </w:pPr>
            <w:r/>
            <w:r>
              <w:rPr>
                <w:rFonts w:ascii="Calibri" w:hAnsi="Calibri"/>
                <w:b w:val="0"/>
                <w:color w:val="1A2233"/>
                <w:sz w:val="17"/>
              </w:rPr>
              <w:t>Integration and scalability</w:t>
            </w:r>
          </w:p>
        </w:tc>
        <w:tc>
          <w:tcPr>
            <w:tcW w:type="dxa" w:w="3312"/>
            <w:shd w:val="clear" w:color="auto" w:fill="F2F5FB"/>
          </w:tcPr>
          <w:p>
            <w:pPr>
              <w:spacing w:after="40" w:before="40"/>
              <w:jc w:val="left"/>
            </w:pPr>
            <w:r/>
            <w:r>
              <w:rPr>
                <w:rFonts w:ascii="Calibri" w:hAnsi="Calibri"/>
                <w:b w:val="0"/>
                <w:color w:val="1A2233"/>
                <w:sz w:val="17"/>
              </w:rPr>
              <w:t>Not vetted by central IT</w:t>
            </w:r>
          </w:p>
        </w:tc>
        <w:tc>
          <w:tcPr>
            <w:tcW w:type="dxa" w:w="3600"/>
            <w:shd w:val="clear" w:color="auto" w:fill="F2F5FB"/>
          </w:tcPr>
          <w:p>
            <w:pPr>
              <w:spacing w:after="40" w:before="40"/>
              <w:jc w:val="left"/>
            </w:pPr>
            <w:r/>
            <w:r>
              <w:rPr>
                <w:rFonts w:ascii="Calibri" w:hAnsi="Calibri"/>
                <w:b w:val="0"/>
                <w:color w:val="1A2233"/>
                <w:sz w:val="17"/>
              </w:rPr>
              <w:t>Reviewed architecture; horizontal scaling; standard integration</w:t>
            </w:r>
          </w:p>
        </w:tc>
      </w:tr>
    </w:tbl>
    <w:p>
      <w:pPr>
        <w:spacing w:after="40"/>
      </w:pPr>
    </w:p>
    <w:p>
      <w:pPr>
        <w:pStyle w:val="Heading1"/>
      </w:pPr>
      <w:r>
        <w:t>12. Migration and Shadow IT Retirement Plan (Policy Section 6)</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1872"/>
            <w:shd w:val="clear" w:color="auto" w:fill="D9E2F3"/>
          </w:tcPr>
          <w:p>
            <w:pPr>
              <w:spacing w:after="40" w:before="40"/>
              <w:jc w:val="left"/>
            </w:pPr>
            <w:r/>
            <w:r>
              <w:rPr>
                <w:rFonts w:ascii="Calibri" w:hAnsi="Calibri"/>
                <w:b/>
                <w:color w:val="1A2233"/>
                <w:sz w:val="18"/>
              </w:rPr>
              <w:t>Phase</w:t>
            </w:r>
          </w:p>
        </w:tc>
        <w:tc>
          <w:tcPr>
            <w:tcW w:type="dxa" w:w="4752"/>
            <w:shd w:val="clear" w:color="auto" w:fill="D9E2F3"/>
          </w:tcPr>
          <w:p>
            <w:pPr>
              <w:spacing w:after="40" w:before="40"/>
              <w:jc w:val="left"/>
            </w:pPr>
            <w:r/>
            <w:r>
              <w:rPr>
                <w:rFonts w:ascii="Calibri" w:hAnsi="Calibri"/>
                <w:b/>
                <w:color w:val="1A2233"/>
                <w:sz w:val="18"/>
              </w:rPr>
              <w:t>Activities</w:t>
            </w:r>
          </w:p>
        </w:tc>
        <w:tc>
          <w:tcPr>
            <w:tcW w:type="dxa" w:w="2448"/>
            <w:shd w:val="clear" w:color="auto" w:fill="D9E2F3"/>
          </w:tcPr>
          <w:p>
            <w:pPr>
              <w:spacing w:after="40" w:before="40"/>
              <w:jc w:val="left"/>
            </w:pPr>
            <w:r/>
            <w:r>
              <w:rPr>
                <w:rFonts w:ascii="Calibri" w:hAnsi="Calibri"/>
                <w:b/>
                <w:color w:val="1A2233"/>
                <w:sz w:val="18"/>
              </w:rPr>
              <w:t>Outcome</w:t>
            </w:r>
          </w:p>
        </w:tc>
      </w:tr>
      <w:tr>
        <w:tc>
          <w:tcPr>
            <w:tcW w:type="dxa" w:w="1872"/>
          </w:tcPr>
          <w:p>
            <w:pPr>
              <w:spacing w:after="40" w:before="40"/>
              <w:jc w:val="left"/>
            </w:pPr>
            <w:r/>
            <w:r>
              <w:rPr>
                <w:rFonts w:ascii="Calibri" w:hAnsi="Calibri"/>
                <w:b w:val="0"/>
                <w:color w:val="1A2233"/>
                <w:sz w:val="17"/>
              </w:rPr>
              <w:t>0. Approval</w:t>
            </w:r>
          </w:p>
        </w:tc>
        <w:tc>
          <w:tcPr>
            <w:tcW w:type="dxa" w:w="4752"/>
          </w:tcPr>
          <w:p>
            <w:pPr>
              <w:spacing w:after="40" w:before="40"/>
              <w:jc w:val="left"/>
            </w:pPr>
            <w:r/>
            <w:r>
              <w:rPr>
                <w:rFonts w:ascii="Calibri" w:hAnsi="Calibri"/>
                <w:b w:val="0"/>
                <w:color w:val="1A2233"/>
                <w:sz w:val="17"/>
              </w:rPr>
              <w:t>IT Architectural Review Board and IT Security review; CIO / GCIO / GCISO approval; VM provisioning</w:t>
            </w:r>
          </w:p>
        </w:tc>
        <w:tc>
          <w:tcPr>
            <w:tcW w:type="dxa" w:w="2448"/>
          </w:tcPr>
          <w:p>
            <w:pPr>
              <w:spacing w:after="40" w:before="40"/>
              <w:jc w:val="left"/>
            </w:pPr>
            <w:r/>
            <w:r>
              <w:rPr>
                <w:rFonts w:ascii="Calibri" w:hAnsi="Calibri"/>
                <w:b w:val="0"/>
                <w:color w:val="1A2233"/>
                <w:sz w:val="17"/>
              </w:rPr>
              <w:t>Sanction and infrastructure ready</w:t>
            </w:r>
          </w:p>
        </w:tc>
      </w:tr>
      <w:tr>
        <w:tc>
          <w:tcPr>
            <w:tcW w:type="dxa" w:w="1872"/>
            <w:shd w:val="clear" w:color="auto" w:fill="F2F5FB"/>
          </w:tcPr>
          <w:p>
            <w:pPr>
              <w:spacing w:after="40" w:before="40"/>
              <w:jc w:val="left"/>
            </w:pPr>
            <w:r/>
            <w:r>
              <w:rPr>
                <w:rFonts w:ascii="Calibri" w:hAnsi="Calibri"/>
                <w:b w:val="0"/>
                <w:color w:val="1A2233"/>
                <w:sz w:val="17"/>
              </w:rPr>
              <w:t>1. Build</w:t>
            </w:r>
          </w:p>
        </w:tc>
        <w:tc>
          <w:tcPr>
            <w:tcW w:type="dxa" w:w="4752"/>
            <w:shd w:val="clear" w:color="auto" w:fill="F2F5FB"/>
          </w:tcPr>
          <w:p>
            <w:pPr>
              <w:spacing w:after="40" w:before="40"/>
              <w:jc w:val="left"/>
            </w:pPr>
            <w:r/>
            <w:r>
              <w:rPr>
                <w:rFonts w:ascii="Calibri" w:hAnsi="Calibri"/>
                <w:b w:val="0"/>
                <w:color w:val="1A2233"/>
                <w:sz w:val="17"/>
              </w:rPr>
              <w:t>Stand up VMs, network zones, WAF, DB HA, MinIO, Vault, monitoring; port edge functions to containers</w:t>
            </w:r>
          </w:p>
        </w:tc>
        <w:tc>
          <w:tcPr>
            <w:tcW w:type="dxa" w:w="2448"/>
            <w:shd w:val="clear" w:color="auto" w:fill="F2F5FB"/>
          </w:tcPr>
          <w:p>
            <w:pPr>
              <w:spacing w:after="40" w:before="40"/>
              <w:jc w:val="left"/>
            </w:pPr>
            <w:r/>
            <w:r>
              <w:rPr>
                <w:rFonts w:ascii="Calibri" w:hAnsi="Calibri"/>
                <w:b w:val="0"/>
                <w:color w:val="1A2233"/>
                <w:sz w:val="17"/>
              </w:rPr>
              <w:t>Airtel-hosted environment ready</w:t>
            </w:r>
          </w:p>
        </w:tc>
      </w:tr>
      <w:tr>
        <w:tc>
          <w:tcPr>
            <w:tcW w:type="dxa" w:w="1872"/>
          </w:tcPr>
          <w:p>
            <w:pPr>
              <w:spacing w:after="40" w:before="40"/>
              <w:jc w:val="left"/>
            </w:pPr>
            <w:r/>
            <w:r>
              <w:rPr>
                <w:rFonts w:ascii="Calibri" w:hAnsi="Calibri"/>
                <w:b w:val="0"/>
                <w:color w:val="1A2233"/>
                <w:sz w:val="17"/>
              </w:rPr>
              <w:t>2. Data migration</w:t>
            </w:r>
          </w:p>
        </w:tc>
        <w:tc>
          <w:tcPr>
            <w:tcW w:type="dxa" w:w="4752"/>
          </w:tcPr>
          <w:p>
            <w:pPr>
              <w:spacing w:after="40" w:before="40"/>
              <w:jc w:val="left"/>
            </w:pPr>
            <w:r/>
            <w:r>
              <w:rPr>
                <w:rFonts w:ascii="Calibri" w:hAnsi="Calibri"/>
                <w:b w:val="0"/>
                <w:color w:val="1A2233"/>
                <w:sz w:val="17"/>
              </w:rPr>
              <w:t>Migrate PostgreSQL schema and data (the ODU infrastructure migration is a required source artefact) and storage objects; validate</w:t>
            </w:r>
          </w:p>
        </w:tc>
        <w:tc>
          <w:tcPr>
            <w:tcW w:type="dxa" w:w="2448"/>
          </w:tcPr>
          <w:p>
            <w:pPr>
              <w:spacing w:after="40" w:before="40"/>
              <w:jc w:val="left"/>
            </w:pPr>
            <w:r/>
            <w:r>
              <w:rPr>
                <w:rFonts w:ascii="Calibri" w:hAnsi="Calibri"/>
                <w:b w:val="0"/>
                <w:color w:val="1A2233"/>
                <w:sz w:val="17"/>
              </w:rPr>
              <w:t>Data resident in Airtel estate</w:t>
            </w:r>
          </w:p>
        </w:tc>
      </w:tr>
      <w:tr>
        <w:tc>
          <w:tcPr>
            <w:tcW w:type="dxa" w:w="1872"/>
            <w:shd w:val="clear" w:color="auto" w:fill="F2F5FB"/>
          </w:tcPr>
          <w:p>
            <w:pPr>
              <w:spacing w:after="40" w:before="40"/>
              <w:jc w:val="left"/>
            </w:pPr>
            <w:r/>
            <w:r>
              <w:rPr>
                <w:rFonts w:ascii="Calibri" w:hAnsi="Calibri"/>
                <w:b w:val="0"/>
                <w:color w:val="1A2233"/>
                <w:sz w:val="17"/>
              </w:rPr>
              <w:t>3. Security hardening</w:t>
            </w:r>
          </w:p>
        </w:tc>
        <w:tc>
          <w:tcPr>
            <w:tcW w:type="dxa" w:w="4752"/>
            <w:shd w:val="clear" w:color="auto" w:fill="F2F5FB"/>
          </w:tcPr>
          <w:p>
            <w:pPr>
              <w:spacing w:after="40" w:before="40"/>
              <w:jc w:val="left"/>
            </w:pPr>
            <w:r/>
            <w:r>
              <w:rPr>
                <w:rFonts w:ascii="Calibri" w:hAnsi="Calibri"/>
                <w:b w:val="0"/>
                <w:color w:val="1A2233"/>
                <w:sz w:val="17"/>
              </w:rPr>
              <w:t>Interim on current platform already done: anon revoked on all credential/PII tables, RLS enforced, server-side sign in. Remaining: enforce PIN policy and retire default PIN; column-level restriction and nulling of residual plaintext PINs; move keys to Vault; enable audit and backup</w:t>
            </w:r>
          </w:p>
        </w:tc>
        <w:tc>
          <w:tcPr>
            <w:tcW w:type="dxa" w:w="2448"/>
            <w:shd w:val="clear" w:color="auto" w:fill="F2F5FB"/>
          </w:tcPr>
          <w:p>
            <w:pPr>
              <w:spacing w:after="40" w:before="40"/>
              <w:jc w:val="left"/>
            </w:pPr>
            <w:r/>
            <w:r>
              <w:rPr>
                <w:rFonts w:ascii="Calibri" w:hAnsi="Calibri"/>
                <w:b w:val="0"/>
                <w:color w:val="1A2233"/>
                <w:sz w:val="17"/>
              </w:rPr>
              <w:t>AAISP-aligned controls</w:t>
            </w:r>
          </w:p>
        </w:tc>
      </w:tr>
      <w:tr>
        <w:tc>
          <w:tcPr>
            <w:tcW w:type="dxa" w:w="1872"/>
          </w:tcPr>
          <w:p>
            <w:pPr>
              <w:spacing w:after="40" w:before="40"/>
              <w:jc w:val="left"/>
            </w:pPr>
            <w:r/>
            <w:r>
              <w:rPr>
                <w:rFonts w:ascii="Calibri" w:hAnsi="Calibri"/>
                <w:b w:val="0"/>
                <w:color w:val="1A2233"/>
                <w:sz w:val="17"/>
              </w:rPr>
              <w:t>4. Cutover</w:t>
            </w:r>
          </w:p>
        </w:tc>
        <w:tc>
          <w:tcPr>
            <w:tcW w:type="dxa" w:w="4752"/>
          </w:tcPr>
          <w:p>
            <w:pPr>
              <w:spacing w:after="40" w:before="40"/>
              <w:jc w:val="left"/>
            </w:pPr>
            <w:r/>
            <w:r>
              <w:rPr>
                <w:rFonts w:ascii="Calibri" w:hAnsi="Calibri"/>
                <w:b w:val="0"/>
                <w:color w:val="1A2233"/>
                <w:sz w:val="17"/>
              </w:rPr>
              <w:t>DNS to Airtel ingress; parallel run; go-live; user comms</w:t>
            </w:r>
          </w:p>
        </w:tc>
        <w:tc>
          <w:tcPr>
            <w:tcW w:type="dxa" w:w="2448"/>
          </w:tcPr>
          <w:p>
            <w:pPr>
              <w:spacing w:after="40" w:before="40"/>
              <w:jc w:val="left"/>
            </w:pPr>
            <w:r/>
            <w:r>
              <w:rPr>
                <w:rFonts w:ascii="Calibri" w:hAnsi="Calibri"/>
                <w:b w:val="0"/>
                <w:color w:val="1A2233"/>
                <w:sz w:val="17"/>
              </w:rPr>
              <w:t>Traffic on Airtel infrastructure</w:t>
            </w:r>
          </w:p>
        </w:tc>
      </w:tr>
      <w:tr>
        <w:tc>
          <w:tcPr>
            <w:tcW w:type="dxa" w:w="1872"/>
            <w:shd w:val="clear" w:color="auto" w:fill="F2F5FB"/>
          </w:tcPr>
          <w:p>
            <w:pPr>
              <w:spacing w:after="40" w:before="40"/>
              <w:jc w:val="left"/>
            </w:pPr>
            <w:r/>
            <w:r>
              <w:rPr>
                <w:rFonts w:ascii="Calibri" w:hAnsi="Calibri"/>
                <w:b w:val="0"/>
                <w:color w:val="1A2233"/>
                <w:sz w:val="17"/>
              </w:rPr>
              <w:t>5. Retirement</w:t>
            </w:r>
          </w:p>
        </w:tc>
        <w:tc>
          <w:tcPr>
            <w:tcW w:type="dxa" w:w="4752"/>
            <w:shd w:val="clear" w:color="auto" w:fill="F2F5FB"/>
          </w:tcPr>
          <w:p>
            <w:pPr>
              <w:spacing w:after="40" w:before="40"/>
              <w:jc w:val="left"/>
            </w:pPr>
            <w:r/>
            <w:r>
              <w:rPr>
                <w:rFonts w:ascii="Calibri" w:hAnsi="Calibri"/>
                <w:b w:val="0"/>
                <w:color w:val="1A2233"/>
                <w:sz w:val="17"/>
              </w:rPr>
              <w:t>Decommission Vercel, Supabase and Capgo; release firewall, DNS, domain and licence entries; confirm with IT</w:t>
            </w:r>
          </w:p>
        </w:tc>
        <w:tc>
          <w:tcPr>
            <w:tcW w:type="dxa" w:w="2448"/>
            <w:shd w:val="clear" w:color="auto" w:fill="F2F5FB"/>
          </w:tcPr>
          <w:p>
            <w:pPr>
              <w:spacing w:after="40" w:before="40"/>
              <w:jc w:val="left"/>
            </w:pPr>
            <w:r/>
            <w:r>
              <w:rPr>
                <w:rFonts w:ascii="Calibri" w:hAnsi="Calibri"/>
                <w:b w:val="0"/>
                <w:color w:val="1A2233"/>
                <w:sz w:val="17"/>
              </w:rPr>
              <w:t>Shadow IT retired per Section 6</w:t>
            </w:r>
          </w:p>
        </w:tc>
      </w:tr>
    </w:tbl>
    <w:p>
      <w:pPr>
        <w:spacing w:after="40"/>
      </w:pPr>
    </w:p>
    <w:tbl>
      <w:tblPr>
        <w:tblStyle w:val="TableGrid"/>
        <w:tblW w:type="auto" w:w="0"/>
        <w:tblLook w:firstColumn="1" w:firstRow="1" w:lastColumn="0" w:lastRow="0" w:noHBand="0" w:noVBand="1" w:val="04A0"/>
      </w:tblPr>
      <w:tblGrid>
        <w:gridCol w:w="9317"/>
      </w:tblGrid>
      <w:tr>
        <w:tc>
          <w:tcPr>
            <w:tcW w:type="dxa" w:w="9317"/>
            <w:shd w:val="clear" w:color="auto" w:fill="FDECEC"/>
          </w:tcPr>
          <w:p>
            <w:pPr>
              <w:spacing w:after="40" w:before="40"/>
              <w:jc w:val="left"/>
            </w:pPr>
            <w:r/>
            <w:r>
              <w:rPr>
                <w:rFonts w:ascii="Calibri" w:hAnsi="Calibri"/>
                <w:b w:val="0"/>
                <w:color w:val="1A2233"/>
                <w:sz w:val="19"/>
              </w:rPr>
              <w:t>Per the v2.0 change in Section 6: while retiring the Shadow IT application, all entries in Firewall, Domain Server, User Licences and similar are to be released, and the respective function in IT is to ensure the same.</w:t>
            </w:r>
          </w:p>
        </w:tc>
      </w:tr>
    </w:tbl>
    <w:p>
      <w:pPr>
        <w:spacing w:after="40"/>
      </w:pPr>
    </w:p>
    <w:p>
      <w:pPr>
        <w:pStyle w:val="Heading1"/>
      </w:pPr>
      <w:r>
        <w:t>13. Assumptions and Items To Be Confirmed</w:t>
      </w:r>
    </w:p>
    <w:p>
      <w:pPr>
        <w:pStyle w:val="ListBullet"/>
        <w:spacing w:after="60"/>
      </w:pPr>
      <w:r>
        <w:rPr>
          <w:color w:val="1A2233"/>
          <w:sz w:val="21"/>
        </w:rPr>
        <w:t>Opco is Airtel Kenya (inferred from Kenyan data: KSh currency, 07xx numbers, Nairobi and Thika locations). Confirm.</w:t>
      </w:r>
    </w:p>
    <w:p>
      <w:pPr>
        <w:pStyle w:val="ListBullet"/>
        <w:spacing w:after="60"/>
      </w:pPr>
      <w:r>
        <w:rPr>
          <w:color w:val="1A2233"/>
          <w:sz w:val="21"/>
        </w:rPr>
        <w:t>Requestor identity, business owner and document code to be completed by the requesting function.</w:t>
      </w:r>
    </w:p>
    <w:p>
      <w:pPr>
        <w:pStyle w:val="ListBullet"/>
        <w:spacing w:after="60"/>
      </w:pPr>
      <w:r>
        <w:rPr>
          <w:color w:val="1A2233"/>
          <w:sz w:val="21"/>
        </w:rPr>
        <w:t>Target VM environment (Airtel private cloud, on-premise virtualisation or sanctioned hyperscaler tenancy) and OS standard (Ubuntu LTS or RHEL).</w:t>
      </w:r>
    </w:p>
    <w:p>
      <w:pPr>
        <w:pStyle w:val="ListBullet"/>
        <w:spacing w:after="60"/>
      </w:pPr>
      <w:r>
        <w:rPr>
          <w:color w:val="1A2233"/>
          <w:sz w:val="21"/>
        </w:rPr>
        <w:t>WAF / load balancer product and existing licence to reuse.</w:t>
      </w:r>
    </w:p>
    <w:p>
      <w:pPr>
        <w:pStyle w:val="ListBullet"/>
        <w:spacing w:after="60"/>
      </w:pPr>
      <w:r>
        <w:rPr>
          <w:color w:val="1A2233"/>
          <w:sz w:val="21"/>
        </w:rPr>
        <w:t>Disaster recovery requirement, RPO and RTO.</w:t>
      </w:r>
    </w:p>
    <w:p>
      <w:pPr>
        <w:pStyle w:val="ListBullet"/>
        <w:spacing w:after="60"/>
      </w:pPr>
      <w:r>
        <w:rPr>
          <w:color w:val="1A2233"/>
          <w:sz w:val="21"/>
        </w:rPr>
        <w:t>MinIO and Vault licensing decisions.</w:t>
      </w:r>
    </w:p>
    <w:p>
      <w:pPr>
        <w:pStyle w:val="ListBullet"/>
        <w:spacing w:after="60"/>
      </w:pPr>
      <w:r>
        <w:rPr>
          <w:color w:val="1A2233"/>
          <w:sz w:val="21"/>
        </w:rPr>
        <w:t>Whether the native mobile app is published to app stores (affects store licences and OTA approach).</w:t>
      </w:r>
    </w:p>
    <w:p>
      <w:pPr>
        <w:pStyle w:val="ListBullet"/>
        <w:spacing w:after="60"/>
      </w:pPr>
      <w:r>
        <w:rPr>
          <w:color w:val="1A2233"/>
          <w:sz w:val="21"/>
        </w:rPr>
        <w:t>Sizing to be validated by load testing before final procurement.</w:t>
      </w:r>
    </w:p>
    <w:p>
      <w:pPr>
        <w:pStyle w:val="Heading1"/>
      </w:pPr>
      <w:r>
        <w:t>14. Approvals and Sign-off</w:t>
      </w:r>
    </w:p>
    <w:p>
      <w:pPr>
        <w:spacing w:after="120" w:before="0"/>
        <w:jc w:val="left"/>
      </w:pPr>
      <w:r>
        <w:rPr>
          <w:b w:val="0"/>
          <w:i w:val="0"/>
          <w:color w:val="1A2233"/>
          <w:sz w:val="21"/>
        </w:rPr>
        <w:t>This submission is presented for review and approval in line with Airtel Africa Shadow IT Policy v2.0, Section 6.</w:t>
      </w:r>
    </w:p>
    <w:tbl>
      <w:tblPr>
        <w:tblStyle w:val="TableGrid"/>
        <w:tblW w:type="auto" w:w="0"/>
        <w:jc w:val="center"/>
        <w:tblLayout w:type="fixed"/>
        <w:tblLook w:firstColumn="1" w:firstRow="1" w:lastColumn="0" w:lastRow="0" w:noHBand="0" w:noVBand="1" w:val="04A0"/>
      </w:tblPr>
      <w:tblGrid>
        <w:gridCol w:w="1863"/>
        <w:gridCol w:w="1863"/>
        <w:gridCol w:w="1863"/>
        <w:gridCol w:w="1863"/>
        <w:gridCol w:w="1863"/>
      </w:tblGrid>
      <w:tr>
        <w:tc>
          <w:tcPr>
            <w:tcW w:type="dxa" w:w="3168"/>
            <w:shd w:val="clear" w:color="auto" w:fill="D9E2F3"/>
          </w:tcPr>
          <w:p>
            <w:pPr>
              <w:spacing w:after="40" w:before="40"/>
              <w:jc w:val="left"/>
            </w:pPr>
            <w:r/>
            <w:r>
              <w:rPr>
                <w:rFonts w:ascii="Calibri" w:hAnsi="Calibri"/>
                <w:b/>
                <w:color w:val="1A2233"/>
                <w:sz w:val="18"/>
              </w:rPr>
              <w:t>Role</w:t>
            </w:r>
          </w:p>
        </w:tc>
        <w:tc>
          <w:tcPr>
            <w:tcW w:type="dxa" w:w="1872"/>
            <w:shd w:val="clear" w:color="auto" w:fill="D9E2F3"/>
          </w:tcPr>
          <w:p>
            <w:pPr>
              <w:spacing w:after="40" w:before="40"/>
              <w:jc w:val="left"/>
            </w:pPr>
            <w:r/>
            <w:r>
              <w:rPr>
                <w:rFonts w:ascii="Calibri" w:hAnsi="Calibri"/>
                <w:b/>
                <w:color w:val="1A2233"/>
                <w:sz w:val="18"/>
              </w:rPr>
              <w:t>Name</w:t>
            </w:r>
          </w:p>
        </w:tc>
        <w:tc>
          <w:tcPr>
            <w:tcW w:type="dxa" w:w="1440"/>
            <w:shd w:val="clear" w:color="auto" w:fill="D9E2F3"/>
          </w:tcPr>
          <w:p>
            <w:pPr>
              <w:spacing w:after="40" w:before="40"/>
              <w:jc w:val="left"/>
            </w:pPr>
            <w:r/>
            <w:r>
              <w:rPr>
                <w:rFonts w:ascii="Calibri" w:hAnsi="Calibri"/>
                <w:b/>
                <w:color w:val="1A2233"/>
                <w:sz w:val="18"/>
              </w:rPr>
              <w:t>Decision</w:t>
            </w:r>
          </w:p>
        </w:tc>
        <w:tc>
          <w:tcPr>
            <w:tcW w:type="dxa" w:w="1728"/>
            <w:shd w:val="clear" w:color="auto" w:fill="D9E2F3"/>
          </w:tcPr>
          <w:p>
            <w:pPr>
              <w:spacing w:after="40" w:before="40"/>
              <w:jc w:val="left"/>
            </w:pPr>
            <w:r/>
            <w:r>
              <w:rPr>
                <w:rFonts w:ascii="Calibri" w:hAnsi="Calibri"/>
                <w:b/>
                <w:color w:val="1A2233"/>
                <w:sz w:val="18"/>
              </w:rPr>
              <w:t>Signature</w:t>
            </w:r>
          </w:p>
        </w:tc>
        <w:tc>
          <w:tcPr>
            <w:tcW w:type="dxa" w:w="1296"/>
            <w:shd w:val="clear" w:color="auto" w:fill="D9E2F3"/>
          </w:tcPr>
          <w:p>
            <w:pPr>
              <w:spacing w:after="40" w:before="40"/>
              <w:jc w:val="left"/>
            </w:pPr>
            <w:r/>
            <w:r>
              <w:rPr>
                <w:rFonts w:ascii="Calibri" w:hAnsi="Calibri"/>
                <w:b/>
                <w:color w:val="1A2233"/>
                <w:sz w:val="18"/>
              </w:rPr>
              <w:t>Date</w:t>
            </w:r>
          </w:p>
        </w:tc>
      </w:tr>
      <w:tr>
        <w:tc>
          <w:tcPr>
            <w:tcW w:type="dxa" w:w="3168"/>
          </w:tcPr>
          <w:p>
            <w:pPr>
              <w:spacing w:after="40" w:before="40"/>
              <w:jc w:val="left"/>
            </w:pPr>
            <w:r/>
            <w:r>
              <w:rPr>
                <w:rFonts w:ascii="Calibri" w:hAnsi="Calibri"/>
                <w:b w:val="0"/>
                <w:color w:val="1A2233"/>
                <w:sz w:val="17"/>
              </w:rPr>
              <w:t>Requestor / business owner</w:t>
            </w:r>
          </w:p>
        </w:tc>
        <w:tc>
          <w:tcPr>
            <w:tcW w:type="dxa" w:w="1872"/>
          </w:tcPr>
          <w:p>
            <w:pPr>
              <w:spacing w:after="40" w:before="40"/>
              <w:jc w:val="left"/>
            </w:pPr>
            <w:r/>
            <w:r>
              <w:rPr>
                <w:rFonts w:ascii="Calibri" w:hAnsi="Calibri"/>
                <w:b w:val="0"/>
                <w:color w:val="1A2233"/>
                <w:sz w:val="17"/>
              </w:rPr>
            </w:r>
          </w:p>
        </w:tc>
        <w:tc>
          <w:tcPr>
            <w:tcW w:type="dxa" w:w="1440"/>
          </w:tcPr>
          <w:p>
            <w:pPr>
              <w:spacing w:after="40" w:before="40"/>
              <w:jc w:val="left"/>
            </w:pPr>
            <w:r/>
            <w:r>
              <w:rPr>
                <w:rFonts w:ascii="Calibri" w:hAnsi="Calibri"/>
                <w:b w:val="0"/>
                <w:color w:val="1A2233"/>
                <w:sz w:val="17"/>
              </w:rPr>
            </w:r>
          </w:p>
        </w:tc>
        <w:tc>
          <w:tcPr>
            <w:tcW w:type="dxa" w:w="1728"/>
          </w:tcPr>
          <w:p>
            <w:pPr>
              <w:spacing w:after="40" w:before="40"/>
              <w:jc w:val="left"/>
            </w:pPr>
            <w:r/>
            <w:r>
              <w:rPr>
                <w:rFonts w:ascii="Calibri" w:hAnsi="Calibri"/>
                <w:b w:val="0"/>
                <w:color w:val="1A2233"/>
                <w:sz w:val="17"/>
              </w:rPr>
            </w:r>
          </w:p>
        </w:tc>
        <w:tc>
          <w:tcPr>
            <w:tcW w:type="dxa" w:w="1296"/>
          </w:tcPr>
          <w:p>
            <w:pPr>
              <w:spacing w:after="40" w:before="40"/>
              <w:jc w:val="left"/>
            </w:pPr>
            <w:r/>
            <w:r>
              <w:rPr>
                <w:rFonts w:ascii="Calibri" w:hAnsi="Calibri"/>
                <w:b w:val="0"/>
                <w:color w:val="1A2233"/>
                <w:sz w:val="17"/>
              </w:rPr>
            </w:r>
          </w:p>
        </w:tc>
      </w:tr>
      <w:tr>
        <w:tc>
          <w:tcPr>
            <w:tcW w:type="dxa" w:w="3168"/>
            <w:shd w:val="clear" w:color="auto" w:fill="F2F5FB"/>
          </w:tcPr>
          <w:p>
            <w:pPr>
              <w:spacing w:after="40" w:before="40"/>
              <w:jc w:val="left"/>
            </w:pPr>
            <w:r/>
            <w:r>
              <w:rPr>
                <w:rFonts w:ascii="Calibri" w:hAnsi="Calibri"/>
                <w:b w:val="0"/>
                <w:color w:val="1A2233"/>
                <w:sz w:val="17"/>
              </w:rPr>
              <w:t>IT Architectural Review Board</w:t>
            </w:r>
          </w:p>
        </w:tc>
        <w:tc>
          <w:tcPr>
            <w:tcW w:type="dxa" w:w="1872"/>
            <w:shd w:val="clear" w:color="auto" w:fill="F2F5FB"/>
          </w:tcPr>
          <w:p>
            <w:pPr>
              <w:spacing w:after="40" w:before="40"/>
              <w:jc w:val="left"/>
            </w:pPr>
            <w:r/>
            <w:r>
              <w:rPr>
                <w:rFonts w:ascii="Calibri" w:hAnsi="Calibri"/>
                <w:b w:val="0"/>
                <w:color w:val="1A2233"/>
                <w:sz w:val="17"/>
              </w:rPr>
            </w:r>
          </w:p>
        </w:tc>
        <w:tc>
          <w:tcPr>
            <w:tcW w:type="dxa" w:w="1440"/>
            <w:shd w:val="clear" w:color="auto" w:fill="F2F5FB"/>
          </w:tcPr>
          <w:p>
            <w:pPr>
              <w:spacing w:after="40" w:before="40"/>
              <w:jc w:val="left"/>
            </w:pPr>
            <w:r/>
            <w:r>
              <w:rPr>
                <w:rFonts w:ascii="Calibri" w:hAnsi="Calibri"/>
                <w:b w:val="0"/>
                <w:color w:val="1A2233"/>
                <w:sz w:val="17"/>
              </w:rPr>
            </w:r>
          </w:p>
        </w:tc>
        <w:tc>
          <w:tcPr>
            <w:tcW w:type="dxa" w:w="1728"/>
            <w:shd w:val="clear" w:color="auto" w:fill="F2F5FB"/>
          </w:tcPr>
          <w:p>
            <w:pPr>
              <w:spacing w:after="40" w:before="40"/>
              <w:jc w:val="left"/>
            </w:pPr>
            <w:r/>
            <w:r>
              <w:rPr>
                <w:rFonts w:ascii="Calibri" w:hAnsi="Calibri"/>
                <w:b w:val="0"/>
                <w:color w:val="1A2233"/>
                <w:sz w:val="17"/>
              </w:rPr>
            </w:r>
          </w:p>
        </w:tc>
        <w:tc>
          <w:tcPr>
            <w:tcW w:type="dxa" w:w="1296"/>
            <w:shd w:val="clear" w:color="auto" w:fill="F2F5FB"/>
          </w:tcPr>
          <w:p>
            <w:pPr>
              <w:spacing w:after="40" w:before="40"/>
              <w:jc w:val="left"/>
            </w:pPr>
            <w:r/>
            <w:r>
              <w:rPr>
                <w:rFonts w:ascii="Calibri" w:hAnsi="Calibri"/>
                <w:b w:val="0"/>
                <w:color w:val="1A2233"/>
                <w:sz w:val="17"/>
              </w:rPr>
            </w:r>
          </w:p>
        </w:tc>
      </w:tr>
      <w:tr>
        <w:tc>
          <w:tcPr>
            <w:tcW w:type="dxa" w:w="3168"/>
          </w:tcPr>
          <w:p>
            <w:pPr>
              <w:spacing w:after="40" w:before="40"/>
              <w:jc w:val="left"/>
            </w:pPr>
            <w:r/>
            <w:r>
              <w:rPr>
                <w:rFonts w:ascii="Calibri" w:hAnsi="Calibri"/>
                <w:b w:val="0"/>
                <w:color w:val="1A2233"/>
                <w:sz w:val="17"/>
              </w:rPr>
              <w:t>IT Security</w:t>
            </w:r>
          </w:p>
        </w:tc>
        <w:tc>
          <w:tcPr>
            <w:tcW w:type="dxa" w:w="1872"/>
          </w:tcPr>
          <w:p>
            <w:pPr>
              <w:spacing w:after="40" w:before="40"/>
              <w:jc w:val="left"/>
            </w:pPr>
            <w:r/>
            <w:r>
              <w:rPr>
                <w:rFonts w:ascii="Calibri" w:hAnsi="Calibri"/>
                <w:b w:val="0"/>
                <w:color w:val="1A2233"/>
                <w:sz w:val="17"/>
              </w:rPr>
            </w:r>
          </w:p>
        </w:tc>
        <w:tc>
          <w:tcPr>
            <w:tcW w:type="dxa" w:w="1440"/>
          </w:tcPr>
          <w:p>
            <w:pPr>
              <w:spacing w:after="40" w:before="40"/>
              <w:jc w:val="left"/>
            </w:pPr>
            <w:r/>
            <w:r>
              <w:rPr>
                <w:rFonts w:ascii="Calibri" w:hAnsi="Calibri"/>
                <w:b w:val="0"/>
                <w:color w:val="1A2233"/>
                <w:sz w:val="17"/>
              </w:rPr>
            </w:r>
          </w:p>
        </w:tc>
        <w:tc>
          <w:tcPr>
            <w:tcW w:type="dxa" w:w="1728"/>
          </w:tcPr>
          <w:p>
            <w:pPr>
              <w:spacing w:after="40" w:before="40"/>
              <w:jc w:val="left"/>
            </w:pPr>
            <w:r/>
            <w:r>
              <w:rPr>
                <w:rFonts w:ascii="Calibri" w:hAnsi="Calibri"/>
                <w:b w:val="0"/>
                <w:color w:val="1A2233"/>
                <w:sz w:val="17"/>
              </w:rPr>
            </w:r>
          </w:p>
        </w:tc>
        <w:tc>
          <w:tcPr>
            <w:tcW w:type="dxa" w:w="1296"/>
          </w:tcPr>
          <w:p>
            <w:pPr>
              <w:spacing w:after="40" w:before="40"/>
              <w:jc w:val="left"/>
            </w:pPr>
            <w:r/>
            <w:r>
              <w:rPr>
                <w:rFonts w:ascii="Calibri" w:hAnsi="Calibri"/>
                <w:b w:val="0"/>
                <w:color w:val="1A2233"/>
                <w:sz w:val="17"/>
              </w:rPr>
            </w:r>
          </w:p>
        </w:tc>
      </w:tr>
      <w:tr>
        <w:tc>
          <w:tcPr>
            <w:tcW w:type="dxa" w:w="3168"/>
            <w:shd w:val="clear" w:color="auto" w:fill="F2F5FB"/>
          </w:tcPr>
          <w:p>
            <w:pPr>
              <w:spacing w:after="40" w:before="40"/>
              <w:jc w:val="left"/>
            </w:pPr>
            <w:r/>
            <w:r>
              <w:rPr>
                <w:rFonts w:ascii="Calibri" w:hAnsi="Calibri"/>
                <w:b w:val="0"/>
                <w:color w:val="1A2233"/>
                <w:sz w:val="17"/>
              </w:rPr>
              <w:t>Opco ITD</w:t>
            </w:r>
          </w:p>
        </w:tc>
        <w:tc>
          <w:tcPr>
            <w:tcW w:type="dxa" w:w="1872"/>
            <w:shd w:val="clear" w:color="auto" w:fill="F2F5FB"/>
          </w:tcPr>
          <w:p>
            <w:pPr>
              <w:spacing w:after="40" w:before="40"/>
              <w:jc w:val="left"/>
            </w:pPr>
            <w:r/>
            <w:r>
              <w:rPr>
                <w:rFonts w:ascii="Calibri" w:hAnsi="Calibri"/>
                <w:b w:val="0"/>
                <w:color w:val="1A2233"/>
                <w:sz w:val="17"/>
              </w:rPr>
            </w:r>
          </w:p>
        </w:tc>
        <w:tc>
          <w:tcPr>
            <w:tcW w:type="dxa" w:w="1440"/>
            <w:shd w:val="clear" w:color="auto" w:fill="F2F5FB"/>
          </w:tcPr>
          <w:p>
            <w:pPr>
              <w:spacing w:after="40" w:before="40"/>
              <w:jc w:val="left"/>
            </w:pPr>
            <w:r/>
            <w:r>
              <w:rPr>
                <w:rFonts w:ascii="Calibri" w:hAnsi="Calibri"/>
                <w:b w:val="0"/>
                <w:color w:val="1A2233"/>
                <w:sz w:val="17"/>
              </w:rPr>
            </w:r>
          </w:p>
        </w:tc>
        <w:tc>
          <w:tcPr>
            <w:tcW w:type="dxa" w:w="1728"/>
            <w:shd w:val="clear" w:color="auto" w:fill="F2F5FB"/>
          </w:tcPr>
          <w:p>
            <w:pPr>
              <w:spacing w:after="40" w:before="40"/>
              <w:jc w:val="left"/>
            </w:pPr>
            <w:r/>
            <w:r>
              <w:rPr>
                <w:rFonts w:ascii="Calibri" w:hAnsi="Calibri"/>
                <w:b w:val="0"/>
                <w:color w:val="1A2233"/>
                <w:sz w:val="17"/>
              </w:rPr>
            </w:r>
          </w:p>
        </w:tc>
        <w:tc>
          <w:tcPr>
            <w:tcW w:type="dxa" w:w="1296"/>
            <w:shd w:val="clear" w:color="auto" w:fill="F2F5FB"/>
          </w:tcPr>
          <w:p>
            <w:pPr>
              <w:spacing w:after="40" w:before="40"/>
              <w:jc w:val="left"/>
            </w:pPr>
            <w:r/>
            <w:r>
              <w:rPr>
                <w:rFonts w:ascii="Calibri" w:hAnsi="Calibri"/>
                <w:b w:val="0"/>
                <w:color w:val="1A2233"/>
                <w:sz w:val="17"/>
              </w:rPr>
            </w:r>
          </w:p>
        </w:tc>
      </w:tr>
      <w:tr>
        <w:tc>
          <w:tcPr>
            <w:tcW w:type="dxa" w:w="3168"/>
          </w:tcPr>
          <w:p>
            <w:pPr>
              <w:spacing w:after="40" w:before="40"/>
              <w:jc w:val="left"/>
            </w:pPr>
            <w:r/>
            <w:r>
              <w:rPr>
                <w:rFonts w:ascii="Calibri" w:hAnsi="Calibri"/>
                <w:b w:val="0"/>
                <w:color w:val="1A2233"/>
                <w:sz w:val="17"/>
              </w:rPr>
              <w:t>CIO</w:t>
            </w:r>
          </w:p>
        </w:tc>
        <w:tc>
          <w:tcPr>
            <w:tcW w:type="dxa" w:w="1872"/>
          </w:tcPr>
          <w:p>
            <w:pPr>
              <w:spacing w:after="40" w:before="40"/>
              <w:jc w:val="left"/>
            </w:pPr>
            <w:r/>
            <w:r>
              <w:rPr>
                <w:rFonts w:ascii="Calibri" w:hAnsi="Calibri"/>
                <w:b w:val="0"/>
                <w:color w:val="1A2233"/>
                <w:sz w:val="17"/>
              </w:rPr>
            </w:r>
          </w:p>
        </w:tc>
        <w:tc>
          <w:tcPr>
            <w:tcW w:type="dxa" w:w="1440"/>
          </w:tcPr>
          <w:p>
            <w:pPr>
              <w:spacing w:after="40" w:before="40"/>
              <w:jc w:val="left"/>
            </w:pPr>
            <w:r/>
            <w:r>
              <w:rPr>
                <w:rFonts w:ascii="Calibri" w:hAnsi="Calibri"/>
                <w:b w:val="0"/>
                <w:color w:val="1A2233"/>
                <w:sz w:val="17"/>
              </w:rPr>
            </w:r>
          </w:p>
        </w:tc>
        <w:tc>
          <w:tcPr>
            <w:tcW w:type="dxa" w:w="1728"/>
          </w:tcPr>
          <w:p>
            <w:pPr>
              <w:spacing w:after="40" w:before="40"/>
              <w:jc w:val="left"/>
            </w:pPr>
            <w:r/>
            <w:r>
              <w:rPr>
                <w:rFonts w:ascii="Calibri" w:hAnsi="Calibri"/>
                <w:b w:val="0"/>
                <w:color w:val="1A2233"/>
                <w:sz w:val="17"/>
              </w:rPr>
            </w:r>
          </w:p>
        </w:tc>
        <w:tc>
          <w:tcPr>
            <w:tcW w:type="dxa" w:w="1296"/>
          </w:tcPr>
          <w:p>
            <w:pPr>
              <w:spacing w:after="40" w:before="40"/>
              <w:jc w:val="left"/>
            </w:pPr>
            <w:r/>
            <w:r>
              <w:rPr>
                <w:rFonts w:ascii="Calibri" w:hAnsi="Calibri"/>
                <w:b w:val="0"/>
                <w:color w:val="1A2233"/>
                <w:sz w:val="17"/>
              </w:rPr>
            </w:r>
          </w:p>
        </w:tc>
      </w:tr>
      <w:tr>
        <w:tc>
          <w:tcPr>
            <w:tcW w:type="dxa" w:w="3168"/>
            <w:shd w:val="clear" w:color="auto" w:fill="F2F5FB"/>
          </w:tcPr>
          <w:p>
            <w:pPr>
              <w:spacing w:after="40" w:before="40"/>
              <w:jc w:val="left"/>
            </w:pPr>
            <w:r/>
            <w:r>
              <w:rPr>
                <w:rFonts w:ascii="Calibri" w:hAnsi="Calibri"/>
                <w:b w:val="0"/>
                <w:color w:val="1A2233"/>
                <w:sz w:val="17"/>
              </w:rPr>
              <w:t>GCIO</w:t>
            </w:r>
          </w:p>
        </w:tc>
        <w:tc>
          <w:tcPr>
            <w:tcW w:type="dxa" w:w="1872"/>
            <w:shd w:val="clear" w:color="auto" w:fill="F2F5FB"/>
          </w:tcPr>
          <w:p>
            <w:pPr>
              <w:spacing w:after="40" w:before="40"/>
              <w:jc w:val="left"/>
            </w:pPr>
            <w:r/>
            <w:r>
              <w:rPr>
                <w:rFonts w:ascii="Calibri" w:hAnsi="Calibri"/>
                <w:b w:val="0"/>
                <w:color w:val="1A2233"/>
                <w:sz w:val="17"/>
              </w:rPr>
            </w:r>
          </w:p>
        </w:tc>
        <w:tc>
          <w:tcPr>
            <w:tcW w:type="dxa" w:w="1440"/>
            <w:shd w:val="clear" w:color="auto" w:fill="F2F5FB"/>
          </w:tcPr>
          <w:p>
            <w:pPr>
              <w:spacing w:after="40" w:before="40"/>
              <w:jc w:val="left"/>
            </w:pPr>
            <w:r/>
            <w:r>
              <w:rPr>
                <w:rFonts w:ascii="Calibri" w:hAnsi="Calibri"/>
                <w:b w:val="0"/>
                <w:color w:val="1A2233"/>
                <w:sz w:val="17"/>
              </w:rPr>
            </w:r>
          </w:p>
        </w:tc>
        <w:tc>
          <w:tcPr>
            <w:tcW w:type="dxa" w:w="1728"/>
            <w:shd w:val="clear" w:color="auto" w:fill="F2F5FB"/>
          </w:tcPr>
          <w:p>
            <w:pPr>
              <w:spacing w:after="40" w:before="40"/>
              <w:jc w:val="left"/>
            </w:pPr>
            <w:r/>
            <w:r>
              <w:rPr>
                <w:rFonts w:ascii="Calibri" w:hAnsi="Calibri"/>
                <w:b w:val="0"/>
                <w:color w:val="1A2233"/>
                <w:sz w:val="17"/>
              </w:rPr>
            </w:r>
          </w:p>
        </w:tc>
        <w:tc>
          <w:tcPr>
            <w:tcW w:type="dxa" w:w="1296"/>
            <w:shd w:val="clear" w:color="auto" w:fill="F2F5FB"/>
          </w:tcPr>
          <w:p>
            <w:pPr>
              <w:spacing w:after="40" w:before="40"/>
              <w:jc w:val="left"/>
            </w:pPr>
            <w:r/>
            <w:r>
              <w:rPr>
                <w:rFonts w:ascii="Calibri" w:hAnsi="Calibri"/>
                <w:b w:val="0"/>
                <w:color w:val="1A2233"/>
                <w:sz w:val="17"/>
              </w:rPr>
            </w:r>
          </w:p>
        </w:tc>
      </w:tr>
      <w:tr>
        <w:tc>
          <w:tcPr>
            <w:tcW w:type="dxa" w:w="3168"/>
          </w:tcPr>
          <w:p>
            <w:pPr>
              <w:spacing w:after="40" w:before="40"/>
              <w:jc w:val="left"/>
            </w:pPr>
            <w:r/>
            <w:r>
              <w:rPr>
                <w:rFonts w:ascii="Calibri" w:hAnsi="Calibri"/>
                <w:b w:val="0"/>
                <w:color w:val="1A2233"/>
                <w:sz w:val="17"/>
              </w:rPr>
              <w:t>GCISO</w:t>
            </w:r>
          </w:p>
        </w:tc>
        <w:tc>
          <w:tcPr>
            <w:tcW w:type="dxa" w:w="1872"/>
          </w:tcPr>
          <w:p>
            <w:pPr>
              <w:spacing w:after="40" w:before="40"/>
              <w:jc w:val="left"/>
            </w:pPr>
            <w:r/>
            <w:r>
              <w:rPr>
                <w:rFonts w:ascii="Calibri" w:hAnsi="Calibri"/>
                <w:b w:val="0"/>
                <w:color w:val="1A2233"/>
                <w:sz w:val="17"/>
              </w:rPr>
            </w:r>
          </w:p>
        </w:tc>
        <w:tc>
          <w:tcPr>
            <w:tcW w:type="dxa" w:w="1440"/>
          </w:tcPr>
          <w:p>
            <w:pPr>
              <w:spacing w:after="40" w:before="40"/>
              <w:jc w:val="left"/>
            </w:pPr>
            <w:r/>
            <w:r>
              <w:rPr>
                <w:rFonts w:ascii="Calibri" w:hAnsi="Calibri"/>
                <w:b w:val="0"/>
                <w:color w:val="1A2233"/>
                <w:sz w:val="17"/>
              </w:rPr>
            </w:r>
          </w:p>
        </w:tc>
        <w:tc>
          <w:tcPr>
            <w:tcW w:type="dxa" w:w="1728"/>
          </w:tcPr>
          <w:p>
            <w:pPr>
              <w:spacing w:after="40" w:before="40"/>
              <w:jc w:val="left"/>
            </w:pPr>
            <w:r/>
            <w:r>
              <w:rPr>
                <w:rFonts w:ascii="Calibri" w:hAnsi="Calibri"/>
                <w:b w:val="0"/>
                <w:color w:val="1A2233"/>
                <w:sz w:val="17"/>
              </w:rPr>
            </w:r>
          </w:p>
        </w:tc>
        <w:tc>
          <w:tcPr>
            <w:tcW w:type="dxa" w:w="1296"/>
          </w:tcPr>
          <w:p>
            <w:pPr>
              <w:spacing w:after="40" w:before="40"/>
              <w:jc w:val="left"/>
            </w:pPr>
            <w:r/>
            <w:r>
              <w:rPr>
                <w:rFonts w:ascii="Calibri" w:hAnsi="Calibri"/>
                <w:b w:val="0"/>
                <w:color w:val="1A2233"/>
                <w:sz w:val="17"/>
              </w:rPr>
            </w:r>
          </w:p>
        </w:tc>
      </w:tr>
    </w:tbl>
    <w:p>
      <w:pPr>
        <w:spacing w:after="40"/>
      </w:pPr>
    </w:p>
    <w:p>
      <w:pPr>
        <w:pStyle w:val="Heading1"/>
      </w:pPr>
      <w:r>
        <w:t>Appendix A. Abbreviations</w:t>
      </w:r>
    </w:p>
    <w:tbl>
      <w:tblPr>
        <w:tblStyle w:val="TableGrid"/>
        <w:tblW w:type="auto" w:w="0"/>
        <w:jc w:val="center"/>
        <w:tblLayout w:type="fixed"/>
        <w:tblLook w:firstColumn="1" w:firstRow="1" w:lastColumn="0" w:lastRow="0" w:noHBand="0" w:noVBand="1" w:val="04A0"/>
      </w:tblPr>
      <w:tblGrid>
        <w:gridCol w:w="4658"/>
        <w:gridCol w:w="4658"/>
      </w:tblGrid>
      <w:tr>
        <w:tc>
          <w:tcPr>
            <w:tcW w:type="dxa" w:w="2592"/>
            <w:shd w:val="clear" w:color="auto" w:fill="D9E2F3"/>
          </w:tcPr>
          <w:p>
            <w:pPr>
              <w:spacing w:after="40" w:before="40"/>
              <w:jc w:val="left"/>
            </w:pPr>
            <w:r/>
            <w:r>
              <w:rPr>
                <w:rFonts w:ascii="Calibri" w:hAnsi="Calibri"/>
                <w:b/>
                <w:color w:val="1A2233"/>
                <w:sz w:val="18"/>
              </w:rPr>
              <w:t>Abbreviation</w:t>
            </w:r>
          </w:p>
        </w:tc>
        <w:tc>
          <w:tcPr>
            <w:tcW w:type="dxa" w:w="6480"/>
            <w:shd w:val="clear" w:color="auto" w:fill="D9E2F3"/>
          </w:tcPr>
          <w:p>
            <w:pPr>
              <w:spacing w:after="40" w:before="40"/>
              <w:jc w:val="left"/>
            </w:pPr>
            <w:r/>
            <w:r>
              <w:rPr>
                <w:rFonts w:ascii="Calibri" w:hAnsi="Calibri"/>
                <w:b/>
                <w:color w:val="1A2233"/>
                <w:sz w:val="18"/>
              </w:rPr>
              <w:t>Meaning</w:t>
            </w:r>
          </w:p>
        </w:tc>
      </w:tr>
      <w:tr>
        <w:tc>
          <w:tcPr>
            <w:tcW w:type="dxa" w:w="2592"/>
          </w:tcPr>
          <w:p>
            <w:pPr>
              <w:spacing w:after="40" w:before="40"/>
              <w:jc w:val="left"/>
            </w:pPr>
            <w:r/>
            <w:r>
              <w:rPr>
                <w:rFonts w:ascii="Calibri" w:hAnsi="Calibri"/>
                <w:b w:val="0"/>
                <w:color w:val="1A2233"/>
                <w:sz w:val="18"/>
              </w:rPr>
              <w:t>AAISP</w:t>
            </w:r>
          </w:p>
        </w:tc>
        <w:tc>
          <w:tcPr>
            <w:tcW w:type="dxa" w:w="6480"/>
          </w:tcPr>
          <w:p>
            <w:pPr>
              <w:spacing w:after="40" w:before="40"/>
              <w:jc w:val="left"/>
            </w:pPr>
            <w:r/>
            <w:r>
              <w:rPr>
                <w:rFonts w:ascii="Calibri" w:hAnsi="Calibri"/>
                <w:b w:val="0"/>
                <w:color w:val="1A2233"/>
                <w:sz w:val="18"/>
              </w:rPr>
              <w:t>Airtel Africa Information Security Policy</w:t>
            </w:r>
          </w:p>
        </w:tc>
      </w:tr>
      <w:tr>
        <w:tc>
          <w:tcPr>
            <w:tcW w:type="dxa" w:w="2592"/>
            <w:shd w:val="clear" w:color="auto" w:fill="F2F5FB"/>
          </w:tcPr>
          <w:p>
            <w:pPr>
              <w:spacing w:after="40" w:before="40"/>
              <w:jc w:val="left"/>
            </w:pPr>
            <w:r/>
            <w:r>
              <w:rPr>
                <w:rFonts w:ascii="Calibri" w:hAnsi="Calibri"/>
                <w:b w:val="0"/>
                <w:color w:val="1A2233"/>
                <w:sz w:val="18"/>
              </w:rPr>
              <w:t>API</w:t>
            </w:r>
          </w:p>
        </w:tc>
        <w:tc>
          <w:tcPr>
            <w:tcW w:type="dxa" w:w="6480"/>
            <w:shd w:val="clear" w:color="auto" w:fill="F2F5FB"/>
          </w:tcPr>
          <w:p>
            <w:pPr>
              <w:spacing w:after="40" w:before="40"/>
              <w:jc w:val="left"/>
            </w:pPr>
            <w:r/>
            <w:r>
              <w:rPr>
                <w:rFonts w:ascii="Calibri" w:hAnsi="Calibri"/>
                <w:b w:val="0"/>
                <w:color w:val="1A2233"/>
                <w:sz w:val="18"/>
              </w:rPr>
              <w:t>Application Programming Interface</w:t>
            </w:r>
          </w:p>
        </w:tc>
      </w:tr>
      <w:tr>
        <w:tc>
          <w:tcPr>
            <w:tcW w:type="dxa" w:w="2592"/>
          </w:tcPr>
          <w:p>
            <w:pPr>
              <w:spacing w:after="40" w:before="40"/>
              <w:jc w:val="left"/>
            </w:pPr>
            <w:r/>
            <w:r>
              <w:rPr>
                <w:rFonts w:ascii="Calibri" w:hAnsi="Calibri"/>
                <w:b w:val="0"/>
                <w:color w:val="1A2233"/>
                <w:sz w:val="18"/>
              </w:rPr>
              <w:t>CDN</w:t>
            </w:r>
          </w:p>
        </w:tc>
        <w:tc>
          <w:tcPr>
            <w:tcW w:type="dxa" w:w="6480"/>
          </w:tcPr>
          <w:p>
            <w:pPr>
              <w:spacing w:after="40" w:before="40"/>
              <w:jc w:val="left"/>
            </w:pPr>
            <w:r/>
            <w:r>
              <w:rPr>
                <w:rFonts w:ascii="Calibri" w:hAnsi="Calibri"/>
                <w:b w:val="0"/>
                <w:color w:val="1A2233"/>
                <w:sz w:val="18"/>
              </w:rPr>
              <w:t>Content Delivery Network</w:t>
            </w:r>
          </w:p>
        </w:tc>
      </w:tr>
      <w:tr>
        <w:tc>
          <w:tcPr>
            <w:tcW w:type="dxa" w:w="2592"/>
            <w:shd w:val="clear" w:color="auto" w:fill="F2F5FB"/>
          </w:tcPr>
          <w:p>
            <w:pPr>
              <w:spacing w:after="40" w:before="40"/>
              <w:jc w:val="left"/>
            </w:pPr>
            <w:r/>
            <w:r>
              <w:rPr>
                <w:rFonts w:ascii="Calibri" w:hAnsi="Calibri"/>
                <w:b w:val="0"/>
                <w:color w:val="1A2233"/>
                <w:sz w:val="18"/>
              </w:rPr>
              <w:t>CIO / GCIO / GCISO</w:t>
            </w:r>
          </w:p>
        </w:tc>
        <w:tc>
          <w:tcPr>
            <w:tcW w:type="dxa" w:w="6480"/>
            <w:shd w:val="clear" w:color="auto" w:fill="F2F5FB"/>
          </w:tcPr>
          <w:p>
            <w:pPr>
              <w:spacing w:after="40" w:before="40"/>
              <w:jc w:val="left"/>
            </w:pPr>
            <w:r/>
            <w:r>
              <w:rPr>
                <w:rFonts w:ascii="Calibri" w:hAnsi="Calibri"/>
                <w:b w:val="0"/>
                <w:color w:val="1A2233"/>
                <w:sz w:val="18"/>
              </w:rPr>
              <w:t>Chief Information Officer / Group CIO / Group Chief Information Security Officer</w:t>
            </w:r>
          </w:p>
        </w:tc>
      </w:tr>
      <w:tr>
        <w:tc>
          <w:tcPr>
            <w:tcW w:type="dxa" w:w="2592"/>
          </w:tcPr>
          <w:p>
            <w:pPr>
              <w:spacing w:after="40" w:before="40"/>
              <w:jc w:val="left"/>
            </w:pPr>
            <w:r/>
            <w:r>
              <w:rPr>
                <w:rFonts w:ascii="Calibri" w:hAnsi="Calibri"/>
                <w:b w:val="0"/>
                <w:color w:val="1A2233"/>
                <w:sz w:val="18"/>
              </w:rPr>
              <w:t>COTS</w:t>
            </w:r>
          </w:p>
        </w:tc>
        <w:tc>
          <w:tcPr>
            <w:tcW w:type="dxa" w:w="6480"/>
          </w:tcPr>
          <w:p>
            <w:pPr>
              <w:spacing w:after="40" w:before="40"/>
              <w:jc w:val="left"/>
            </w:pPr>
            <w:r/>
            <w:r>
              <w:rPr>
                <w:rFonts w:ascii="Calibri" w:hAnsi="Calibri"/>
                <w:b w:val="0"/>
                <w:color w:val="1A2233"/>
                <w:sz w:val="18"/>
              </w:rPr>
              <w:t>Commercial Off The Shelf</w:t>
            </w:r>
          </w:p>
        </w:tc>
      </w:tr>
      <w:tr>
        <w:tc>
          <w:tcPr>
            <w:tcW w:type="dxa" w:w="2592"/>
            <w:shd w:val="clear" w:color="auto" w:fill="F2F5FB"/>
          </w:tcPr>
          <w:p>
            <w:pPr>
              <w:spacing w:after="40" w:before="40"/>
              <w:jc w:val="left"/>
            </w:pPr>
            <w:r/>
            <w:r>
              <w:rPr>
                <w:rFonts w:ascii="Calibri" w:hAnsi="Calibri"/>
                <w:b w:val="0"/>
                <w:color w:val="1A2233"/>
                <w:sz w:val="18"/>
              </w:rPr>
              <w:t>DMZ</w:t>
            </w:r>
          </w:p>
        </w:tc>
        <w:tc>
          <w:tcPr>
            <w:tcW w:type="dxa" w:w="6480"/>
            <w:shd w:val="clear" w:color="auto" w:fill="F2F5FB"/>
          </w:tcPr>
          <w:p>
            <w:pPr>
              <w:spacing w:after="40" w:before="40"/>
              <w:jc w:val="left"/>
            </w:pPr>
            <w:r/>
            <w:r>
              <w:rPr>
                <w:rFonts w:ascii="Calibri" w:hAnsi="Calibri"/>
                <w:b w:val="0"/>
                <w:color w:val="1A2233"/>
                <w:sz w:val="18"/>
              </w:rPr>
              <w:t>Demilitarised Zone (perimeter network)</w:t>
            </w:r>
          </w:p>
        </w:tc>
      </w:tr>
      <w:tr>
        <w:tc>
          <w:tcPr>
            <w:tcW w:type="dxa" w:w="2592"/>
          </w:tcPr>
          <w:p>
            <w:pPr>
              <w:spacing w:after="40" w:before="40"/>
              <w:jc w:val="left"/>
            </w:pPr>
            <w:r/>
            <w:r>
              <w:rPr>
                <w:rFonts w:ascii="Calibri" w:hAnsi="Calibri"/>
                <w:b w:val="0"/>
                <w:color w:val="1A2233"/>
                <w:sz w:val="18"/>
              </w:rPr>
              <w:t>DSE</w:t>
            </w:r>
          </w:p>
        </w:tc>
        <w:tc>
          <w:tcPr>
            <w:tcW w:type="dxa" w:w="6480"/>
          </w:tcPr>
          <w:p>
            <w:pPr>
              <w:spacing w:after="40" w:before="40"/>
              <w:jc w:val="left"/>
            </w:pPr>
            <w:r/>
            <w:r>
              <w:rPr>
                <w:rFonts w:ascii="Calibri" w:hAnsi="Calibri"/>
                <w:b w:val="0"/>
                <w:color w:val="1A2233"/>
                <w:sz w:val="18"/>
              </w:rPr>
              <w:t>Direct Sales Executive</w:t>
            </w:r>
          </w:p>
        </w:tc>
      </w:tr>
      <w:tr>
        <w:tc>
          <w:tcPr>
            <w:tcW w:type="dxa" w:w="2592"/>
            <w:shd w:val="clear" w:color="auto" w:fill="F2F5FB"/>
          </w:tcPr>
          <w:p>
            <w:pPr>
              <w:spacing w:after="40" w:before="40"/>
              <w:jc w:val="left"/>
            </w:pPr>
            <w:r/>
            <w:r>
              <w:rPr>
                <w:rFonts w:ascii="Calibri" w:hAnsi="Calibri"/>
                <w:b w:val="0"/>
                <w:color w:val="1A2233"/>
                <w:sz w:val="18"/>
              </w:rPr>
              <w:t>HA</w:t>
            </w:r>
          </w:p>
        </w:tc>
        <w:tc>
          <w:tcPr>
            <w:tcW w:type="dxa" w:w="6480"/>
            <w:shd w:val="clear" w:color="auto" w:fill="F2F5FB"/>
          </w:tcPr>
          <w:p>
            <w:pPr>
              <w:spacing w:after="40" w:before="40"/>
              <w:jc w:val="left"/>
            </w:pPr>
            <w:r/>
            <w:r>
              <w:rPr>
                <w:rFonts w:ascii="Calibri" w:hAnsi="Calibri"/>
                <w:b w:val="0"/>
                <w:color w:val="1A2233"/>
                <w:sz w:val="18"/>
              </w:rPr>
              <w:t>High Availability</w:t>
            </w:r>
          </w:p>
        </w:tc>
      </w:tr>
      <w:tr>
        <w:tc>
          <w:tcPr>
            <w:tcW w:type="dxa" w:w="2592"/>
          </w:tcPr>
          <w:p>
            <w:pPr>
              <w:spacing w:after="40" w:before="40"/>
              <w:jc w:val="left"/>
            </w:pPr>
            <w:r/>
            <w:r>
              <w:rPr>
                <w:rFonts w:ascii="Calibri" w:hAnsi="Calibri"/>
                <w:b w:val="0"/>
                <w:color w:val="1A2233"/>
                <w:sz w:val="18"/>
              </w:rPr>
              <w:t>HBB</w:t>
            </w:r>
          </w:p>
        </w:tc>
        <w:tc>
          <w:tcPr>
            <w:tcW w:type="dxa" w:w="6480"/>
          </w:tcPr>
          <w:p>
            <w:pPr>
              <w:spacing w:after="40" w:before="40"/>
              <w:jc w:val="left"/>
            </w:pPr>
            <w:r/>
            <w:r>
              <w:rPr>
                <w:rFonts w:ascii="Calibri" w:hAnsi="Calibri"/>
                <w:b w:val="0"/>
                <w:color w:val="1A2233"/>
                <w:sz w:val="18"/>
              </w:rPr>
              <w:t>Home Broadband</w:t>
            </w:r>
          </w:p>
        </w:tc>
      </w:tr>
      <w:tr>
        <w:tc>
          <w:tcPr>
            <w:tcW w:type="dxa" w:w="2592"/>
            <w:shd w:val="clear" w:color="auto" w:fill="F2F5FB"/>
          </w:tcPr>
          <w:p>
            <w:pPr>
              <w:spacing w:after="40" w:before="40"/>
              <w:jc w:val="left"/>
            </w:pPr>
            <w:r/>
            <w:r>
              <w:rPr>
                <w:rFonts w:ascii="Calibri" w:hAnsi="Calibri"/>
                <w:b w:val="0"/>
                <w:color w:val="1A2233"/>
                <w:sz w:val="18"/>
              </w:rPr>
              <w:t>IMEI</w:t>
            </w:r>
          </w:p>
        </w:tc>
        <w:tc>
          <w:tcPr>
            <w:tcW w:type="dxa" w:w="6480"/>
            <w:shd w:val="clear" w:color="auto" w:fill="F2F5FB"/>
          </w:tcPr>
          <w:p>
            <w:pPr>
              <w:spacing w:after="40" w:before="40"/>
              <w:jc w:val="left"/>
            </w:pPr>
            <w:r/>
            <w:r>
              <w:rPr>
                <w:rFonts w:ascii="Calibri" w:hAnsi="Calibri"/>
                <w:b w:val="0"/>
                <w:color w:val="1A2233"/>
                <w:sz w:val="18"/>
              </w:rPr>
              <w:t>International Mobile Equipment Identity</w:t>
            </w:r>
          </w:p>
        </w:tc>
      </w:tr>
      <w:tr>
        <w:tc>
          <w:tcPr>
            <w:tcW w:type="dxa" w:w="2592"/>
          </w:tcPr>
          <w:p>
            <w:pPr>
              <w:spacing w:after="40" w:before="40"/>
              <w:jc w:val="left"/>
            </w:pPr>
            <w:r/>
            <w:r>
              <w:rPr>
                <w:rFonts w:ascii="Calibri" w:hAnsi="Calibri"/>
                <w:b w:val="0"/>
                <w:color w:val="1A2233"/>
                <w:sz w:val="18"/>
              </w:rPr>
              <w:t>ODU</w:t>
            </w:r>
          </w:p>
        </w:tc>
        <w:tc>
          <w:tcPr>
            <w:tcW w:type="dxa" w:w="6480"/>
          </w:tcPr>
          <w:p>
            <w:pPr>
              <w:spacing w:after="40" w:before="40"/>
              <w:jc w:val="left"/>
            </w:pPr>
            <w:r/>
            <w:r>
              <w:rPr>
                <w:rFonts w:ascii="Calibri" w:hAnsi="Calibri"/>
                <w:b w:val="0"/>
                <w:color w:val="1A2233"/>
                <w:sz w:val="18"/>
              </w:rPr>
              <w:t>Outdoor Unit (customer premises equipment)</w:t>
            </w:r>
          </w:p>
        </w:tc>
      </w:tr>
      <w:tr>
        <w:tc>
          <w:tcPr>
            <w:tcW w:type="dxa" w:w="2592"/>
            <w:shd w:val="clear" w:color="auto" w:fill="F2F5FB"/>
          </w:tcPr>
          <w:p>
            <w:pPr>
              <w:spacing w:after="40" w:before="40"/>
              <w:jc w:val="left"/>
            </w:pPr>
            <w:r/>
            <w:r>
              <w:rPr>
                <w:rFonts w:ascii="Calibri" w:hAnsi="Calibri"/>
                <w:b w:val="0"/>
                <w:color w:val="1A2233"/>
                <w:sz w:val="18"/>
              </w:rPr>
              <w:t>Opco / ITD</w:t>
            </w:r>
          </w:p>
        </w:tc>
        <w:tc>
          <w:tcPr>
            <w:tcW w:type="dxa" w:w="6480"/>
            <w:shd w:val="clear" w:color="auto" w:fill="F2F5FB"/>
          </w:tcPr>
          <w:p>
            <w:pPr>
              <w:spacing w:after="40" w:before="40"/>
              <w:jc w:val="left"/>
            </w:pPr>
            <w:r/>
            <w:r>
              <w:rPr>
                <w:rFonts w:ascii="Calibri" w:hAnsi="Calibri"/>
                <w:b w:val="0"/>
                <w:color w:val="1A2233"/>
                <w:sz w:val="18"/>
              </w:rPr>
              <w:t>Operating Company / IT Department</w:t>
            </w:r>
          </w:p>
        </w:tc>
      </w:tr>
      <w:tr>
        <w:tc>
          <w:tcPr>
            <w:tcW w:type="dxa" w:w="2592"/>
          </w:tcPr>
          <w:p>
            <w:pPr>
              <w:spacing w:after="40" w:before="40"/>
              <w:jc w:val="left"/>
            </w:pPr>
            <w:r/>
            <w:r>
              <w:rPr>
                <w:rFonts w:ascii="Calibri" w:hAnsi="Calibri"/>
                <w:b w:val="0"/>
                <w:color w:val="1A2233"/>
                <w:sz w:val="18"/>
              </w:rPr>
              <w:t>PII</w:t>
            </w:r>
          </w:p>
        </w:tc>
        <w:tc>
          <w:tcPr>
            <w:tcW w:type="dxa" w:w="6480"/>
          </w:tcPr>
          <w:p>
            <w:pPr>
              <w:spacing w:after="40" w:before="40"/>
              <w:jc w:val="left"/>
            </w:pPr>
            <w:r/>
            <w:r>
              <w:rPr>
                <w:rFonts w:ascii="Calibri" w:hAnsi="Calibri"/>
                <w:b w:val="0"/>
                <w:color w:val="1A2233"/>
                <w:sz w:val="18"/>
              </w:rPr>
              <w:t>Personally Identifiable Information</w:t>
            </w:r>
          </w:p>
        </w:tc>
      </w:tr>
      <w:tr>
        <w:tc>
          <w:tcPr>
            <w:tcW w:type="dxa" w:w="2592"/>
            <w:shd w:val="clear" w:color="auto" w:fill="F2F5FB"/>
          </w:tcPr>
          <w:p>
            <w:pPr>
              <w:spacing w:after="40" w:before="40"/>
              <w:jc w:val="left"/>
            </w:pPr>
            <w:r/>
            <w:r>
              <w:rPr>
                <w:rFonts w:ascii="Calibri" w:hAnsi="Calibri"/>
                <w:b w:val="0"/>
                <w:color w:val="1A2233"/>
                <w:sz w:val="18"/>
              </w:rPr>
              <w:t>PWA</w:t>
            </w:r>
          </w:p>
        </w:tc>
        <w:tc>
          <w:tcPr>
            <w:tcW w:type="dxa" w:w="6480"/>
            <w:shd w:val="clear" w:color="auto" w:fill="F2F5FB"/>
          </w:tcPr>
          <w:p>
            <w:pPr>
              <w:spacing w:after="40" w:before="40"/>
              <w:jc w:val="left"/>
            </w:pPr>
            <w:r/>
            <w:r>
              <w:rPr>
                <w:rFonts w:ascii="Calibri" w:hAnsi="Calibri"/>
                <w:b w:val="0"/>
                <w:color w:val="1A2233"/>
                <w:sz w:val="18"/>
              </w:rPr>
              <w:t>Progressive Web Application</w:t>
            </w:r>
          </w:p>
        </w:tc>
      </w:tr>
      <w:tr>
        <w:tc>
          <w:tcPr>
            <w:tcW w:type="dxa" w:w="2592"/>
          </w:tcPr>
          <w:p>
            <w:pPr>
              <w:spacing w:after="40" w:before="40"/>
              <w:jc w:val="left"/>
            </w:pPr>
            <w:r/>
            <w:r>
              <w:rPr>
                <w:rFonts w:ascii="Calibri" w:hAnsi="Calibri"/>
                <w:b w:val="0"/>
                <w:color w:val="1A2233"/>
                <w:sz w:val="18"/>
              </w:rPr>
              <w:t>RBAC / RLS</w:t>
            </w:r>
          </w:p>
        </w:tc>
        <w:tc>
          <w:tcPr>
            <w:tcW w:type="dxa" w:w="6480"/>
          </w:tcPr>
          <w:p>
            <w:pPr>
              <w:spacing w:after="40" w:before="40"/>
              <w:jc w:val="left"/>
            </w:pPr>
            <w:r/>
            <w:r>
              <w:rPr>
                <w:rFonts w:ascii="Calibri" w:hAnsi="Calibri"/>
                <w:b w:val="0"/>
                <w:color w:val="1A2233"/>
                <w:sz w:val="18"/>
              </w:rPr>
              <w:t>Role Based Access Control / Row Level Security</w:t>
            </w:r>
          </w:p>
        </w:tc>
      </w:tr>
      <w:tr>
        <w:tc>
          <w:tcPr>
            <w:tcW w:type="dxa" w:w="2592"/>
            <w:shd w:val="clear" w:color="auto" w:fill="F2F5FB"/>
          </w:tcPr>
          <w:p>
            <w:pPr>
              <w:spacing w:after="40" w:before="40"/>
              <w:jc w:val="left"/>
            </w:pPr>
            <w:r/>
            <w:r>
              <w:rPr>
                <w:rFonts w:ascii="Calibri" w:hAnsi="Calibri"/>
                <w:b w:val="0"/>
                <w:color w:val="1A2233"/>
                <w:sz w:val="18"/>
              </w:rPr>
              <w:t>SaaS</w:t>
            </w:r>
          </w:p>
        </w:tc>
        <w:tc>
          <w:tcPr>
            <w:tcW w:type="dxa" w:w="6480"/>
            <w:shd w:val="clear" w:color="auto" w:fill="F2F5FB"/>
          </w:tcPr>
          <w:p>
            <w:pPr>
              <w:spacing w:after="40" w:before="40"/>
              <w:jc w:val="left"/>
            </w:pPr>
            <w:r/>
            <w:r>
              <w:rPr>
                <w:rFonts w:ascii="Calibri" w:hAnsi="Calibri"/>
                <w:b w:val="0"/>
                <w:color w:val="1A2233"/>
                <w:sz w:val="18"/>
              </w:rPr>
              <w:t>Software as a Service</w:t>
            </w:r>
          </w:p>
        </w:tc>
      </w:tr>
      <w:tr>
        <w:tc>
          <w:tcPr>
            <w:tcW w:type="dxa" w:w="2592"/>
          </w:tcPr>
          <w:p>
            <w:pPr>
              <w:spacing w:after="40" w:before="40"/>
              <w:jc w:val="left"/>
            </w:pPr>
            <w:r/>
            <w:r>
              <w:rPr>
                <w:rFonts w:ascii="Calibri" w:hAnsi="Calibri"/>
                <w:b w:val="0"/>
                <w:color w:val="1A2233"/>
                <w:sz w:val="18"/>
              </w:rPr>
              <w:t>SSE</w:t>
            </w:r>
          </w:p>
        </w:tc>
        <w:tc>
          <w:tcPr>
            <w:tcW w:type="dxa" w:w="6480"/>
          </w:tcPr>
          <w:p>
            <w:pPr>
              <w:spacing w:after="40" w:before="40"/>
              <w:jc w:val="left"/>
            </w:pPr>
            <w:r/>
            <w:r>
              <w:rPr>
                <w:rFonts w:ascii="Calibri" w:hAnsi="Calibri"/>
                <w:b w:val="0"/>
                <w:color w:val="1A2233"/>
                <w:sz w:val="18"/>
              </w:rPr>
              <w:t>Server Side Encryption</w:t>
            </w:r>
          </w:p>
        </w:tc>
      </w:tr>
      <w:tr>
        <w:tc>
          <w:tcPr>
            <w:tcW w:type="dxa" w:w="2592"/>
            <w:shd w:val="clear" w:color="auto" w:fill="F2F5FB"/>
          </w:tcPr>
          <w:p>
            <w:pPr>
              <w:spacing w:after="40" w:before="40"/>
              <w:jc w:val="left"/>
            </w:pPr>
            <w:r/>
            <w:r>
              <w:rPr>
                <w:rFonts w:ascii="Calibri" w:hAnsi="Calibri"/>
                <w:b w:val="0"/>
                <w:color w:val="1A2233"/>
                <w:sz w:val="18"/>
              </w:rPr>
              <w:t>WAF</w:t>
            </w:r>
          </w:p>
        </w:tc>
        <w:tc>
          <w:tcPr>
            <w:tcW w:type="dxa" w:w="6480"/>
            <w:shd w:val="clear" w:color="auto" w:fill="F2F5FB"/>
          </w:tcPr>
          <w:p>
            <w:pPr>
              <w:spacing w:after="40" w:before="40"/>
              <w:jc w:val="left"/>
            </w:pPr>
            <w:r/>
            <w:r>
              <w:rPr>
                <w:rFonts w:ascii="Calibri" w:hAnsi="Calibri"/>
                <w:b w:val="0"/>
                <w:color w:val="1A2233"/>
                <w:sz w:val="18"/>
              </w:rPr>
              <w:t>Web Application Firewall</w:t>
            </w:r>
          </w:p>
        </w:tc>
      </w:tr>
      <w:tr>
        <w:tc>
          <w:tcPr>
            <w:tcW w:type="dxa" w:w="2592"/>
          </w:tcPr>
          <w:p>
            <w:pPr>
              <w:spacing w:after="40" w:before="40"/>
              <w:jc w:val="left"/>
            </w:pPr>
            <w:r/>
            <w:r>
              <w:rPr>
                <w:rFonts w:ascii="Calibri" w:hAnsi="Calibri"/>
                <w:b w:val="0"/>
                <w:color w:val="1A2233"/>
                <w:sz w:val="18"/>
              </w:rPr>
              <w:t>WAL</w:t>
            </w:r>
          </w:p>
        </w:tc>
        <w:tc>
          <w:tcPr>
            <w:tcW w:type="dxa" w:w="6480"/>
          </w:tcPr>
          <w:p>
            <w:pPr>
              <w:spacing w:after="40" w:before="40"/>
              <w:jc w:val="left"/>
            </w:pPr>
            <w:r/>
            <w:r>
              <w:rPr>
                <w:rFonts w:ascii="Calibri" w:hAnsi="Calibri"/>
                <w:b w:val="0"/>
                <w:color w:val="1A2233"/>
                <w:sz w:val="18"/>
              </w:rPr>
              <w:t>Write Ahead Log (PostgreSQL)</w:t>
            </w:r>
          </w:p>
        </w:tc>
      </w:tr>
    </w:tbl>
    <w:p>
      <w:pPr>
        <w:spacing w:after="40"/>
      </w:pPr>
    </w:p>
    <w:p>
      <w:pPr>
        <w:pStyle w:val="Heading1"/>
      </w:pPr>
      <w:r>
        <w:t>Appendix B. Role Based Access (RBAC) Summary</w:t>
      </w:r>
    </w:p>
    <w:tbl>
      <w:tblPr>
        <w:tblStyle w:val="TableGrid"/>
        <w:tblW w:type="auto" w:w="0"/>
        <w:jc w:val="center"/>
        <w:tblLayout w:type="fixed"/>
        <w:tblLook w:firstColumn="1" w:firstRow="1" w:lastColumn="0" w:lastRow="0" w:noHBand="0" w:noVBand="1" w:val="04A0"/>
      </w:tblPr>
      <w:tblGrid>
        <w:gridCol w:w="4658"/>
        <w:gridCol w:w="4658"/>
      </w:tblGrid>
      <w:tr>
        <w:tc>
          <w:tcPr>
            <w:tcW w:type="dxa" w:w="2160"/>
            <w:shd w:val="clear" w:color="auto" w:fill="D9E2F3"/>
          </w:tcPr>
          <w:p>
            <w:pPr>
              <w:spacing w:after="40" w:before="40"/>
              <w:jc w:val="left"/>
            </w:pPr>
            <w:r/>
            <w:r>
              <w:rPr>
                <w:rFonts w:ascii="Calibri" w:hAnsi="Calibri"/>
                <w:b/>
                <w:color w:val="1A2233"/>
                <w:sz w:val="18"/>
              </w:rPr>
              <w:t>System</w:t>
            </w:r>
          </w:p>
        </w:tc>
        <w:tc>
          <w:tcPr>
            <w:tcW w:type="dxa" w:w="6912"/>
            <w:shd w:val="clear" w:color="auto" w:fill="D9E2F3"/>
          </w:tcPr>
          <w:p>
            <w:pPr>
              <w:spacing w:after="40" w:before="40"/>
              <w:jc w:val="left"/>
            </w:pPr>
            <w:r/>
            <w:r>
              <w:rPr>
                <w:rFonts w:ascii="Calibri" w:hAnsi="Calibri"/>
                <w:b/>
                <w:color w:val="1A2233"/>
                <w:sz w:val="18"/>
              </w:rPr>
              <w:t>Roles</w:t>
            </w:r>
          </w:p>
        </w:tc>
      </w:tr>
      <w:tr>
        <w:tc>
          <w:tcPr>
            <w:tcW w:type="dxa" w:w="2160"/>
          </w:tcPr>
          <w:p>
            <w:pPr>
              <w:spacing w:after="40" w:before="40"/>
              <w:jc w:val="left"/>
            </w:pPr>
            <w:r/>
            <w:r>
              <w:rPr>
                <w:rFonts w:ascii="Calibri" w:hAnsi="Calibri"/>
                <w:b w:val="0"/>
                <w:color w:val="1A2233"/>
                <w:sz w:val="18"/>
              </w:rPr>
              <w:t>Sales</w:t>
            </w:r>
          </w:p>
        </w:tc>
        <w:tc>
          <w:tcPr>
            <w:tcW w:type="dxa" w:w="6912"/>
          </w:tcPr>
          <w:p>
            <w:pPr>
              <w:spacing w:after="40" w:before="40"/>
              <w:jc w:val="left"/>
            </w:pPr>
            <w:r/>
            <w:r>
              <w:rPr>
                <w:rFonts w:ascii="Calibri" w:hAnsi="Calibri"/>
                <w:b w:val="0"/>
                <w:color w:val="1A2233"/>
                <w:sz w:val="18"/>
              </w:rPr>
              <w:t>developer (master), director, admin, hq_staff, zonal_sales_manager, zonal_business_manager, sales_executive, networks_team</w:t>
            </w:r>
          </w:p>
        </w:tc>
      </w:tr>
      <w:tr>
        <w:tc>
          <w:tcPr>
            <w:tcW w:type="dxa" w:w="2160"/>
            <w:shd w:val="clear" w:color="auto" w:fill="F2F5FB"/>
          </w:tcPr>
          <w:p>
            <w:pPr>
              <w:spacing w:after="40" w:before="40"/>
              <w:jc w:val="left"/>
            </w:pPr>
            <w:r/>
            <w:r>
              <w:rPr>
                <w:rFonts w:ascii="Calibri" w:hAnsi="Calibri"/>
                <w:b w:val="0"/>
                <w:color w:val="1A2233"/>
                <w:sz w:val="18"/>
              </w:rPr>
              <w:t>HBB</w:t>
            </w:r>
          </w:p>
        </w:tc>
        <w:tc>
          <w:tcPr>
            <w:tcW w:type="dxa" w:w="6912"/>
            <w:shd w:val="clear" w:color="auto" w:fill="F2F5FB"/>
          </w:tcPr>
          <w:p>
            <w:pPr>
              <w:spacing w:after="40" w:before="40"/>
              <w:jc w:val="left"/>
            </w:pPr>
            <w:r/>
            <w:r>
              <w:rPr>
                <w:rFonts w:ascii="Calibri" w:hAnsi="Calibri"/>
                <w:b w:val="0"/>
                <w:color w:val="1A2233"/>
                <w:sz w:val="18"/>
              </w:rPr>
              <w:t>hbb_installer, hbb_installer_supervisor, hbb_dse, hbb_hq, hbb_cx, hbb_warehouse</w:t>
            </w:r>
          </w:p>
        </w:tc>
      </w:tr>
      <w:tr>
        <w:tc>
          <w:tcPr>
            <w:tcW w:type="dxa" w:w="2160"/>
          </w:tcPr>
          <w:p>
            <w:pPr>
              <w:spacing w:after="40" w:before="40"/>
              <w:jc w:val="left"/>
            </w:pPr>
            <w:r/>
            <w:r>
              <w:rPr>
                <w:rFonts w:ascii="Calibri" w:hAnsi="Calibri"/>
                <w:b w:val="0"/>
                <w:color w:val="1A2233"/>
                <w:sz w:val="18"/>
              </w:rPr>
              <w:t>Airtel Money</w:t>
            </w:r>
          </w:p>
        </w:tc>
        <w:tc>
          <w:tcPr>
            <w:tcW w:type="dxa" w:w="6912"/>
          </w:tcPr>
          <w:p>
            <w:pPr>
              <w:spacing w:after="40" w:before="40"/>
              <w:jc w:val="left"/>
            </w:pPr>
            <w:r/>
            <w:r>
              <w:rPr>
                <w:rFonts w:ascii="Calibri" w:hAnsi="Calibri"/>
                <w:b w:val="0"/>
                <w:color w:val="1A2233"/>
                <w:sz w:val="18"/>
              </w:rPr>
              <w:t>airtel_money_admin, airtel_money_agent</w:t>
            </w:r>
          </w:p>
        </w:tc>
      </w:tr>
    </w:tbl>
    <w:p>
      <w:pPr>
        <w:spacing w:after="40"/>
      </w:pPr>
    </w:p>
    <w:p>
      <w:pPr>
        <w:spacing w:after="120" w:before="0"/>
        <w:jc w:val="left"/>
      </w:pPr>
      <w:r>
        <w:rPr>
          <w:b w:val="0"/>
          <w:i/>
          <w:color w:val="5A6B87"/>
          <w:sz w:val="18"/>
        </w:rPr>
        <w:t>Credential model: phone number plus PIN, with a session token issued server-side. Individual login credentials are held separately and are not reproduced in this document.</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87"/>
        <w:sz w:val="17"/>
      </w:rPr>
    </w:r>
    <w:r>
      <w:rPr>
        <w:color w:val="5A6B87"/>
        <w:sz w:val="17"/>
      </w:rPr>
      <w:t xml:space="preserve">Internal   |   Page </w:t>
    </w:r>
    <w:r>
      <w:rPr>
        <w:color w:val="5A6B87"/>
        <w:sz w:val="17"/>
      </w:rPr>
      <w:fldChar w:fldCharType="begin"/>
      <w:instrText xml:space="preserve">PAGE</w:instrText>
      <w:fldChar w:fldCharType="end"/>
    </w:r>
    <w:r>
      <w:rPr>
        <w:color w:val="5A6B87"/>
        <w:sz w:val="17"/>
      </w:rPr>
      <w:t xml:space="preserve"> of </w:t>
    </w:r>
    <w:r>
      <w:rPr>
        <w:color w:val="5A6B87"/>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A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E4002B"/>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2233"/>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C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