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F24A" w14:textId="51B993A7" w:rsidR="00043810" w:rsidRDefault="003D1D64" w:rsidP="00161BC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F(1,2) = -4 &lt; 0 </w:t>
      </w:r>
    </w:p>
    <w:p w14:paraId="57625777" w14:textId="4657979A" w:rsidR="003D1D64" w:rsidRPr="003D1D64" w:rsidRDefault="003D1D64" w:rsidP="003D1D64">
      <w:pPr>
        <w:ind w:left="720"/>
        <w:rPr>
          <w:lang w:val="en-ZA"/>
        </w:rPr>
      </w:pPr>
      <w:r>
        <w:rPr>
          <w:lang w:val="en-ZA"/>
        </w:rPr>
        <w:t xml:space="preserve">F(0,0) = 1 &gt; 0 </w:t>
      </w:r>
      <w:r>
        <w:rPr>
          <w:lang w:val="en-ZA"/>
        </w:rPr>
        <w:br/>
        <w:t xml:space="preserve">these two data points will be assigned different classes as they are on opposing sides of maximum margin classifier’s hyperplane. </w:t>
      </w:r>
    </w:p>
    <w:p w14:paraId="707E5C4E" w14:textId="77777777" w:rsidR="003D1D64" w:rsidRPr="003D1D64" w:rsidRDefault="003D1D64" w:rsidP="003D1D64">
      <w:pPr>
        <w:rPr>
          <w:lang w:val="en-ZA"/>
        </w:rPr>
      </w:pPr>
    </w:p>
    <w:p w14:paraId="4C1AFC2C" w14:textId="127CAE4E" w:rsidR="003D1D64" w:rsidRPr="00161BC8" w:rsidRDefault="00641472" w:rsidP="00161BC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We can enlarge the feature space. </w:t>
      </w:r>
    </w:p>
    <w:sectPr w:rsidR="003D1D64" w:rsidRPr="00161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0519"/>
    <w:multiLevelType w:val="hybridMultilevel"/>
    <w:tmpl w:val="D8BAEB8E"/>
    <w:lvl w:ilvl="0" w:tplc="58C640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74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71"/>
    <w:rsid w:val="00043810"/>
    <w:rsid w:val="00161BC8"/>
    <w:rsid w:val="00340971"/>
    <w:rsid w:val="003D1D64"/>
    <w:rsid w:val="0064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7E310"/>
  <w15:chartTrackingRefBased/>
  <w15:docId w15:val="{A7E4BBEE-08D9-4AF0-A05C-1E99EBBA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3</cp:revision>
  <dcterms:created xsi:type="dcterms:W3CDTF">2022-11-30T15:45:00Z</dcterms:created>
  <dcterms:modified xsi:type="dcterms:W3CDTF">2022-11-30T16:42:00Z</dcterms:modified>
</cp:coreProperties>
</file>