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8682" w14:textId="662E5A68" w:rsidR="00CC138B" w:rsidRDefault="003E7E98" w:rsidP="003E7E98">
      <w:pPr>
        <w:pStyle w:val="Title"/>
        <w:spacing w:after="360"/>
      </w:pPr>
      <w:r>
        <w:t>OFXtoDB</w:t>
      </w:r>
    </w:p>
    <w:p w14:paraId="4F5F27CB" w14:textId="5C015849" w:rsidR="003E7E98" w:rsidRPr="003E7E98" w:rsidRDefault="003E7E98" w:rsidP="003E7E98">
      <w:pPr>
        <w:pStyle w:val="Heading1"/>
      </w:pPr>
      <w:r>
        <w:t>Overview</w:t>
      </w:r>
    </w:p>
    <w:p w14:paraId="5FAF7ED9" w14:textId="7E8D131B" w:rsidR="003E7E98" w:rsidRDefault="003E7E98" w:rsidP="003E7E98">
      <w:r>
        <w:t xml:space="preserve">Most large financial institutions </w:t>
      </w:r>
      <w:r w:rsidR="00C87331">
        <w:t xml:space="preserve">offer their clients the ability to generate and download account statement information, typically in either a .CSV file format or in a format used by the financial software Quicken.  The .CSV formats pose many problems </w:t>
      </w:r>
      <w:r w:rsidR="009F3170">
        <w:t xml:space="preserve">to be useful, but the two greatest are the lack of standardized format across financial institutions and the combining of positions and transactions into a single file, requiring an extra processing step to separate before they become useful.  The Quicken format has the benefit of adhering to a standard maintained by </w:t>
      </w:r>
      <w:r w:rsidR="00ED363B">
        <w:t xml:space="preserve">an organization called </w:t>
      </w:r>
      <w:r w:rsidR="00ED363B">
        <w:rPr>
          <w:u w:val="single"/>
        </w:rPr>
        <w:t>O</w:t>
      </w:r>
      <w:r w:rsidR="00ED363B">
        <w:t xml:space="preserve">pen </w:t>
      </w:r>
      <w:r w:rsidR="00ED363B">
        <w:rPr>
          <w:u w:val="single"/>
        </w:rPr>
        <w:t>F</w:t>
      </w:r>
      <w:r w:rsidR="00ED363B">
        <w:t>inancial E</w:t>
      </w:r>
      <w:r w:rsidR="00ED363B">
        <w:rPr>
          <w:u w:val="single"/>
        </w:rPr>
        <w:t>x</w:t>
      </w:r>
      <w:r w:rsidR="00ED363B">
        <w:t>change, or OFX, so any process that can translate one institution’s files into data should be able to do the same for all of them.</w:t>
      </w:r>
    </w:p>
    <w:p w14:paraId="28924EAF" w14:textId="62B8F594" w:rsidR="00ED363B" w:rsidRDefault="00ED363B" w:rsidP="003E7E98">
      <w:r>
        <w:t xml:space="preserve">OFXtoDB is that program to read a downloaded .qfx file (Quicken format), find the data records within it, and </w:t>
      </w:r>
      <w:r w:rsidR="006B1FA0">
        <w:t>accumulate</w:t>
      </w:r>
      <w:r w:rsidR="00047DBA">
        <w:t xml:space="preserve"> them </w:t>
      </w:r>
      <w:r w:rsidR="006B1FA0">
        <w:t>in</w:t>
      </w:r>
      <w:r w:rsidR="00047DBA">
        <w:t>to a data base of records in a variety of formats. The program currently supports writing to PostgreSQL tables</w:t>
      </w:r>
      <w:r w:rsidR="00662471">
        <w:t>,</w:t>
      </w:r>
      <w:r w:rsidR="00047DBA">
        <w:t xml:space="preserve"> EXCEL worksheets</w:t>
      </w:r>
      <w:r w:rsidR="00662471">
        <w:t xml:space="preserve"> or a collection of .csv files</w:t>
      </w:r>
      <w:r w:rsidR="00047DBA">
        <w:t xml:space="preserve">.  A major benefit is its ability to identify and eliminate duplicate records, so you do not need to be as careful about the date ranges you run or worry about </w:t>
      </w:r>
      <w:r w:rsidR="001365C0">
        <w:t xml:space="preserve">whether </w:t>
      </w:r>
      <w:r w:rsidR="00047DBA">
        <w:t>the same file is processed multiple times.</w:t>
      </w:r>
    </w:p>
    <w:p w14:paraId="480B609C" w14:textId="34503D7D" w:rsidR="00BC3B4E" w:rsidRDefault="00BC3B4E" w:rsidP="003E7E98">
      <w:r>
        <w:t>OFXtoDB is designed to be run in ‘silent’ mode</w:t>
      </w:r>
      <w:r w:rsidR="0079768A">
        <w:t xml:space="preserve">, so it is a console (command line) application that assumes itself to be a part of an automated sequence that is run over and over to capture </w:t>
      </w:r>
      <w:r w:rsidR="0039710E">
        <w:t>and merge the latest statement data in a form that the user can further analyze.</w:t>
      </w:r>
    </w:p>
    <w:p w14:paraId="5E6E75E7" w14:textId="73A0A565" w:rsidR="00E40F36" w:rsidRDefault="00E40F36" w:rsidP="003E7E98">
      <w:r w:rsidRPr="00E40F36">
        <w:t>Finally, the process of t</w:t>
      </w:r>
      <w:r>
        <w:t>ranslating OFX data into destination data records is controlled by a</w:t>
      </w:r>
      <w:r w:rsidR="00F41D75">
        <w:t>n external</w:t>
      </w:r>
      <w:r>
        <w:t xml:space="preserve"> mapping specification</w:t>
      </w:r>
      <w:r w:rsidR="00F41D75">
        <w:t xml:space="preserve"> that can reside either in the OFXtoDB.ini file or within a table in the Postgres database.  The OFXtoDB.ini file that comes with the installation already has a pretty complete mapping of the INVESTMENT STATEMENT, BANKING STATEMENT and CREDIT CARD STATEMENT, so you might be able to run OFXtoDB with minimal changes to OFXtoDB.ini after the initial installation, especially to an EXCEL spreadsheet.</w:t>
      </w:r>
    </w:p>
    <w:p w14:paraId="674A77CA" w14:textId="002FE765" w:rsidR="006B1FA0" w:rsidRDefault="006B1FA0" w:rsidP="006B1FA0">
      <w:pPr>
        <w:pStyle w:val="Heading1"/>
      </w:pPr>
      <w:r>
        <w:t>Running OFXtoDB</w:t>
      </w:r>
    </w:p>
    <w:p w14:paraId="731B34C8" w14:textId="22AAFC8C" w:rsidR="006B1FA0" w:rsidRDefault="00587BD2" w:rsidP="006B1FA0">
      <w:r>
        <w:t>OFXtoDB</w:t>
      </w:r>
      <w:r w:rsidR="001365C0">
        <w:t>.exe</w:t>
      </w:r>
      <w:r>
        <w:t xml:space="preserve"> is a standalone Python command-line program.  It can be run at a command prompt on Windows in either </w:t>
      </w:r>
      <w:proofErr w:type="spellStart"/>
      <w:r>
        <w:t>cmd</w:t>
      </w:r>
      <w:proofErr w:type="spellEnd"/>
      <w:r>
        <w:t xml:space="preserve"> or PowerShell.</w:t>
      </w:r>
      <w:r w:rsidR="003F5DA9">
        <w:t xml:space="preserve">  In the same way it can be added as a step in an automated script</w:t>
      </w:r>
      <w:r w:rsidR="001365C0">
        <w:t xml:space="preserve">. </w:t>
      </w:r>
      <w:r w:rsidR="00A1216C">
        <w:t>The format of the command line is:</w:t>
      </w:r>
    </w:p>
    <w:p w14:paraId="485971B5" w14:textId="77777777" w:rsidR="00A1216C" w:rsidRDefault="00A1216C" w:rsidP="00A1216C">
      <w:pPr>
        <w:spacing w:after="0"/>
        <w:ind w:left="547" w:firstLine="360"/>
        <w:rPr>
          <w:rFonts w:ascii="Courier New" w:hAnsi="Courier New" w:cs="Courier New"/>
          <w:shd w:val="clear" w:color="auto" w:fill="D9D9D9" w:themeFill="background1" w:themeFillShade="D9"/>
        </w:rPr>
      </w:pPr>
      <w:r w:rsidRPr="00A1216C">
        <w:rPr>
          <w:rFonts w:ascii="Courier New" w:hAnsi="Courier New" w:cs="Courier New"/>
          <w:shd w:val="clear" w:color="auto" w:fill="D9D9D9" w:themeFill="background1" w:themeFillShade="D9"/>
        </w:rPr>
        <w:t xml:space="preserve">OFXtoDB </w:t>
      </w:r>
      <w:r w:rsidRPr="003F5DA9">
        <w:rPr>
          <w:rFonts w:ascii="Courier New" w:hAnsi="Courier New" w:cs="Courier New"/>
          <w:i/>
          <w:iCs/>
          <w:shd w:val="clear" w:color="auto" w:fill="D9D9D9" w:themeFill="background1" w:themeFillShade="D9"/>
        </w:rPr>
        <w:t>[file path to OFX input]</w:t>
      </w:r>
    </w:p>
    <w:p w14:paraId="06BCA7C7" w14:textId="7F03BB97" w:rsidR="00A1216C" w:rsidRPr="00EC7D70" w:rsidRDefault="00A1216C" w:rsidP="003F5DA9">
      <w:pPr>
        <w:shd w:val="clear" w:color="auto" w:fill="FFFFFF" w:themeFill="background1"/>
        <w:ind w:left="900"/>
        <w:rPr>
          <w:rFonts w:ascii="Courier New" w:hAnsi="Courier New" w:cs="Courier New"/>
          <w:sz w:val="20"/>
          <w:szCs w:val="20"/>
        </w:rPr>
      </w:pPr>
      <w:r w:rsidRPr="00EC7D70">
        <w:rPr>
          <w:rFonts w:ascii="Courier New" w:hAnsi="Courier New" w:cs="Courier New"/>
          <w:sz w:val="20"/>
          <w:szCs w:val="20"/>
          <w:shd w:val="clear" w:color="auto" w:fill="FFFFFF" w:themeFill="background1"/>
        </w:rPr>
        <w:t xml:space="preserve">where </w:t>
      </w:r>
      <w:r w:rsidR="003F5DA9" w:rsidRPr="00EC7D70">
        <w:rPr>
          <w:rFonts w:ascii="Courier New" w:hAnsi="Courier New" w:cs="Courier New"/>
          <w:sz w:val="20"/>
          <w:szCs w:val="20"/>
          <w:shd w:val="clear" w:color="auto" w:fill="FFFFFF" w:themeFill="background1"/>
        </w:rPr>
        <w:t>the square brackets denote optional entry</w:t>
      </w:r>
    </w:p>
    <w:p w14:paraId="74A21D47" w14:textId="44DD1E41" w:rsidR="00A1216C" w:rsidRDefault="003F5DA9" w:rsidP="006B1FA0">
      <w:r>
        <w:t>If you wish to run OFXtoDB manually</w:t>
      </w:r>
      <w:r w:rsidR="000F79ED">
        <w:t xml:space="preserve"> on Windows, a good way to do it is to drag the downloaded OFX file and drop it on top of the OFXtoDB shortcut that </w:t>
      </w:r>
      <w:r w:rsidR="00EC7D70">
        <w:t>was installed</w:t>
      </w:r>
      <w:r w:rsidR="000F79ED">
        <w:t xml:space="preserve"> with the distribution.  The shortcut runs OFXtoDB in a cmd.exe window that won’t close after the program finishes, so you can still read the final statistics.  That OFXtoDB shortcut can be copied to the desktop if desired.</w:t>
      </w:r>
    </w:p>
    <w:p w14:paraId="42F2C45F" w14:textId="392DF9C6" w:rsidR="001365C0" w:rsidRDefault="001365C0" w:rsidP="006B1FA0">
      <w:r>
        <w:t xml:space="preserve">OFXtoDB can also be run inside Python if you download and unpack the </w:t>
      </w:r>
      <w:r w:rsidRPr="001365C0">
        <w:rPr>
          <w:rFonts w:ascii="Courier New" w:hAnsi="Courier New" w:cs="Courier New"/>
        </w:rPr>
        <w:t>*.</w:t>
      </w:r>
      <w:proofErr w:type="spellStart"/>
      <w:r w:rsidRPr="001365C0">
        <w:rPr>
          <w:rFonts w:ascii="Courier New" w:hAnsi="Courier New" w:cs="Courier New"/>
        </w:rPr>
        <w:t>py</w:t>
      </w:r>
      <w:proofErr w:type="spellEnd"/>
      <w:r>
        <w:t xml:space="preserve"> source files.</w:t>
      </w:r>
    </w:p>
    <w:p w14:paraId="4F980B6A" w14:textId="47B71A00" w:rsidR="002632BA" w:rsidRDefault="002632BA" w:rsidP="002632BA">
      <w:pPr>
        <w:pStyle w:val="Heading3"/>
      </w:pPr>
      <w:r>
        <w:t>Running OFXtoDB for the first time</w:t>
      </w:r>
    </w:p>
    <w:p w14:paraId="3A53C528" w14:textId="1F46B2A2" w:rsidR="002632BA" w:rsidRDefault="002632BA" w:rsidP="002632BA">
      <w:r>
        <w:t>After installing the OFXtoDB.exe there will be an OFXtoDB.ini configuration file in the same directory as the .exe file.  Edit that file to provide the necessary parameters for the program to write its data.</w:t>
      </w:r>
      <w:r w:rsidR="00701849">
        <w:t xml:space="preserve">  (Entries starting with # only need to be present if your value is different from the displayed default.)</w:t>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277"/>
        <w:gridCol w:w="5033"/>
      </w:tblGrid>
      <w:tr w:rsidR="00306EF7" w:rsidRPr="00701849" w14:paraId="6AD63524" w14:textId="77777777" w:rsidTr="00306EF7">
        <w:tc>
          <w:tcPr>
            <w:tcW w:w="5310" w:type="dxa"/>
          </w:tcPr>
          <w:p w14:paraId="306994E8" w14:textId="5AF76704" w:rsidR="00306EF7" w:rsidRPr="00701849" w:rsidRDefault="00306EF7" w:rsidP="00306EF7">
            <w:pPr>
              <w:keepNext/>
              <w:keepLines/>
              <w:tabs>
                <w:tab w:val="left" w:pos="4200"/>
              </w:tabs>
              <w:jc w:val="center"/>
              <w:rPr>
                <w:color w:val="2F5496" w:themeColor="accent1" w:themeShade="BF"/>
              </w:rPr>
            </w:pPr>
            <w:r>
              <w:rPr>
                <w:color w:val="2F5496" w:themeColor="accent1" w:themeShade="BF"/>
              </w:rPr>
              <w:lastRenderedPageBreak/>
              <w:t>OFXtoDB.ini entries to</w:t>
            </w:r>
            <w:r w:rsidRPr="00701849">
              <w:rPr>
                <w:color w:val="2F5496" w:themeColor="accent1" w:themeShade="BF"/>
              </w:rPr>
              <w:t xml:space="preserve"> write to a PostgreSQL database:</w:t>
            </w:r>
          </w:p>
        </w:tc>
        <w:tc>
          <w:tcPr>
            <w:tcW w:w="277" w:type="dxa"/>
          </w:tcPr>
          <w:p w14:paraId="5EBFD2CF" w14:textId="77777777" w:rsidR="00306EF7" w:rsidRDefault="00306EF7" w:rsidP="00701849">
            <w:pPr>
              <w:keepNext/>
              <w:keepLines/>
              <w:jc w:val="center"/>
              <w:rPr>
                <w:color w:val="2F5496" w:themeColor="accent1" w:themeShade="BF"/>
              </w:rPr>
            </w:pPr>
          </w:p>
        </w:tc>
        <w:tc>
          <w:tcPr>
            <w:tcW w:w="5033" w:type="dxa"/>
          </w:tcPr>
          <w:p w14:paraId="5D824D24" w14:textId="76B6D2BF" w:rsidR="00306EF7" w:rsidRPr="00701849" w:rsidRDefault="00306EF7" w:rsidP="00701849">
            <w:pPr>
              <w:keepNext/>
              <w:keepLines/>
              <w:jc w:val="center"/>
              <w:rPr>
                <w:color w:val="2F5496" w:themeColor="accent1" w:themeShade="BF"/>
              </w:rPr>
            </w:pPr>
            <w:r>
              <w:rPr>
                <w:color w:val="2F5496" w:themeColor="accent1" w:themeShade="BF"/>
              </w:rPr>
              <w:t>OFXtoDB.ini entries to</w:t>
            </w:r>
            <w:r w:rsidRPr="00701849">
              <w:rPr>
                <w:color w:val="2F5496" w:themeColor="accent1" w:themeShade="BF"/>
              </w:rPr>
              <w:t xml:space="preserve"> write to an Excel file:</w:t>
            </w:r>
          </w:p>
        </w:tc>
      </w:tr>
      <w:tr w:rsidR="00306EF7" w:rsidRPr="002059F4" w14:paraId="68B8338E" w14:textId="77777777" w:rsidTr="00306EF7">
        <w:tc>
          <w:tcPr>
            <w:tcW w:w="5310" w:type="dxa"/>
            <w:shd w:val="clear" w:color="auto" w:fill="D9D9D9" w:themeFill="background1" w:themeFillShade="D9"/>
          </w:tcPr>
          <w:p w14:paraId="63607D5F" w14:textId="10D1E682"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[common]</w:t>
            </w:r>
          </w:p>
          <w:p w14:paraId="07B687D2" w14:textId="199EF999"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TimeZone=America/New_York</w:t>
            </w:r>
          </w:p>
          <w:p w14:paraId="008542C2" w14:textId="0378F00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  OFXFile=</w:t>
            </w:r>
            <w:r w:rsidRPr="00701849">
              <w:rPr>
                <w:rFonts w:ascii="Courier New" w:hAnsi="Courier New" w:cs="Courier New"/>
                <w:i/>
                <w:iCs/>
                <w:sz w:val="20"/>
                <w:szCs w:val="20"/>
              </w:rPr>
              <w:t>&lt;.qfx file specification&gt;</w:t>
            </w:r>
          </w:p>
          <w:p w14:paraId="135EBA30" w14:textId="10F24778"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Writer=</w:t>
            </w:r>
            <w:proofErr w:type="spellStart"/>
            <w:r w:rsidRPr="00662471">
              <w:rPr>
                <w:rFonts w:ascii="Courier New" w:hAnsi="Courier New" w:cs="Courier New"/>
                <w:sz w:val="20"/>
                <w:szCs w:val="20"/>
                <w:lang w:val="fr-FR"/>
              </w:rPr>
              <w:t>Postgres</w:t>
            </w:r>
            <w:proofErr w:type="spellEnd"/>
          </w:p>
          <w:p w14:paraId="34196F46" w14:textId="77777777" w:rsidR="00306EF7" w:rsidRPr="00662471" w:rsidRDefault="00306EF7" w:rsidP="00306EF7">
            <w:pPr>
              <w:keepNext/>
              <w:keepLines/>
              <w:tabs>
                <w:tab w:val="left" w:pos="4200"/>
              </w:tabs>
              <w:rPr>
                <w:rFonts w:ascii="Courier New" w:hAnsi="Courier New" w:cs="Courier New"/>
                <w:sz w:val="20"/>
                <w:szCs w:val="20"/>
                <w:lang w:val="fr-FR"/>
              </w:rPr>
            </w:pPr>
          </w:p>
          <w:p w14:paraId="4ECE995F" w14:textId="3E2C568D"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w:t>
            </w:r>
            <w:proofErr w:type="spellStart"/>
            <w:r w:rsidRPr="00662471">
              <w:rPr>
                <w:rFonts w:ascii="Courier New" w:hAnsi="Courier New" w:cs="Courier New"/>
                <w:sz w:val="20"/>
                <w:szCs w:val="20"/>
                <w:lang w:val="fr-FR"/>
              </w:rPr>
              <w:t>Postgres</w:t>
            </w:r>
            <w:proofErr w:type="spellEnd"/>
            <w:r w:rsidRPr="00662471">
              <w:rPr>
                <w:rFonts w:ascii="Courier New" w:hAnsi="Courier New" w:cs="Courier New"/>
                <w:sz w:val="20"/>
                <w:szCs w:val="20"/>
                <w:lang w:val="fr-FR"/>
              </w:rPr>
              <w:t>]</w:t>
            </w:r>
          </w:p>
          <w:p w14:paraId="66DEB7E6" w14:textId="46012279"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  host=localhost</w:t>
            </w:r>
          </w:p>
          <w:p w14:paraId="02819CD7" w14:textId="64867075" w:rsidR="00306EF7" w:rsidRPr="00662471" w:rsidRDefault="00306EF7" w:rsidP="00306EF7">
            <w:pPr>
              <w:keepNext/>
              <w:keepLines/>
              <w:tabs>
                <w:tab w:val="left" w:pos="4200"/>
              </w:tabs>
              <w:rPr>
                <w:rFonts w:ascii="Courier New" w:hAnsi="Courier New" w:cs="Courier New"/>
                <w:sz w:val="20"/>
                <w:szCs w:val="20"/>
                <w:lang w:val="fr-FR"/>
              </w:rPr>
            </w:pPr>
            <w:r w:rsidRPr="00662471">
              <w:rPr>
                <w:rFonts w:ascii="Courier New" w:hAnsi="Courier New" w:cs="Courier New"/>
                <w:sz w:val="20"/>
                <w:szCs w:val="20"/>
                <w:lang w:val="fr-FR"/>
              </w:rPr>
              <w:t>#  port=5432</w:t>
            </w:r>
          </w:p>
          <w:p w14:paraId="0941E7BF" w14:textId="34944371"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 xml:space="preserve">#  </w:t>
            </w:r>
            <w:proofErr w:type="spellStart"/>
            <w:r w:rsidRPr="00701849">
              <w:rPr>
                <w:rFonts w:ascii="Courier New" w:hAnsi="Courier New" w:cs="Courier New"/>
                <w:sz w:val="20"/>
                <w:szCs w:val="20"/>
              </w:rPr>
              <w:t>dbname</w:t>
            </w:r>
            <w:proofErr w:type="spellEnd"/>
            <w:r w:rsidRPr="00701849">
              <w:rPr>
                <w:rFonts w:ascii="Courier New" w:hAnsi="Courier New" w:cs="Courier New"/>
                <w:sz w:val="20"/>
                <w:szCs w:val="20"/>
              </w:rPr>
              <w:t>=</w:t>
            </w:r>
            <w:proofErr w:type="spellStart"/>
            <w:r w:rsidRPr="00701849">
              <w:rPr>
                <w:rFonts w:ascii="Courier New" w:hAnsi="Courier New" w:cs="Courier New"/>
                <w:sz w:val="20"/>
                <w:szCs w:val="20"/>
              </w:rPr>
              <w:t>postgres</w:t>
            </w:r>
            <w:proofErr w:type="spellEnd"/>
          </w:p>
          <w:p w14:paraId="40644129" w14:textId="36EC047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  user=postgres</w:t>
            </w:r>
          </w:p>
          <w:p w14:paraId="61249344" w14:textId="17742ED6"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user=limited</w:t>
            </w:r>
          </w:p>
          <w:p w14:paraId="53327B95" w14:textId="5F3586E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password=plugh</w:t>
            </w:r>
          </w:p>
          <w:p w14:paraId="52BBE1D6" w14:textId="238550D8"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schema=sandbox</w:t>
            </w:r>
          </w:p>
          <w:p w14:paraId="0CD3BF5D" w14:textId="38EFE8FB" w:rsidR="00306EF7" w:rsidRPr="00701849" w:rsidRDefault="00306EF7" w:rsidP="00306EF7">
            <w:pPr>
              <w:keepNext/>
              <w:keepLines/>
              <w:tabs>
                <w:tab w:val="left" w:pos="4200"/>
              </w:tabs>
              <w:rPr>
                <w:rFonts w:ascii="Courier New" w:hAnsi="Courier New" w:cs="Courier New"/>
                <w:sz w:val="20"/>
                <w:szCs w:val="20"/>
              </w:rPr>
            </w:pPr>
            <w:r w:rsidRPr="00701849">
              <w:rPr>
                <w:rFonts w:ascii="Courier New" w:hAnsi="Courier New" w:cs="Courier New"/>
                <w:sz w:val="20"/>
                <w:szCs w:val="20"/>
              </w:rPr>
              <w:t>mapping=UseDataBase</w:t>
            </w:r>
          </w:p>
          <w:p w14:paraId="36C1A8D4" w14:textId="48027A77" w:rsidR="00306EF7" w:rsidRPr="00701849" w:rsidRDefault="00306EF7" w:rsidP="00306EF7">
            <w:pPr>
              <w:keepLines/>
              <w:tabs>
                <w:tab w:val="left" w:pos="4200"/>
              </w:tabs>
              <w:rPr>
                <w:rFonts w:ascii="Courier New" w:hAnsi="Courier New" w:cs="Courier New"/>
              </w:rPr>
            </w:pPr>
            <w:proofErr w:type="spellStart"/>
            <w:r w:rsidRPr="00701849">
              <w:rPr>
                <w:rFonts w:ascii="Courier New" w:hAnsi="Courier New" w:cs="Courier New"/>
                <w:sz w:val="20"/>
                <w:szCs w:val="20"/>
              </w:rPr>
              <w:t>OFXmapping</w:t>
            </w:r>
            <w:proofErr w:type="spellEnd"/>
            <w:r w:rsidRPr="00701849">
              <w:rPr>
                <w:rFonts w:ascii="Courier New" w:hAnsi="Courier New" w:cs="Courier New"/>
                <w:sz w:val="20"/>
                <w:szCs w:val="20"/>
              </w:rPr>
              <w:t>=</w:t>
            </w:r>
            <w:proofErr w:type="spellStart"/>
            <w:r w:rsidRPr="00701849">
              <w:rPr>
                <w:rFonts w:ascii="Courier New" w:hAnsi="Courier New" w:cs="Courier New"/>
                <w:sz w:val="20"/>
                <w:szCs w:val="20"/>
              </w:rPr>
              <w:t>OFXtoTable</w:t>
            </w:r>
            <w:r w:rsidRPr="00701849">
              <w:rPr>
                <w:rFonts w:ascii="Courier New" w:hAnsi="Courier New" w:cs="Courier New"/>
              </w:rPr>
              <w:t>s</w:t>
            </w:r>
            <w:proofErr w:type="spellEnd"/>
          </w:p>
        </w:tc>
        <w:tc>
          <w:tcPr>
            <w:tcW w:w="277" w:type="dxa"/>
          </w:tcPr>
          <w:p w14:paraId="3105908B" w14:textId="77777777" w:rsidR="00306EF7" w:rsidRPr="00701849" w:rsidRDefault="00306EF7" w:rsidP="002059F4">
            <w:pPr>
              <w:keepNext/>
              <w:keepLines/>
              <w:rPr>
                <w:rFonts w:ascii="Courier New" w:hAnsi="Courier New" w:cs="Courier New"/>
                <w:sz w:val="20"/>
                <w:szCs w:val="20"/>
              </w:rPr>
            </w:pPr>
          </w:p>
        </w:tc>
        <w:tc>
          <w:tcPr>
            <w:tcW w:w="5033" w:type="dxa"/>
            <w:shd w:val="clear" w:color="auto" w:fill="D9D9D9" w:themeFill="background1" w:themeFillShade="D9"/>
          </w:tcPr>
          <w:p w14:paraId="0532B370" w14:textId="00073EEC" w:rsidR="00306EF7" w:rsidRPr="00701849" w:rsidRDefault="00306EF7" w:rsidP="002059F4">
            <w:pPr>
              <w:keepNext/>
              <w:keepLines/>
              <w:rPr>
                <w:rFonts w:ascii="Courier New" w:hAnsi="Courier New" w:cs="Courier New"/>
                <w:sz w:val="20"/>
                <w:szCs w:val="20"/>
              </w:rPr>
            </w:pPr>
            <w:r w:rsidRPr="00701849">
              <w:rPr>
                <w:rFonts w:ascii="Courier New" w:hAnsi="Courier New" w:cs="Courier New"/>
                <w:sz w:val="20"/>
                <w:szCs w:val="20"/>
              </w:rPr>
              <w:t>[common]</w:t>
            </w:r>
          </w:p>
          <w:p w14:paraId="051A7169" w14:textId="77777777" w:rsidR="00306EF7" w:rsidRPr="00701849" w:rsidRDefault="00306EF7" w:rsidP="002059F4">
            <w:pPr>
              <w:keepNext/>
              <w:keepLines/>
              <w:rPr>
                <w:rFonts w:ascii="Courier New" w:hAnsi="Courier New" w:cs="Courier New"/>
                <w:sz w:val="20"/>
                <w:szCs w:val="20"/>
              </w:rPr>
            </w:pPr>
            <w:r w:rsidRPr="00701849">
              <w:rPr>
                <w:rFonts w:ascii="Courier New" w:hAnsi="Courier New" w:cs="Courier New"/>
                <w:sz w:val="20"/>
                <w:szCs w:val="20"/>
              </w:rPr>
              <w:t>TimeZone=America/New_York</w:t>
            </w:r>
          </w:p>
          <w:p w14:paraId="627D7294" w14:textId="77777777" w:rsidR="00306EF7" w:rsidRPr="00701849" w:rsidRDefault="00306EF7" w:rsidP="002059F4">
            <w:pPr>
              <w:keepNext/>
              <w:keepLines/>
              <w:rPr>
                <w:rFonts w:ascii="Courier New" w:hAnsi="Courier New" w:cs="Courier New"/>
                <w:sz w:val="20"/>
                <w:szCs w:val="20"/>
              </w:rPr>
            </w:pPr>
            <w:r w:rsidRPr="00701849">
              <w:rPr>
                <w:rFonts w:ascii="Courier New" w:hAnsi="Courier New" w:cs="Courier New"/>
                <w:sz w:val="20"/>
                <w:szCs w:val="20"/>
              </w:rPr>
              <w:t>#  OFXFile=</w:t>
            </w:r>
            <w:r w:rsidRPr="00701849">
              <w:rPr>
                <w:rFonts w:ascii="Courier New" w:hAnsi="Courier New" w:cs="Courier New"/>
                <w:i/>
                <w:iCs/>
                <w:sz w:val="20"/>
                <w:szCs w:val="20"/>
              </w:rPr>
              <w:t>&lt;.qfx file specification&gt;</w:t>
            </w:r>
          </w:p>
          <w:p w14:paraId="01A182C4" w14:textId="73121763" w:rsidR="00306EF7" w:rsidRPr="002059F4" w:rsidRDefault="00306EF7" w:rsidP="002059F4">
            <w:pPr>
              <w:keepNext/>
              <w:keepLines/>
              <w:rPr>
                <w:rFonts w:ascii="Courier New" w:hAnsi="Courier New" w:cs="Courier New"/>
                <w:sz w:val="20"/>
                <w:szCs w:val="20"/>
              </w:rPr>
            </w:pPr>
            <w:r w:rsidRPr="002059F4">
              <w:rPr>
                <w:rFonts w:ascii="Courier New" w:hAnsi="Courier New" w:cs="Courier New"/>
                <w:sz w:val="20"/>
                <w:szCs w:val="20"/>
              </w:rPr>
              <w:t>Writer=Excel</w:t>
            </w:r>
          </w:p>
          <w:p w14:paraId="2C225B5E" w14:textId="77777777" w:rsidR="00306EF7" w:rsidRPr="002059F4" w:rsidRDefault="00306EF7" w:rsidP="002059F4">
            <w:pPr>
              <w:keepNext/>
              <w:keepLines/>
              <w:rPr>
                <w:rFonts w:ascii="Courier New" w:hAnsi="Courier New" w:cs="Courier New"/>
                <w:sz w:val="20"/>
                <w:szCs w:val="20"/>
              </w:rPr>
            </w:pPr>
          </w:p>
          <w:p w14:paraId="3D17E789" w14:textId="0F7C878F" w:rsidR="00306EF7" w:rsidRPr="002059F4" w:rsidRDefault="00306EF7" w:rsidP="002059F4">
            <w:pPr>
              <w:keepNext/>
              <w:keepLines/>
              <w:rPr>
                <w:rFonts w:ascii="Courier New" w:hAnsi="Courier New" w:cs="Courier New"/>
                <w:sz w:val="20"/>
                <w:szCs w:val="20"/>
              </w:rPr>
            </w:pPr>
            <w:r w:rsidRPr="002059F4">
              <w:rPr>
                <w:rFonts w:ascii="Courier New" w:hAnsi="Courier New" w:cs="Courier New"/>
                <w:sz w:val="20"/>
                <w:szCs w:val="20"/>
              </w:rPr>
              <w:t>[Excel]</w:t>
            </w:r>
          </w:p>
          <w:p w14:paraId="3E76A582" w14:textId="39E62B23" w:rsidR="00306EF7" w:rsidRPr="002059F4" w:rsidRDefault="00306EF7" w:rsidP="002059F4">
            <w:pPr>
              <w:keepNext/>
              <w:keepLines/>
              <w:rPr>
                <w:rFonts w:ascii="Courier New" w:hAnsi="Courier New" w:cs="Courier New"/>
                <w:i/>
                <w:iCs/>
              </w:rPr>
            </w:pPr>
            <w:proofErr w:type="spellStart"/>
            <w:r w:rsidRPr="002059F4">
              <w:rPr>
                <w:rFonts w:ascii="Courier New" w:hAnsi="Courier New" w:cs="Courier New"/>
                <w:sz w:val="20"/>
                <w:szCs w:val="20"/>
              </w:rPr>
              <w:t>ExcelFile</w:t>
            </w:r>
            <w:proofErr w:type="spellEnd"/>
            <w:r w:rsidRPr="002059F4">
              <w:rPr>
                <w:rFonts w:ascii="Courier New" w:hAnsi="Courier New" w:cs="Courier New"/>
                <w:sz w:val="20"/>
                <w:szCs w:val="20"/>
              </w:rPr>
              <w:t>=</w:t>
            </w:r>
            <w:r w:rsidRPr="002059F4">
              <w:rPr>
                <w:rFonts w:ascii="Courier New" w:hAnsi="Courier New" w:cs="Courier New"/>
                <w:i/>
                <w:iCs/>
                <w:sz w:val="20"/>
                <w:szCs w:val="20"/>
              </w:rPr>
              <w:t>&lt;</w:t>
            </w:r>
            <w:proofErr w:type="spellStart"/>
            <w:r w:rsidRPr="002059F4">
              <w:rPr>
                <w:rFonts w:ascii="Courier New" w:hAnsi="Courier New" w:cs="Courier New"/>
                <w:i/>
                <w:iCs/>
                <w:sz w:val="20"/>
                <w:szCs w:val="20"/>
              </w:rPr>
              <w:t>f</w:t>
            </w:r>
            <w:r>
              <w:rPr>
                <w:rFonts w:ascii="Courier New" w:hAnsi="Courier New" w:cs="Courier New"/>
                <w:i/>
                <w:iCs/>
                <w:sz w:val="20"/>
                <w:szCs w:val="20"/>
              </w:rPr>
              <w:t>ilepath</w:t>
            </w:r>
            <w:proofErr w:type="spellEnd"/>
            <w:r>
              <w:rPr>
                <w:rFonts w:ascii="Courier New" w:hAnsi="Courier New" w:cs="Courier New"/>
                <w:i/>
                <w:iCs/>
                <w:sz w:val="20"/>
                <w:szCs w:val="20"/>
              </w:rPr>
              <w:t xml:space="preserve"> to .xlsx file&gt;</w:t>
            </w:r>
          </w:p>
        </w:tc>
      </w:tr>
    </w:tbl>
    <w:p w14:paraId="7C86B508" w14:textId="77777777" w:rsidR="002632BA" w:rsidRDefault="002632BA" w:rsidP="002632BA"/>
    <w:p w14:paraId="6D246DFE" w14:textId="3D45FCFD" w:rsidR="00B64386" w:rsidRPr="002059F4" w:rsidRDefault="0066230E" w:rsidP="002632BA">
      <w:r>
        <w:t xml:space="preserve">Before running for the first time, </w:t>
      </w:r>
      <w:r w:rsidR="00B64386">
        <w:t>Postgres users will need to create their target tables in a single schema that they will designate and create and populate the mapping table as a database table in the same schema.  See “</w:t>
      </w:r>
      <w:hyperlink w:anchor="_How_To_Create" w:history="1">
        <w:r w:rsidR="00B64386" w:rsidRPr="00B64386">
          <w:rPr>
            <w:rStyle w:val="Hyperlink"/>
          </w:rPr>
          <w:t xml:space="preserve">How To Create a Schema Sandbox in </w:t>
        </w:r>
        <w:proofErr w:type="spellStart"/>
        <w:r w:rsidR="00B64386" w:rsidRPr="00B64386">
          <w:rPr>
            <w:rStyle w:val="Hyperlink"/>
          </w:rPr>
          <w:t>Postgresql</w:t>
        </w:r>
        <w:proofErr w:type="spellEnd"/>
      </w:hyperlink>
      <w:r w:rsidR="00B64386">
        <w:t>”  for database suggestions and “</w:t>
      </w:r>
      <w:hyperlink w:anchor="_Mapping_Specification_1" w:history="1">
        <w:r w:rsidR="00B64386" w:rsidRPr="00B64386">
          <w:rPr>
            <w:rStyle w:val="Hyperlink"/>
          </w:rPr>
          <w:t>Mapping Specification</w:t>
        </w:r>
      </w:hyperlink>
      <w:r w:rsidR="00B64386">
        <w:t>” for formatting the mapping table.</w:t>
      </w:r>
    </w:p>
    <w:p w14:paraId="748EDEC5" w14:textId="02A76AC2" w:rsidR="0039710E" w:rsidRPr="00F41D75" w:rsidRDefault="0039710E" w:rsidP="0039710E">
      <w:pPr>
        <w:pStyle w:val="Heading1"/>
      </w:pPr>
      <w:r w:rsidRPr="00F41D75">
        <w:t>OFXtoDB.ini Configuration File</w:t>
      </w:r>
    </w:p>
    <w:p w14:paraId="6F4AC497" w14:textId="7FD7E7F3" w:rsidR="0039710E" w:rsidRDefault="00E40F36" w:rsidP="0039710E">
      <w:r>
        <w:t>Most of the program parameters are taken from the OFXtoDB.ini file which resides in the same directory as the OFXtoDB program.</w:t>
      </w:r>
      <w:r w:rsidR="00933161">
        <w:t xml:space="preserve"> (On Windows it can also reside in the %APPDATA%\OFXtoDB </w:t>
      </w:r>
      <w:r w:rsidR="00662471">
        <w:t>directory.) This</w:t>
      </w:r>
      <w:r>
        <w:t xml:space="preserve"> section documents </w:t>
      </w:r>
      <w:r w:rsidR="00933161">
        <w:t xml:space="preserve">only </w:t>
      </w:r>
      <w:r>
        <w:t>the basic parameters, but the .</w:t>
      </w:r>
      <w:proofErr w:type="spellStart"/>
      <w:r>
        <w:t>ini</w:t>
      </w:r>
      <w:proofErr w:type="spellEnd"/>
      <w:r>
        <w:t xml:space="preserve"> file can also contain the mapping </w:t>
      </w:r>
      <w:r w:rsidR="00F41D75">
        <w:t xml:space="preserve">specification, which is </w:t>
      </w:r>
      <w:r w:rsidR="00416A06">
        <w:t xml:space="preserve">documented in the section </w:t>
      </w:r>
      <w:hyperlink w:anchor="_Mapping_Specification" w:history="1">
        <w:r w:rsidR="00416A06" w:rsidRPr="00933161">
          <w:rPr>
            <w:rStyle w:val="Hyperlink"/>
          </w:rPr>
          <w:t>Mapping Specification</w:t>
        </w:r>
      </w:hyperlink>
      <w:r w:rsidR="00416A06">
        <w:t>.</w:t>
      </w:r>
    </w:p>
    <w:p w14:paraId="08F39DCD" w14:textId="50C4004A" w:rsidR="00416A06" w:rsidRDefault="00416A06" w:rsidP="0039710E">
      <w:r>
        <w:t xml:space="preserve">The file is read with Python’s </w:t>
      </w:r>
      <w:proofErr w:type="spellStart"/>
      <w:r>
        <w:t>ConfigParser</w:t>
      </w:r>
      <w:proofErr w:type="spellEnd"/>
      <w:r>
        <w:t xml:space="preserve"> package, so the format is very much like a Microsoft .</w:t>
      </w:r>
      <w:proofErr w:type="spellStart"/>
      <w:r>
        <w:t>ini</w:t>
      </w:r>
      <w:proofErr w:type="spellEnd"/>
      <w:r>
        <w:t xml:space="preserve"> file.  It has sections whose name</w:t>
      </w:r>
      <w:r w:rsidR="001365C0">
        <w:t>s</w:t>
      </w:r>
      <w:r>
        <w:t xml:space="preserve"> </w:t>
      </w:r>
      <w:r w:rsidR="001365C0">
        <w:t>are</w:t>
      </w:r>
      <w:r>
        <w:t xml:space="preserve"> in square brackets, followed by keyword, value pairs separated by either : (colon) or = (equal sign).</w:t>
      </w:r>
      <w:r w:rsidR="00AE6A96">
        <w:t xml:space="preserve">  Pay attention to capital letters in keywords, they must match exactly.</w:t>
      </w:r>
    </w:p>
    <w:p w14:paraId="0016037C" w14:textId="76C7259D" w:rsidR="00416A06" w:rsidRDefault="00416A06" w:rsidP="00416A06">
      <w:pPr>
        <w:pStyle w:val="Heading3"/>
      </w:pPr>
      <w:r>
        <w:t>Section [common]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28"/>
        <w:gridCol w:w="2512"/>
        <w:gridCol w:w="6560"/>
      </w:tblGrid>
      <w:tr w:rsidR="00AE6A96" w14:paraId="64AA0A03" w14:textId="77777777" w:rsidTr="00BB6985">
        <w:tc>
          <w:tcPr>
            <w:tcW w:w="1405" w:type="dxa"/>
          </w:tcPr>
          <w:p w14:paraId="10A17ED3" w14:textId="40404376" w:rsidR="00AE6A96" w:rsidRDefault="00AE6A96" w:rsidP="00416A06">
            <w:pPr>
              <w:rPr>
                <w:rFonts w:ascii="Courier New" w:hAnsi="Courier New" w:cs="Courier New"/>
              </w:rPr>
            </w:pPr>
            <w:r>
              <w:rPr>
                <w:rFonts w:ascii="Courier New" w:hAnsi="Courier New" w:cs="Courier New"/>
              </w:rPr>
              <w:t>TimeZone</w:t>
            </w:r>
          </w:p>
        </w:tc>
        <w:tc>
          <w:tcPr>
            <w:tcW w:w="228" w:type="dxa"/>
            <w:tcMar>
              <w:left w:w="0" w:type="dxa"/>
              <w:right w:w="0" w:type="dxa"/>
            </w:tcMar>
          </w:tcPr>
          <w:p w14:paraId="1E8B174E" w14:textId="0D15FC27" w:rsidR="00AE6A96" w:rsidRDefault="00AE6A96" w:rsidP="00416A06">
            <w:pPr>
              <w:rPr>
                <w:rFonts w:ascii="Courier New" w:hAnsi="Courier New" w:cs="Courier New"/>
              </w:rPr>
            </w:pPr>
            <w:r>
              <w:rPr>
                <w:rFonts w:ascii="Courier New" w:hAnsi="Courier New" w:cs="Courier New"/>
              </w:rPr>
              <w:t>=</w:t>
            </w:r>
          </w:p>
        </w:tc>
        <w:tc>
          <w:tcPr>
            <w:tcW w:w="2512" w:type="dxa"/>
          </w:tcPr>
          <w:p w14:paraId="5909DD15" w14:textId="736C0AD8" w:rsidR="00AE6A96" w:rsidRPr="00AE6A96" w:rsidRDefault="00AE6A96" w:rsidP="00416A06">
            <w:pPr>
              <w:rPr>
                <w:rFonts w:cs="Times New Roman"/>
              </w:rPr>
            </w:pPr>
            <w:r>
              <w:rPr>
                <w:rFonts w:cs="Times New Roman"/>
              </w:rPr>
              <w:t>IANA time zone name</w:t>
            </w:r>
          </w:p>
        </w:tc>
        <w:tc>
          <w:tcPr>
            <w:tcW w:w="6560" w:type="dxa"/>
          </w:tcPr>
          <w:p w14:paraId="6A734EFC" w14:textId="18032422" w:rsidR="00AE6A96" w:rsidRPr="00B06F4C" w:rsidRDefault="00AE6A96" w:rsidP="00416A06">
            <w:pPr>
              <w:rPr>
                <w:rFonts w:cs="Times New Roman"/>
                <w:i/>
                <w:iCs/>
              </w:rPr>
            </w:pPr>
            <w:r>
              <w:rPr>
                <w:rFonts w:cs="Times New Roman"/>
              </w:rPr>
              <w:t xml:space="preserve">This is the desired time zone that all </w:t>
            </w:r>
            <w:r w:rsidR="00B06F4C">
              <w:rPr>
                <w:rFonts w:cs="Times New Roman"/>
              </w:rPr>
              <w:t>date-timestamps will be cast into before being written to the output.  In the OFX standard all date fields are in date-timestamp format, with time zone, and there is considerable leeway as to which time zone is used</w:t>
            </w:r>
            <w:r w:rsidR="002059F4">
              <w:rPr>
                <w:rFonts w:cs="Times New Roman"/>
              </w:rPr>
              <w:t xml:space="preserve"> even within a single file</w:t>
            </w:r>
            <w:r w:rsidR="00B06F4C">
              <w:rPr>
                <w:rFonts w:cs="Times New Roman"/>
              </w:rPr>
              <w:t xml:space="preserve">.  This </w:t>
            </w:r>
            <w:r w:rsidR="00933161">
              <w:rPr>
                <w:rFonts w:cs="Times New Roman"/>
              </w:rPr>
              <w:t xml:space="preserve">conversion </w:t>
            </w:r>
            <w:r w:rsidR="00B06F4C">
              <w:rPr>
                <w:rFonts w:cs="Times New Roman"/>
              </w:rPr>
              <w:t xml:space="preserve">ensures consistency of time-of-day treatment within your database.  </w:t>
            </w:r>
            <w:r w:rsidR="00B06F4C">
              <w:rPr>
                <w:rFonts w:cs="Times New Roman"/>
                <w:i/>
                <w:iCs/>
              </w:rPr>
              <w:t>(</w:t>
            </w:r>
            <w:proofErr w:type="spellStart"/>
            <w:r w:rsidR="00B06F4C">
              <w:rPr>
                <w:rFonts w:cs="Times New Roman"/>
                <w:i/>
                <w:iCs/>
              </w:rPr>
              <w:t>default:</w:t>
            </w:r>
            <w:r w:rsidR="00B06F4C" w:rsidRPr="00B06F4C">
              <w:rPr>
                <w:rFonts w:cs="Times New Roman"/>
                <w:i/>
                <w:iCs/>
              </w:rPr>
              <w:t>America</w:t>
            </w:r>
            <w:proofErr w:type="spellEnd"/>
            <w:r w:rsidR="00B06F4C" w:rsidRPr="00B06F4C">
              <w:rPr>
                <w:rFonts w:cs="Times New Roman"/>
                <w:i/>
                <w:iCs/>
              </w:rPr>
              <w:t>/</w:t>
            </w:r>
            <w:proofErr w:type="spellStart"/>
            <w:r w:rsidR="00B06F4C" w:rsidRPr="00B06F4C">
              <w:rPr>
                <w:rFonts w:cs="Times New Roman"/>
                <w:i/>
                <w:iCs/>
              </w:rPr>
              <w:t>New_York</w:t>
            </w:r>
            <w:proofErr w:type="spellEnd"/>
            <w:r w:rsidR="00B06F4C">
              <w:rPr>
                <w:rFonts w:cs="Times New Roman"/>
                <w:i/>
                <w:iCs/>
              </w:rPr>
              <w:t>)</w:t>
            </w:r>
          </w:p>
        </w:tc>
      </w:tr>
      <w:tr w:rsidR="00AE6A96" w14:paraId="5661A924" w14:textId="77777777" w:rsidTr="00BB6985">
        <w:tc>
          <w:tcPr>
            <w:tcW w:w="1405" w:type="dxa"/>
          </w:tcPr>
          <w:p w14:paraId="6A4F0794" w14:textId="7909D692" w:rsidR="00AE6A96" w:rsidRDefault="00AE6A96" w:rsidP="00416A06">
            <w:pPr>
              <w:rPr>
                <w:rFonts w:ascii="Courier New" w:hAnsi="Courier New" w:cs="Courier New"/>
              </w:rPr>
            </w:pPr>
            <w:r>
              <w:rPr>
                <w:rFonts w:ascii="Courier New" w:hAnsi="Courier New" w:cs="Courier New"/>
              </w:rPr>
              <w:t>Writer</w:t>
            </w:r>
          </w:p>
        </w:tc>
        <w:tc>
          <w:tcPr>
            <w:tcW w:w="228" w:type="dxa"/>
            <w:tcMar>
              <w:left w:w="0" w:type="dxa"/>
              <w:right w:w="0" w:type="dxa"/>
            </w:tcMar>
          </w:tcPr>
          <w:p w14:paraId="74E2A795" w14:textId="1F771699" w:rsidR="00AE6A96" w:rsidRDefault="00AE6A96" w:rsidP="00416A06">
            <w:pPr>
              <w:rPr>
                <w:rFonts w:ascii="Courier New" w:hAnsi="Courier New" w:cs="Courier New"/>
              </w:rPr>
            </w:pPr>
            <w:r>
              <w:rPr>
                <w:rFonts w:ascii="Courier New" w:hAnsi="Courier New" w:cs="Courier New"/>
              </w:rPr>
              <w:t>=</w:t>
            </w:r>
          </w:p>
        </w:tc>
        <w:tc>
          <w:tcPr>
            <w:tcW w:w="2512" w:type="dxa"/>
          </w:tcPr>
          <w:p w14:paraId="3643F1C5" w14:textId="297EBB5F" w:rsidR="00AE6A96" w:rsidRDefault="00AE6A96" w:rsidP="00416A06">
            <w:pPr>
              <w:rPr>
                <w:rFonts w:ascii="Courier New" w:hAnsi="Courier New" w:cs="Courier New"/>
              </w:rPr>
            </w:pPr>
            <w:r>
              <w:rPr>
                <w:rFonts w:ascii="Courier New" w:hAnsi="Courier New" w:cs="Courier New"/>
              </w:rPr>
              <w:t xml:space="preserve">Postgres </w:t>
            </w:r>
            <w:r w:rsidRPr="00AE6A96">
              <w:rPr>
                <w:rFonts w:cs="Times New Roman"/>
              </w:rPr>
              <w:t>or</w:t>
            </w:r>
            <w:r>
              <w:rPr>
                <w:rFonts w:ascii="Courier New" w:hAnsi="Courier New" w:cs="Courier New"/>
              </w:rPr>
              <w:t xml:space="preserve"> Excel</w:t>
            </w:r>
            <w:r w:rsidR="00662471">
              <w:rPr>
                <w:rFonts w:ascii="Courier New" w:hAnsi="Courier New" w:cs="Courier New"/>
              </w:rPr>
              <w:t xml:space="preserve"> </w:t>
            </w:r>
            <w:r w:rsidR="00662471" w:rsidRPr="00AE6A96">
              <w:rPr>
                <w:rFonts w:cs="Times New Roman"/>
              </w:rPr>
              <w:t>or</w:t>
            </w:r>
            <w:r w:rsidR="00662471">
              <w:rPr>
                <w:rFonts w:ascii="Courier New" w:hAnsi="Courier New" w:cs="Courier New"/>
              </w:rPr>
              <w:t xml:space="preserve"> </w:t>
            </w:r>
            <w:r w:rsidR="00662471">
              <w:rPr>
                <w:rFonts w:ascii="Courier New" w:hAnsi="Courier New" w:cs="Courier New"/>
              </w:rPr>
              <w:t>CSV</w:t>
            </w:r>
          </w:p>
        </w:tc>
        <w:tc>
          <w:tcPr>
            <w:tcW w:w="6560" w:type="dxa"/>
          </w:tcPr>
          <w:p w14:paraId="679EE91B" w14:textId="2979E0E5" w:rsidR="00AE6A96" w:rsidRPr="00BB6985" w:rsidRDefault="00B06F4C" w:rsidP="00416A06">
            <w:pPr>
              <w:rPr>
                <w:rFonts w:cs="Times New Roman"/>
                <w:i/>
                <w:iCs/>
              </w:rPr>
            </w:pPr>
            <w:r>
              <w:rPr>
                <w:rFonts w:cs="Times New Roman"/>
              </w:rPr>
              <w:t xml:space="preserve">The desired output format. </w:t>
            </w:r>
            <w:r w:rsidR="00BB6985">
              <w:rPr>
                <w:rFonts w:cs="Times New Roman"/>
                <w:i/>
                <w:iCs/>
              </w:rPr>
              <w:t>(</w:t>
            </w:r>
            <w:proofErr w:type="spellStart"/>
            <w:r w:rsidR="00BB6985">
              <w:rPr>
                <w:rFonts w:cs="Times New Roman"/>
                <w:i/>
                <w:iCs/>
              </w:rPr>
              <w:t>default:Postgres</w:t>
            </w:r>
            <w:proofErr w:type="spellEnd"/>
            <w:r w:rsidR="00BB6985">
              <w:rPr>
                <w:rFonts w:cs="Times New Roman"/>
                <w:i/>
                <w:iCs/>
              </w:rPr>
              <w:t>)</w:t>
            </w:r>
          </w:p>
        </w:tc>
      </w:tr>
      <w:tr w:rsidR="00AE6A96" w14:paraId="74E3979A" w14:textId="77777777" w:rsidTr="00BB6985">
        <w:tc>
          <w:tcPr>
            <w:tcW w:w="1405" w:type="dxa"/>
          </w:tcPr>
          <w:p w14:paraId="7BA2BF56" w14:textId="565B714A" w:rsidR="00AE6A96" w:rsidRDefault="00AE6A96" w:rsidP="00416A06">
            <w:pPr>
              <w:rPr>
                <w:rFonts w:ascii="Courier New" w:hAnsi="Courier New" w:cs="Courier New"/>
              </w:rPr>
            </w:pPr>
            <w:r>
              <w:rPr>
                <w:rFonts w:ascii="Courier New" w:hAnsi="Courier New" w:cs="Courier New"/>
              </w:rPr>
              <w:t>OFXFile</w:t>
            </w:r>
          </w:p>
        </w:tc>
        <w:tc>
          <w:tcPr>
            <w:tcW w:w="228" w:type="dxa"/>
            <w:tcMar>
              <w:left w:w="0" w:type="dxa"/>
              <w:right w:w="0" w:type="dxa"/>
            </w:tcMar>
          </w:tcPr>
          <w:p w14:paraId="2D9350B6" w14:textId="36AAA86D" w:rsidR="00AE6A96" w:rsidRDefault="00AE6A96" w:rsidP="00416A06">
            <w:pPr>
              <w:rPr>
                <w:rFonts w:ascii="Courier New" w:hAnsi="Courier New" w:cs="Courier New"/>
              </w:rPr>
            </w:pPr>
            <w:r>
              <w:rPr>
                <w:rFonts w:ascii="Courier New" w:hAnsi="Courier New" w:cs="Courier New"/>
              </w:rPr>
              <w:t>=</w:t>
            </w:r>
          </w:p>
        </w:tc>
        <w:tc>
          <w:tcPr>
            <w:tcW w:w="2512" w:type="dxa"/>
          </w:tcPr>
          <w:p w14:paraId="078C235F" w14:textId="4264674D" w:rsidR="00AE6A96" w:rsidRPr="00AE6A96" w:rsidRDefault="00AE6A96" w:rsidP="00416A06">
            <w:pPr>
              <w:rPr>
                <w:rFonts w:cs="Times New Roman"/>
              </w:rPr>
            </w:pPr>
            <w:r w:rsidRPr="00AE6A96">
              <w:rPr>
                <w:rFonts w:cs="Times New Roman"/>
              </w:rPr>
              <w:t>File specification</w:t>
            </w:r>
          </w:p>
        </w:tc>
        <w:tc>
          <w:tcPr>
            <w:tcW w:w="6560" w:type="dxa"/>
          </w:tcPr>
          <w:p w14:paraId="2635B168" w14:textId="41FDD6E9" w:rsidR="00AE6A96" w:rsidRPr="00AE6A96" w:rsidRDefault="00BB6985" w:rsidP="00416A06">
            <w:pPr>
              <w:rPr>
                <w:rFonts w:cs="Times New Roman"/>
              </w:rPr>
            </w:pPr>
            <w:r>
              <w:rPr>
                <w:rFonts w:cs="Times New Roman"/>
              </w:rPr>
              <w:t>The name and location of the downloaded OFX file from the financial institution.  You can also specify it on the command line, just after the OFXtoDB program name</w:t>
            </w:r>
            <w:r w:rsidR="001365C0">
              <w:rPr>
                <w:rFonts w:cs="Times New Roman"/>
              </w:rPr>
              <w:t xml:space="preserve"> and </w:t>
            </w:r>
            <w:r>
              <w:rPr>
                <w:rFonts w:cs="Times New Roman"/>
              </w:rPr>
              <w:t>it</w:t>
            </w:r>
            <w:r w:rsidR="001365C0">
              <w:rPr>
                <w:rFonts w:cs="Times New Roman"/>
              </w:rPr>
              <w:t xml:space="preserve"> will</w:t>
            </w:r>
            <w:r>
              <w:rPr>
                <w:rFonts w:cs="Times New Roman"/>
              </w:rPr>
              <w:t xml:space="preserve"> override anything you specify </w:t>
            </w:r>
            <w:r w:rsidR="001365C0">
              <w:rPr>
                <w:rFonts w:cs="Times New Roman"/>
              </w:rPr>
              <w:t>i</w:t>
            </w:r>
            <w:r>
              <w:rPr>
                <w:rFonts w:cs="Times New Roman"/>
              </w:rPr>
              <w:t xml:space="preserve">n the </w:t>
            </w:r>
            <w:r w:rsidR="001365C0">
              <w:rPr>
                <w:rFonts w:cs="Times New Roman"/>
              </w:rPr>
              <w:t>.</w:t>
            </w:r>
            <w:proofErr w:type="spellStart"/>
            <w:r w:rsidR="001365C0">
              <w:rPr>
                <w:rFonts w:cs="Times New Roman"/>
              </w:rPr>
              <w:t>ini</w:t>
            </w:r>
            <w:proofErr w:type="spellEnd"/>
            <w:r w:rsidR="001365C0">
              <w:rPr>
                <w:rFonts w:cs="Times New Roman"/>
              </w:rPr>
              <w:t xml:space="preserve"> file</w:t>
            </w:r>
            <w:r>
              <w:rPr>
                <w:rFonts w:cs="Times New Roman"/>
              </w:rPr>
              <w:t>.</w:t>
            </w:r>
          </w:p>
        </w:tc>
      </w:tr>
    </w:tbl>
    <w:p w14:paraId="79FFD8CD" w14:textId="5D9C0F0A" w:rsidR="00AE6A96" w:rsidRDefault="00BB6985" w:rsidP="00BB6985">
      <w:pPr>
        <w:pStyle w:val="Heading3"/>
      </w:pPr>
      <w:r>
        <w:t>Section [Postgres]</w:t>
      </w:r>
      <w:r w:rsidR="001365C0">
        <w:t xml:space="preserve">  - </w:t>
      </w:r>
      <w:r w:rsidR="001365C0" w:rsidRPr="001365C0">
        <w:rPr>
          <w:sz w:val="20"/>
          <w:szCs w:val="20"/>
        </w:rPr>
        <w:t>Parameters specific to the Postgres writer</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228"/>
        <w:gridCol w:w="2438"/>
        <w:gridCol w:w="6560"/>
      </w:tblGrid>
      <w:tr w:rsidR="00BB6985" w14:paraId="3DCC706C" w14:textId="77777777" w:rsidTr="00603993">
        <w:tc>
          <w:tcPr>
            <w:tcW w:w="1537" w:type="dxa"/>
          </w:tcPr>
          <w:p w14:paraId="076CF6AF" w14:textId="3A486810" w:rsidR="00BB6985" w:rsidRDefault="00BB6985" w:rsidP="00603993">
            <w:pPr>
              <w:rPr>
                <w:rFonts w:ascii="Courier New" w:hAnsi="Courier New" w:cs="Courier New"/>
              </w:rPr>
            </w:pPr>
            <w:r>
              <w:rPr>
                <w:rFonts w:ascii="Courier New" w:hAnsi="Courier New" w:cs="Courier New"/>
              </w:rPr>
              <w:t>host</w:t>
            </w:r>
          </w:p>
        </w:tc>
        <w:tc>
          <w:tcPr>
            <w:tcW w:w="228" w:type="dxa"/>
            <w:tcMar>
              <w:left w:w="0" w:type="dxa"/>
              <w:right w:w="0" w:type="dxa"/>
            </w:tcMar>
          </w:tcPr>
          <w:p w14:paraId="7A403B76" w14:textId="77777777" w:rsidR="00BB6985" w:rsidRDefault="00BB6985" w:rsidP="00603993">
            <w:pPr>
              <w:rPr>
                <w:rFonts w:ascii="Courier New" w:hAnsi="Courier New" w:cs="Courier New"/>
              </w:rPr>
            </w:pPr>
            <w:r>
              <w:rPr>
                <w:rFonts w:ascii="Courier New" w:hAnsi="Courier New" w:cs="Courier New"/>
              </w:rPr>
              <w:t>=</w:t>
            </w:r>
          </w:p>
        </w:tc>
        <w:tc>
          <w:tcPr>
            <w:tcW w:w="2438" w:type="dxa"/>
          </w:tcPr>
          <w:p w14:paraId="0D361E4C" w14:textId="190B2CD1" w:rsidR="00BB6985" w:rsidRPr="00AE6A96" w:rsidRDefault="00BB6985" w:rsidP="00603993">
            <w:pPr>
              <w:rPr>
                <w:rFonts w:cs="Times New Roman"/>
              </w:rPr>
            </w:pPr>
            <w:r>
              <w:rPr>
                <w:rFonts w:cs="Times New Roman"/>
              </w:rPr>
              <w:t>Postgres hostname</w:t>
            </w:r>
          </w:p>
        </w:tc>
        <w:tc>
          <w:tcPr>
            <w:tcW w:w="6560" w:type="dxa"/>
          </w:tcPr>
          <w:p w14:paraId="703509F8" w14:textId="4A6834BE" w:rsidR="00BB6985" w:rsidRPr="00B06F4C" w:rsidRDefault="00BB6985" w:rsidP="00603993">
            <w:pPr>
              <w:rPr>
                <w:rFonts w:cs="Times New Roman"/>
                <w:i/>
                <w:iCs/>
              </w:rPr>
            </w:pPr>
            <w:r>
              <w:rPr>
                <w:rFonts w:cs="Times New Roman"/>
              </w:rPr>
              <w:t xml:space="preserve">The next </w:t>
            </w:r>
            <w:r w:rsidR="00C23318">
              <w:rPr>
                <w:rFonts w:cs="Times New Roman"/>
              </w:rPr>
              <w:t>five</w:t>
            </w:r>
            <w:r>
              <w:rPr>
                <w:rFonts w:cs="Times New Roman"/>
              </w:rPr>
              <w:t xml:space="preserve"> parameters are used to establish a database connection.  </w:t>
            </w:r>
            <w:r>
              <w:rPr>
                <w:rFonts w:cs="Times New Roman"/>
                <w:i/>
                <w:iCs/>
              </w:rPr>
              <w:t>(</w:t>
            </w:r>
            <w:proofErr w:type="spellStart"/>
            <w:r>
              <w:rPr>
                <w:rFonts w:cs="Times New Roman"/>
                <w:i/>
                <w:iCs/>
              </w:rPr>
              <w:t>default:localhost</w:t>
            </w:r>
            <w:proofErr w:type="spellEnd"/>
            <w:r>
              <w:rPr>
                <w:rFonts w:cs="Times New Roman"/>
                <w:i/>
                <w:iCs/>
              </w:rPr>
              <w:t>)</w:t>
            </w:r>
          </w:p>
        </w:tc>
      </w:tr>
      <w:tr w:rsidR="00C23318" w14:paraId="6538C047" w14:textId="77777777" w:rsidTr="00603993">
        <w:tc>
          <w:tcPr>
            <w:tcW w:w="1537" w:type="dxa"/>
          </w:tcPr>
          <w:p w14:paraId="0E2A387A" w14:textId="143F3EB5" w:rsidR="00C23318" w:rsidRDefault="00C23318" w:rsidP="00603993">
            <w:pPr>
              <w:rPr>
                <w:rFonts w:ascii="Courier New" w:hAnsi="Courier New" w:cs="Courier New"/>
              </w:rPr>
            </w:pPr>
            <w:r>
              <w:rPr>
                <w:rFonts w:ascii="Courier New" w:hAnsi="Courier New" w:cs="Courier New"/>
              </w:rPr>
              <w:t>port</w:t>
            </w:r>
          </w:p>
        </w:tc>
        <w:tc>
          <w:tcPr>
            <w:tcW w:w="228" w:type="dxa"/>
            <w:tcMar>
              <w:left w:w="0" w:type="dxa"/>
              <w:right w:w="0" w:type="dxa"/>
            </w:tcMar>
          </w:tcPr>
          <w:p w14:paraId="04C56C14" w14:textId="59556AFD" w:rsidR="00C23318" w:rsidRDefault="00C23318" w:rsidP="00603993">
            <w:pPr>
              <w:rPr>
                <w:rFonts w:ascii="Courier New" w:hAnsi="Courier New" w:cs="Courier New"/>
              </w:rPr>
            </w:pPr>
            <w:r>
              <w:rPr>
                <w:rFonts w:ascii="Courier New" w:hAnsi="Courier New" w:cs="Courier New"/>
              </w:rPr>
              <w:t>=</w:t>
            </w:r>
          </w:p>
        </w:tc>
        <w:tc>
          <w:tcPr>
            <w:tcW w:w="2438" w:type="dxa"/>
          </w:tcPr>
          <w:p w14:paraId="24CFE0E2" w14:textId="4EA362B6" w:rsidR="00C23318" w:rsidRDefault="00C23318" w:rsidP="00603993">
            <w:pPr>
              <w:rPr>
                <w:rFonts w:cs="Times New Roman"/>
              </w:rPr>
            </w:pPr>
            <w:r>
              <w:rPr>
                <w:rFonts w:cs="Times New Roman"/>
              </w:rPr>
              <w:t>Postgres listener port</w:t>
            </w:r>
          </w:p>
        </w:tc>
        <w:tc>
          <w:tcPr>
            <w:tcW w:w="6560" w:type="dxa"/>
          </w:tcPr>
          <w:p w14:paraId="55F2F89F" w14:textId="76DD3D45" w:rsidR="00C23318" w:rsidRDefault="00C23318" w:rsidP="00603993">
            <w:pPr>
              <w:rPr>
                <w:rFonts w:cs="Times New Roman"/>
                <w:i/>
                <w:iCs/>
              </w:rPr>
            </w:pPr>
            <w:r>
              <w:rPr>
                <w:rFonts w:cs="Times New Roman"/>
                <w:i/>
                <w:iCs/>
              </w:rPr>
              <w:t>(default:5432)</w:t>
            </w:r>
          </w:p>
        </w:tc>
      </w:tr>
      <w:tr w:rsidR="00BB6985" w14:paraId="724268B2" w14:textId="77777777" w:rsidTr="00603993">
        <w:tc>
          <w:tcPr>
            <w:tcW w:w="1537" w:type="dxa"/>
          </w:tcPr>
          <w:p w14:paraId="6701A67D" w14:textId="156BBC6B" w:rsidR="00BB6985" w:rsidRDefault="00B827BB" w:rsidP="00603993">
            <w:pPr>
              <w:rPr>
                <w:rFonts w:ascii="Courier New" w:hAnsi="Courier New" w:cs="Courier New"/>
              </w:rPr>
            </w:pPr>
            <w:r>
              <w:rPr>
                <w:rFonts w:ascii="Courier New" w:hAnsi="Courier New" w:cs="Courier New"/>
              </w:rPr>
              <w:t>dbname</w:t>
            </w:r>
          </w:p>
        </w:tc>
        <w:tc>
          <w:tcPr>
            <w:tcW w:w="228" w:type="dxa"/>
            <w:tcMar>
              <w:left w:w="0" w:type="dxa"/>
              <w:right w:w="0" w:type="dxa"/>
            </w:tcMar>
          </w:tcPr>
          <w:p w14:paraId="455CFFA6" w14:textId="77777777" w:rsidR="00BB6985" w:rsidRDefault="00BB6985" w:rsidP="00603993">
            <w:pPr>
              <w:rPr>
                <w:rFonts w:ascii="Courier New" w:hAnsi="Courier New" w:cs="Courier New"/>
              </w:rPr>
            </w:pPr>
            <w:r>
              <w:rPr>
                <w:rFonts w:ascii="Courier New" w:hAnsi="Courier New" w:cs="Courier New"/>
              </w:rPr>
              <w:t>=</w:t>
            </w:r>
          </w:p>
        </w:tc>
        <w:tc>
          <w:tcPr>
            <w:tcW w:w="2438" w:type="dxa"/>
          </w:tcPr>
          <w:p w14:paraId="1BC84EE9" w14:textId="3748382F" w:rsidR="00BB6985" w:rsidRDefault="00B827BB" w:rsidP="00603993">
            <w:pPr>
              <w:rPr>
                <w:rFonts w:ascii="Courier New" w:hAnsi="Courier New" w:cs="Courier New"/>
              </w:rPr>
            </w:pPr>
            <w:r>
              <w:rPr>
                <w:rFonts w:cs="Times New Roman"/>
              </w:rPr>
              <w:t>Postgres database name</w:t>
            </w:r>
          </w:p>
        </w:tc>
        <w:tc>
          <w:tcPr>
            <w:tcW w:w="6560" w:type="dxa"/>
          </w:tcPr>
          <w:p w14:paraId="6E87FEAF" w14:textId="60F5773F" w:rsidR="00BB6985" w:rsidRPr="00BB6985" w:rsidRDefault="00BB6985" w:rsidP="00603993">
            <w:pPr>
              <w:rPr>
                <w:rFonts w:cs="Times New Roman"/>
                <w:i/>
                <w:iCs/>
              </w:rPr>
            </w:pPr>
            <w:r>
              <w:rPr>
                <w:rFonts w:cs="Times New Roman"/>
                <w:i/>
                <w:iCs/>
              </w:rPr>
              <w:t>(</w:t>
            </w:r>
            <w:proofErr w:type="spellStart"/>
            <w:r>
              <w:rPr>
                <w:rFonts w:cs="Times New Roman"/>
                <w:i/>
                <w:iCs/>
              </w:rPr>
              <w:t>default:</w:t>
            </w:r>
            <w:r w:rsidR="00B827BB">
              <w:rPr>
                <w:rFonts w:cs="Times New Roman"/>
                <w:i/>
                <w:iCs/>
              </w:rPr>
              <w:t>p</w:t>
            </w:r>
            <w:r>
              <w:rPr>
                <w:rFonts w:cs="Times New Roman"/>
                <w:i/>
                <w:iCs/>
              </w:rPr>
              <w:t>ostgres</w:t>
            </w:r>
            <w:proofErr w:type="spellEnd"/>
            <w:r>
              <w:rPr>
                <w:rFonts w:cs="Times New Roman"/>
                <w:i/>
                <w:iCs/>
              </w:rPr>
              <w:t>)</w:t>
            </w:r>
          </w:p>
        </w:tc>
      </w:tr>
      <w:tr w:rsidR="00BB6985" w14:paraId="382F7684" w14:textId="77777777" w:rsidTr="00603993">
        <w:tc>
          <w:tcPr>
            <w:tcW w:w="1537" w:type="dxa"/>
          </w:tcPr>
          <w:p w14:paraId="78B76EDE" w14:textId="1ADA3A5C" w:rsidR="00BB6985" w:rsidRDefault="00B827BB" w:rsidP="00603993">
            <w:pPr>
              <w:rPr>
                <w:rFonts w:ascii="Courier New" w:hAnsi="Courier New" w:cs="Courier New"/>
              </w:rPr>
            </w:pPr>
            <w:r>
              <w:rPr>
                <w:rFonts w:ascii="Courier New" w:hAnsi="Courier New" w:cs="Courier New"/>
              </w:rPr>
              <w:t>user</w:t>
            </w:r>
          </w:p>
        </w:tc>
        <w:tc>
          <w:tcPr>
            <w:tcW w:w="228" w:type="dxa"/>
            <w:tcMar>
              <w:left w:w="0" w:type="dxa"/>
              <w:right w:w="0" w:type="dxa"/>
            </w:tcMar>
          </w:tcPr>
          <w:p w14:paraId="302544BE" w14:textId="77777777" w:rsidR="00BB6985" w:rsidRDefault="00BB6985" w:rsidP="00603993">
            <w:pPr>
              <w:rPr>
                <w:rFonts w:ascii="Courier New" w:hAnsi="Courier New" w:cs="Courier New"/>
              </w:rPr>
            </w:pPr>
            <w:r>
              <w:rPr>
                <w:rFonts w:ascii="Courier New" w:hAnsi="Courier New" w:cs="Courier New"/>
              </w:rPr>
              <w:t>=</w:t>
            </w:r>
          </w:p>
        </w:tc>
        <w:tc>
          <w:tcPr>
            <w:tcW w:w="2438" w:type="dxa"/>
          </w:tcPr>
          <w:p w14:paraId="20CAFDE0" w14:textId="4C9D5CD4" w:rsidR="00BB6985" w:rsidRPr="00AE6A96" w:rsidRDefault="00B827BB" w:rsidP="00603993">
            <w:pPr>
              <w:rPr>
                <w:rFonts w:cs="Times New Roman"/>
              </w:rPr>
            </w:pPr>
            <w:r>
              <w:rPr>
                <w:rFonts w:cs="Times New Roman"/>
              </w:rPr>
              <w:t>Postgres user ID</w:t>
            </w:r>
          </w:p>
        </w:tc>
        <w:tc>
          <w:tcPr>
            <w:tcW w:w="6560" w:type="dxa"/>
          </w:tcPr>
          <w:p w14:paraId="267A2D7A" w14:textId="62BB9AED" w:rsidR="00BB6985" w:rsidRPr="00AE6A96" w:rsidRDefault="00B827BB" w:rsidP="00603993">
            <w:pPr>
              <w:rPr>
                <w:rFonts w:cs="Times New Roman"/>
              </w:rPr>
            </w:pPr>
            <w:r>
              <w:rPr>
                <w:rFonts w:cs="Times New Roman"/>
                <w:i/>
                <w:iCs/>
              </w:rPr>
              <w:t>(</w:t>
            </w:r>
            <w:proofErr w:type="spellStart"/>
            <w:r>
              <w:rPr>
                <w:rFonts w:cs="Times New Roman"/>
                <w:i/>
                <w:iCs/>
              </w:rPr>
              <w:t>default:postgres</w:t>
            </w:r>
            <w:proofErr w:type="spellEnd"/>
            <w:r>
              <w:rPr>
                <w:rFonts w:cs="Times New Roman"/>
                <w:i/>
                <w:iCs/>
              </w:rPr>
              <w:t>)</w:t>
            </w:r>
          </w:p>
        </w:tc>
      </w:tr>
      <w:tr w:rsidR="00B827BB" w14:paraId="6AAA6F04" w14:textId="77777777" w:rsidTr="00603993">
        <w:tc>
          <w:tcPr>
            <w:tcW w:w="1537" w:type="dxa"/>
          </w:tcPr>
          <w:p w14:paraId="38E2B134" w14:textId="36A13B71" w:rsidR="00B827BB" w:rsidRDefault="00B827BB" w:rsidP="00603993">
            <w:pPr>
              <w:rPr>
                <w:rFonts w:ascii="Courier New" w:hAnsi="Courier New" w:cs="Courier New"/>
              </w:rPr>
            </w:pPr>
            <w:r>
              <w:rPr>
                <w:rFonts w:ascii="Courier New" w:hAnsi="Courier New" w:cs="Courier New"/>
              </w:rPr>
              <w:t>password</w:t>
            </w:r>
          </w:p>
        </w:tc>
        <w:tc>
          <w:tcPr>
            <w:tcW w:w="228" w:type="dxa"/>
            <w:tcMar>
              <w:left w:w="0" w:type="dxa"/>
              <w:right w:w="0" w:type="dxa"/>
            </w:tcMar>
          </w:tcPr>
          <w:p w14:paraId="6BB4DB19" w14:textId="62723EB5" w:rsidR="00B827BB" w:rsidRDefault="00B827BB" w:rsidP="00603993">
            <w:pPr>
              <w:rPr>
                <w:rFonts w:ascii="Courier New" w:hAnsi="Courier New" w:cs="Courier New"/>
              </w:rPr>
            </w:pPr>
            <w:r>
              <w:rPr>
                <w:rFonts w:ascii="Courier New" w:hAnsi="Courier New" w:cs="Courier New"/>
              </w:rPr>
              <w:t>=</w:t>
            </w:r>
          </w:p>
        </w:tc>
        <w:tc>
          <w:tcPr>
            <w:tcW w:w="2438" w:type="dxa"/>
          </w:tcPr>
          <w:p w14:paraId="14464BAA" w14:textId="13285D5C" w:rsidR="00B827BB" w:rsidRDefault="00B827BB" w:rsidP="00603993">
            <w:pPr>
              <w:rPr>
                <w:rFonts w:cs="Times New Roman"/>
              </w:rPr>
            </w:pPr>
            <w:r>
              <w:rPr>
                <w:rFonts w:cs="Times New Roman"/>
              </w:rPr>
              <w:t>Password for the user ID</w:t>
            </w:r>
          </w:p>
        </w:tc>
        <w:tc>
          <w:tcPr>
            <w:tcW w:w="6560" w:type="dxa"/>
          </w:tcPr>
          <w:p w14:paraId="67D17CB7" w14:textId="060B8B3B" w:rsidR="00B827BB" w:rsidRDefault="00933161" w:rsidP="00603993">
            <w:pPr>
              <w:rPr>
                <w:rFonts w:cs="Times New Roman"/>
                <w:i/>
                <w:iCs/>
              </w:rPr>
            </w:pPr>
            <w:r>
              <w:rPr>
                <w:rFonts w:cs="Times New Roman"/>
              </w:rPr>
              <w:t>For security purposes, i</w:t>
            </w:r>
            <w:r w:rsidR="00B827BB">
              <w:rPr>
                <w:rFonts w:cs="Times New Roman"/>
              </w:rPr>
              <w:t xml:space="preserve">t is assumed that the user ID is a Postgres role that has been suitably restricted to working solely within a single </w:t>
            </w:r>
            <w:r w:rsidR="00B827BB">
              <w:rPr>
                <w:rFonts w:cs="Times New Roman"/>
              </w:rPr>
              <w:lastRenderedPageBreak/>
              <w:t>schema.  See the section “</w:t>
            </w:r>
            <w:hyperlink w:anchor="_How_To_Create" w:history="1">
              <w:r w:rsidR="00B827BB" w:rsidRPr="00933161">
                <w:rPr>
                  <w:rStyle w:val="Hyperlink"/>
                  <w:rFonts w:cs="Times New Roman"/>
                </w:rPr>
                <w:t xml:space="preserve">How To Create a Schema Sandbox in </w:t>
              </w:r>
              <w:proofErr w:type="spellStart"/>
              <w:r w:rsidR="00B827BB" w:rsidRPr="00933161">
                <w:rPr>
                  <w:rStyle w:val="Hyperlink"/>
                  <w:rFonts w:cs="Times New Roman"/>
                </w:rPr>
                <w:t>Postgresql</w:t>
              </w:r>
              <w:proofErr w:type="spellEnd"/>
            </w:hyperlink>
            <w:r w:rsidR="00B827BB">
              <w:rPr>
                <w:rFonts w:cs="Times New Roman"/>
              </w:rPr>
              <w:t>” for instructions on how to set up such an ID.</w:t>
            </w:r>
          </w:p>
        </w:tc>
      </w:tr>
      <w:tr w:rsidR="00B827BB" w14:paraId="48387C16" w14:textId="77777777" w:rsidTr="00603993">
        <w:tc>
          <w:tcPr>
            <w:tcW w:w="1537" w:type="dxa"/>
          </w:tcPr>
          <w:p w14:paraId="2771D3EE" w14:textId="7339C645" w:rsidR="00B827BB" w:rsidRDefault="00662471" w:rsidP="00603993">
            <w:pPr>
              <w:rPr>
                <w:rFonts w:ascii="Courier New" w:hAnsi="Courier New" w:cs="Courier New"/>
              </w:rPr>
            </w:pPr>
            <w:r>
              <w:rPr>
                <w:rFonts w:ascii="Courier New" w:hAnsi="Courier New" w:cs="Courier New"/>
              </w:rPr>
              <w:lastRenderedPageBreak/>
              <w:t>s</w:t>
            </w:r>
            <w:r w:rsidR="00B827BB">
              <w:rPr>
                <w:rFonts w:ascii="Courier New" w:hAnsi="Courier New" w:cs="Courier New"/>
              </w:rPr>
              <w:t>chema</w:t>
            </w:r>
          </w:p>
        </w:tc>
        <w:tc>
          <w:tcPr>
            <w:tcW w:w="228" w:type="dxa"/>
            <w:tcMar>
              <w:left w:w="0" w:type="dxa"/>
              <w:right w:w="0" w:type="dxa"/>
            </w:tcMar>
          </w:tcPr>
          <w:p w14:paraId="54DC2561" w14:textId="161DB3E8" w:rsidR="00B827BB" w:rsidRDefault="00B827BB" w:rsidP="00603993">
            <w:pPr>
              <w:rPr>
                <w:rFonts w:ascii="Courier New" w:hAnsi="Courier New" w:cs="Courier New"/>
              </w:rPr>
            </w:pPr>
            <w:r>
              <w:rPr>
                <w:rFonts w:ascii="Courier New" w:hAnsi="Courier New" w:cs="Courier New"/>
              </w:rPr>
              <w:t>=</w:t>
            </w:r>
          </w:p>
        </w:tc>
        <w:tc>
          <w:tcPr>
            <w:tcW w:w="2438" w:type="dxa"/>
          </w:tcPr>
          <w:p w14:paraId="1C92E4DD" w14:textId="02963AC3" w:rsidR="00B827BB" w:rsidRDefault="00B827BB" w:rsidP="00603993">
            <w:pPr>
              <w:rPr>
                <w:rFonts w:cs="Times New Roman"/>
              </w:rPr>
            </w:pPr>
            <w:r>
              <w:rPr>
                <w:rFonts w:cs="Times New Roman"/>
              </w:rPr>
              <w:t>Schema name</w:t>
            </w:r>
          </w:p>
        </w:tc>
        <w:tc>
          <w:tcPr>
            <w:tcW w:w="6560" w:type="dxa"/>
          </w:tcPr>
          <w:p w14:paraId="4A62B7F8" w14:textId="5D1E7E78" w:rsidR="00235CBD" w:rsidRPr="00235CBD" w:rsidRDefault="00B827BB" w:rsidP="00603993">
            <w:pPr>
              <w:rPr>
                <w:rFonts w:cs="Times New Roman"/>
              </w:rPr>
            </w:pPr>
            <w:r>
              <w:rPr>
                <w:rFonts w:cs="Times New Roman"/>
              </w:rPr>
              <w:t xml:space="preserve">All tables </w:t>
            </w:r>
            <w:r w:rsidR="00235CBD">
              <w:rPr>
                <w:rFonts w:cs="Times New Roman"/>
              </w:rPr>
              <w:t xml:space="preserve">written by OFXtoDB must reside within this schema.  Additionally, the mapping </w:t>
            </w:r>
            <w:proofErr w:type="spellStart"/>
            <w:r w:rsidR="00235CBD">
              <w:rPr>
                <w:rFonts w:cs="Times New Roman"/>
              </w:rPr>
              <w:t>tablename</w:t>
            </w:r>
            <w:proofErr w:type="spellEnd"/>
            <w:r w:rsidR="00235CBD">
              <w:rPr>
                <w:rFonts w:cs="Times New Roman"/>
              </w:rPr>
              <w:t xml:space="preserve"> specified by the </w:t>
            </w:r>
            <w:r w:rsidR="00235CBD">
              <w:rPr>
                <w:rFonts w:ascii="Courier New" w:hAnsi="Courier New" w:cs="Courier New"/>
              </w:rPr>
              <w:t>OFXmapping</w:t>
            </w:r>
            <w:r w:rsidR="00235CBD">
              <w:rPr>
                <w:rFonts w:cs="Times New Roman"/>
              </w:rPr>
              <w:t xml:space="preserve"> keyword must be in this schema as well.</w:t>
            </w:r>
          </w:p>
        </w:tc>
      </w:tr>
      <w:tr w:rsidR="00B827BB" w14:paraId="6D250DD2" w14:textId="77777777" w:rsidTr="00603993">
        <w:tc>
          <w:tcPr>
            <w:tcW w:w="1537" w:type="dxa"/>
          </w:tcPr>
          <w:p w14:paraId="39FD2D69" w14:textId="6EF58CEF" w:rsidR="00B827BB" w:rsidRDefault="00235CBD" w:rsidP="00603993">
            <w:pPr>
              <w:rPr>
                <w:rFonts w:ascii="Courier New" w:hAnsi="Courier New" w:cs="Courier New"/>
              </w:rPr>
            </w:pPr>
            <w:r>
              <w:rPr>
                <w:rFonts w:ascii="Courier New" w:hAnsi="Courier New" w:cs="Courier New"/>
              </w:rPr>
              <w:t>Mapping</w:t>
            </w:r>
          </w:p>
        </w:tc>
        <w:tc>
          <w:tcPr>
            <w:tcW w:w="228" w:type="dxa"/>
            <w:tcMar>
              <w:left w:w="0" w:type="dxa"/>
              <w:right w:w="0" w:type="dxa"/>
            </w:tcMar>
          </w:tcPr>
          <w:p w14:paraId="40C3F1AE" w14:textId="5D2C8CCE" w:rsidR="00B827BB" w:rsidRDefault="00235CBD" w:rsidP="00603993">
            <w:pPr>
              <w:rPr>
                <w:rFonts w:ascii="Courier New" w:hAnsi="Courier New" w:cs="Courier New"/>
              </w:rPr>
            </w:pPr>
            <w:r>
              <w:rPr>
                <w:rFonts w:ascii="Courier New" w:hAnsi="Courier New" w:cs="Courier New"/>
              </w:rPr>
              <w:t>=</w:t>
            </w:r>
          </w:p>
        </w:tc>
        <w:tc>
          <w:tcPr>
            <w:tcW w:w="2438" w:type="dxa"/>
          </w:tcPr>
          <w:p w14:paraId="381B8690" w14:textId="53A5D904" w:rsidR="00B827BB" w:rsidRPr="00235CBD" w:rsidRDefault="00235CBD" w:rsidP="00603993">
            <w:pPr>
              <w:rPr>
                <w:rFonts w:ascii="Courier New" w:hAnsi="Courier New" w:cs="Courier New"/>
              </w:rPr>
            </w:pPr>
            <w:proofErr w:type="spellStart"/>
            <w:r>
              <w:rPr>
                <w:rFonts w:ascii="Courier New" w:hAnsi="Courier New" w:cs="Courier New"/>
              </w:rPr>
              <w:t>UseDB</w:t>
            </w:r>
            <w:proofErr w:type="spellEnd"/>
            <w:r>
              <w:rPr>
                <w:rFonts w:ascii="Courier New" w:hAnsi="Courier New" w:cs="Courier New"/>
              </w:rPr>
              <w:t xml:space="preserve"> </w:t>
            </w:r>
            <w:r>
              <w:rPr>
                <w:rFonts w:cs="Times New Roman"/>
              </w:rPr>
              <w:t xml:space="preserve">or </w:t>
            </w:r>
            <w:proofErr w:type="spellStart"/>
            <w:r>
              <w:rPr>
                <w:rFonts w:ascii="Courier New" w:hAnsi="Courier New" w:cs="Courier New"/>
              </w:rPr>
              <w:t>UseIniFile</w:t>
            </w:r>
            <w:proofErr w:type="spellEnd"/>
          </w:p>
        </w:tc>
        <w:tc>
          <w:tcPr>
            <w:tcW w:w="6560" w:type="dxa"/>
          </w:tcPr>
          <w:p w14:paraId="130620CD" w14:textId="3BC6C463" w:rsidR="00B827BB" w:rsidRPr="00235CBD" w:rsidRDefault="00235CBD" w:rsidP="00603993">
            <w:pPr>
              <w:rPr>
                <w:rFonts w:cs="Times New Roman"/>
              </w:rPr>
            </w:pPr>
            <w:r>
              <w:rPr>
                <w:rFonts w:cs="Times New Roman"/>
              </w:rPr>
              <w:t xml:space="preserve">The Postgres output writer can take its mapping specification from either the OFXtoDB.ini file or from a table in the database itself.  </w:t>
            </w:r>
            <w:proofErr w:type="spellStart"/>
            <w:r w:rsidRPr="00235CBD">
              <w:rPr>
                <w:rFonts w:ascii="Courier New" w:hAnsi="Courier New" w:cs="Courier New"/>
              </w:rPr>
              <w:t>UseDB</w:t>
            </w:r>
            <w:proofErr w:type="spellEnd"/>
            <w:r>
              <w:rPr>
                <w:rFonts w:cs="Times New Roman"/>
              </w:rPr>
              <w:t xml:space="preserve"> is the recommended choice, because the data field formats and primary keys are read directly from the data base and </w:t>
            </w:r>
            <w:r w:rsidR="00603993">
              <w:rPr>
                <w:rFonts w:cs="Times New Roman"/>
              </w:rPr>
              <w:t>do</w:t>
            </w:r>
            <w:r>
              <w:rPr>
                <w:rFonts w:cs="Times New Roman"/>
              </w:rPr>
              <w:t xml:space="preserve"> not</w:t>
            </w:r>
            <w:r w:rsidR="00603993">
              <w:rPr>
                <w:rFonts w:cs="Times New Roman"/>
              </w:rPr>
              <w:t xml:space="preserve"> need to be</w:t>
            </w:r>
            <w:r>
              <w:rPr>
                <w:rFonts w:cs="Times New Roman"/>
              </w:rPr>
              <w:t xml:space="preserve"> repeated in the specifications.</w:t>
            </w:r>
          </w:p>
        </w:tc>
      </w:tr>
      <w:tr w:rsidR="00603993" w14:paraId="04C25D5E" w14:textId="77777777" w:rsidTr="00603993">
        <w:tc>
          <w:tcPr>
            <w:tcW w:w="1537" w:type="dxa"/>
          </w:tcPr>
          <w:p w14:paraId="54F2D7AF" w14:textId="30CEE222" w:rsidR="00603993" w:rsidRDefault="00603993" w:rsidP="00603993">
            <w:pPr>
              <w:rPr>
                <w:rFonts w:ascii="Courier New" w:hAnsi="Courier New" w:cs="Courier New"/>
              </w:rPr>
            </w:pPr>
            <w:r>
              <w:rPr>
                <w:rFonts w:ascii="Courier New" w:hAnsi="Courier New" w:cs="Courier New"/>
              </w:rPr>
              <w:t>OFXmapping</w:t>
            </w:r>
          </w:p>
        </w:tc>
        <w:tc>
          <w:tcPr>
            <w:tcW w:w="228" w:type="dxa"/>
            <w:tcMar>
              <w:left w:w="0" w:type="dxa"/>
              <w:right w:w="0" w:type="dxa"/>
            </w:tcMar>
          </w:tcPr>
          <w:p w14:paraId="03494126" w14:textId="0BC5F1E5" w:rsidR="00603993" w:rsidRDefault="00603993" w:rsidP="00603993">
            <w:pPr>
              <w:rPr>
                <w:rFonts w:ascii="Courier New" w:hAnsi="Courier New" w:cs="Courier New"/>
              </w:rPr>
            </w:pPr>
            <w:r>
              <w:rPr>
                <w:rFonts w:ascii="Courier New" w:hAnsi="Courier New" w:cs="Courier New"/>
              </w:rPr>
              <w:t>=</w:t>
            </w:r>
          </w:p>
        </w:tc>
        <w:tc>
          <w:tcPr>
            <w:tcW w:w="2438" w:type="dxa"/>
          </w:tcPr>
          <w:p w14:paraId="2C5509DA" w14:textId="1FFAB6E3" w:rsidR="00603993" w:rsidRPr="00603993" w:rsidRDefault="00603993" w:rsidP="00603993">
            <w:pPr>
              <w:rPr>
                <w:rFonts w:cs="Times New Roman"/>
              </w:rPr>
            </w:pPr>
            <w:r w:rsidRPr="00603993">
              <w:rPr>
                <w:rFonts w:cs="Times New Roman"/>
              </w:rPr>
              <w:t>Table name</w:t>
            </w:r>
          </w:p>
        </w:tc>
        <w:tc>
          <w:tcPr>
            <w:tcW w:w="6560" w:type="dxa"/>
          </w:tcPr>
          <w:p w14:paraId="5567A8C4" w14:textId="29741DF4" w:rsidR="00603993" w:rsidRPr="00603993" w:rsidRDefault="00603993" w:rsidP="00603993">
            <w:pPr>
              <w:rPr>
                <w:rFonts w:cs="Times New Roman"/>
              </w:rPr>
            </w:pPr>
            <w:r>
              <w:rPr>
                <w:rFonts w:cs="Times New Roman"/>
              </w:rPr>
              <w:t xml:space="preserve">If the </w:t>
            </w:r>
            <w:proofErr w:type="spellStart"/>
            <w:r w:rsidRPr="00235CBD">
              <w:rPr>
                <w:rFonts w:ascii="Courier New" w:hAnsi="Courier New" w:cs="Courier New"/>
              </w:rPr>
              <w:t>UseDB</w:t>
            </w:r>
            <w:proofErr w:type="spellEnd"/>
            <w:r>
              <w:rPr>
                <w:rFonts w:cs="Times New Roman"/>
              </w:rPr>
              <w:t xml:space="preserve"> option is chosen this parameter specifies the table containing the OFX-tag-to-</w:t>
            </w:r>
            <w:proofErr w:type="spellStart"/>
            <w:r>
              <w:rPr>
                <w:rFonts w:cs="Times New Roman"/>
              </w:rPr>
              <w:t>DBColumn</w:t>
            </w:r>
            <w:proofErr w:type="spellEnd"/>
            <w:r>
              <w:rPr>
                <w:rFonts w:cs="Times New Roman"/>
              </w:rPr>
              <w:t xml:space="preserve"> mapping.  Such a table must have the four columns named </w:t>
            </w:r>
            <w:proofErr w:type="spellStart"/>
            <w:r>
              <w:rPr>
                <w:rFonts w:cs="Times New Roman"/>
              </w:rPr>
              <w:t>OFXList</w:t>
            </w:r>
            <w:proofErr w:type="spellEnd"/>
            <w:r>
              <w:rPr>
                <w:rFonts w:cs="Times New Roman"/>
              </w:rPr>
              <w:t xml:space="preserve">, </w:t>
            </w:r>
            <w:proofErr w:type="spellStart"/>
            <w:r>
              <w:rPr>
                <w:rFonts w:cs="Times New Roman"/>
              </w:rPr>
              <w:t>DBTable</w:t>
            </w:r>
            <w:proofErr w:type="spellEnd"/>
            <w:r>
              <w:rPr>
                <w:rFonts w:cs="Times New Roman"/>
              </w:rPr>
              <w:t xml:space="preserve">, </w:t>
            </w:r>
            <w:proofErr w:type="spellStart"/>
            <w:r>
              <w:rPr>
                <w:rFonts w:cs="Times New Roman"/>
              </w:rPr>
              <w:t>OFXTag</w:t>
            </w:r>
            <w:proofErr w:type="spellEnd"/>
            <w:r>
              <w:rPr>
                <w:rFonts w:cs="Times New Roman"/>
              </w:rPr>
              <w:t xml:space="preserve">, and </w:t>
            </w:r>
            <w:proofErr w:type="spellStart"/>
            <w:r>
              <w:rPr>
                <w:rFonts w:cs="Times New Roman"/>
              </w:rPr>
              <w:t>DBColumn</w:t>
            </w:r>
            <w:proofErr w:type="spellEnd"/>
            <w:r w:rsidR="00474EF4">
              <w:rPr>
                <w:rFonts w:cs="Times New Roman"/>
              </w:rPr>
              <w:t xml:space="preserve"> and it must reside in the schema specified above</w:t>
            </w:r>
            <w:r>
              <w:rPr>
                <w:rFonts w:cs="Times New Roman"/>
              </w:rPr>
              <w:t xml:space="preserve">.  See the </w:t>
            </w:r>
            <w:hyperlink w:anchor="_Mapping_Specification" w:history="1">
              <w:r w:rsidRPr="00474EF4">
                <w:rPr>
                  <w:rStyle w:val="Hyperlink"/>
                  <w:rFonts w:cs="Times New Roman"/>
                </w:rPr>
                <w:t>Mapping Specification</w:t>
              </w:r>
            </w:hyperlink>
            <w:r>
              <w:rPr>
                <w:rFonts w:cs="Times New Roman"/>
              </w:rPr>
              <w:t xml:space="preserve"> section for details.</w:t>
            </w:r>
          </w:p>
        </w:tc>
      </w:tr>
      <w:tr w:rsidR="00603993" w14:paraId="49F0ABEB" w14:textId="77777777" w:rsidTr="00603993">
        <w:tc>
          <w:tcPr>
            <w:tcW w:w="1537" w:type="dxa"/>
          </w:tcPr>
          <w:p w14:paraId="4D039E91" w14:textId="77777777" w:rsidR="00603993" w:rsidRDefault="00603993" w:rsidP="00603993">
            <w:pPr>
              <w:rPr>
                <w:rFonts w:ascii="Courier New" w:hAnsi="Courier New" w:cs="Courier New"/>
              </w:rPr>
            </w:pPr>
          </w:p>
        </w:tc>
        <w:tc>
          <w:tcPr>
            <w:tcW w:w="228" w:type="dxa"/>
            <w:tcMar>
              <w:left w:w="0" w:type="dxa"/>
              <w:right w:w="0" w:type="dxa"/>
            </w:tcMar>
          </w:tcPr>
          <w:p w14:paraId="1EE6F8F2" w14:textId="77777777" w:rsidR="00603993" w:rsidRDefault="00603993" w:rsidP="00603993">
            <w:pPr>
              <w:rPr>
                <w:rFonts w:ascii="Courier New" w:hAnsi="Courier New" w:cs="Courier New"/>
              </w:rPr>
            </w:pPr>
          </w:p>
        </w:tc>
        <w:tc>
          <w:tcPr>
            <w:tcW w:w="2438" w:type="dxa"/>
          </w:tcPr>
          <w:p w14:paraId="1DE90E58" w14:textId="77777777" w:rsidR="00603993" w:rsidRDefault="00603993" w:rsidP="00603993">
            <w:pPr>
              <w:rPr>
                <w:rFonts w:ascii="Courier New" w:hAnsi="Courier New" w:cs="Courier New"/>
              </w:rPr>
            </w:pPr>
          </w:p>
        </w:tc>
        <w:tc>
          <w:tcPr>
            <w:tcW w:w="6560" w:type="dxa"/>
          </w:tcPr>
          <w:p w14:paraId="10D802D0" w14:textId="77777777" w:rsidR="00603993" w:rsidRDefault="00603993" w:rsidP="00603993">
            <w:pPr>
              <w:rPr>
                <w:rFonts w:cs="Times New Roman"/>
              </w:rPr>
            </w:pPr>
          </w:p>
        </w:tc>
      </w:tr>
    </w:tbl>
    <w:p w14:paraId="246D389E" w14:textId="5ED8BF4A" w:rsidR="00EC22B9" w:rsidRPr="00BB6985" w:rsidRDefault="00603993" w:rsidP="00603993">
      <w:pPr>
        <w:pStyle w:val="Heading3"/>
      </w:pPr>
      <w:r>
        <w:t>Section [Excel]</w:t>
      </w:r>
      <w:r w:rsidR="00662471">
        <w:t xml:space="preserve">  - </w:t>
      </w:r>
      <w:r w:rsidR="00662471" w:rsidRPr="001365C0">
        <w:rPr>
          <w:sz w:val="20"/>
          <w:szCs w:val="20"/>
        </w:rPr>
        <w:t xml:space="preserve">Parameters specific to the </w:t>
      </w:r>
      <w:r w:rsidR="00662471">
        <w:rPr>
          <w:sz w:val="20"/>
          <w:szCs w:val="20"/>
        </w:rPr>
        <w:t>Excel</w:t>
      </w:r>
      <w:r w:rsidR="00662471" w:rsidRPr="001365C0">
        <w:rPr>
          <w:sz w:val="20"/>
          <w:szCs w:val="20"/>
        </w:rPr>
        <w:t xml:space="preserve"> writer</w:t>
      </w:r>
      <w:r>
        <w:br w:type="textWrapping" w:clear="all"/>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7"/>
        <w:gridCol w:w="228"/>
        <w:gridCol w:w="2438"/>
        <w:gridCol w:w="6560"/>
      </w:tblGrid>
      <w:tr w:rsidR="00EC22B9" w14:paraId="01700853" w14:textId="77777777" w:rsidTr="00EC22B9">
        <w:tc>
          <w:tcPr>
            <w:tcW w:w="1537" w:type="dxa"/>
          </w:tcPr>
          <w:p w14:paraId="0D21BA73" w14:textId="3A91BB83" w:rsidR="00EC22B9" w:rsidRDefault="00EC22B9" w:rsidP="00724FE1">
            <w:pPr>
              <w:rPr>
                <w:rFonts w:ascii="Courier New" w:hAnsi="Courier New" w:cs="Courier New"/>
              </w:rPr>
            </w:pPr>
            <w:proofErr w:type="spellStart"/>
            <w:r>
              <w:rPr>
                <w:rFonts w:ascii="Courier New" w:hAnsi="Courier New" w:cs="Courier New"/>
              </w:rPr>
              <w:t>ExcelFile</w:t>
            </w:r>
            <w:proofErr w:type="spellEnd"/>
          </w:p>
        </w:tc>
        <w:tc>
          <w:tcPr>
            <w:tcW w:w="228" w:type="dxa"/>
            <w:tcMar>
              <w:left w:w="0" w:type="dxa"/>
              <w:right w:w="0" w:type="dxa"/>
            </w:tcMar>
          </w:tcPr>
          <w:p w14:paraId="61FA9854" w14:textId="77777777" w:rsidR="00EC22B9" w:rsidRDefault="00EC22B9" w:rsidP="00724FE1">
            <w:pPr>
              <w:rPr>
                <w:rFonts w:ascii="Courier New" w:hAnsi="Courier New" w:cs="Courier New"/>
              </w:rPr>
            </w:pPr>
            <w:r>
              <w:rPr>
                <w:rFonts w:ascii="Courier New" w:hAnsi="Courier New" w:cs="Courier New"/>
              </w:rPr>
              <w:t>=</w:t>
            </w:r>
          </w:p>
        </w:tc>
        <w:tc>
          <w:tcPr>
            <w:tcW w:w="2438" w:type="dxa"/>
          </w:tcPr>
          <w:p w14:paraId="65B2C473" w14:textId="04FB7840" w:rsidR="00EC22B9" w:rsidRPr="00AE6A96" w:rsidRDefault="00EC22B9" w:rsidP="00724FE1">
            <w:pPr>
              <w:rPr>
                <w:rFonts w:cs="Times New Roman"/>
              </w:rPr>
            </w:pPr>
            <w:r w:rsidRPr="00AE6A96">
              <w:rPr>
                <w:rFonts w:cs="Times New Roman"/>
              </w:rPr>
              <w:t>File specification</w:t>
            </w:r>
          </w:p>
        </w:tc>
        <w:tc>
          <w:tcPr>
            <w:tcW w:w="6560" w:type="dxa"/>
          </w:tcPr>
          <w:p w14:paraId="16276C3C" w14:textId="4C0CC54C" w:rsidR="00EC22B9" w:rsidRPr="00B06F4C" w:rsidRDefault="00EC22B9" w:rsidP="00724FE1">
            <w:pPr>
              <w:rPr>
                <w:rFonts w:cs="Times New Roman"/>
                <w:i/>
                <w:iCs/>
              </w:rPr>
            </w:pPr>
            <w:r>
              <w:rPr>
                <w:rFonts w:cs="Times New Roman"/>
              </w:rPr>
              <w:t>Name and path of the .xlsx file to receive the OFX data.</w:t>
            </w:r>
          </w:p>
        </w:tc>
      </w:tr>
    </w:tbl>
    <w:p w14:paraId="342449B8" w14:textId="2E77417F" w:rsidR="00662471" w:rsidRPr="00BB6985" w:rsidRDefault="00662471" w:rsidP="00662471">
      <w:pPr>
        <w:pStyle w:val="Heading3"/>
        <w:spacing w:before="240"/>
      </w:pPr>
      <w:bookmarkStart w:id="0" w:name="_Mapping_Specification"/>
      <w:bookmarkEnd w:id="0"/>
      <w:r>
        <w:t>Section [</w:t>
      </w:r>
      <w:r>
        <w:t>CSV</w:t>
      </w:r>
      <w:r>
        <w:t xml:space="preserve">]  - </w:t>
      </w:r>
      <w:r w:rsidRPr="001365C0">
        <w:rPr>
          <w:sz w:val="20"/>
          <w:szCs w:val="20"/>
        </w:rPr>
        <w:t xml:space="preserve">Parameters specific to the </w:t>
      </w:r>
      <w:r>
        <w:rPr>
          <w:sz w:val="20"/>
          <w:szCs w:val="20"/>
        </w:rPr>
        <w:t>Excel</w:t>
      </w:r>
      <w:r w:rsidRPr="001365C0">
        <w:rPr>
          <w:sz w:val="20"/>
          <w:szCs w:val="20"/>
        </w:rPr>
        <w:t xml:space="preserve"> writer</w:t>
      </w:r>
      <w:r>
        <w:br w:type="textWrapping" w:clear="all"/>
      </w:r>
    </w:p>
    <w:tbl>
      <w:tblPr>
        <w:tblStyle w:val="TableGrid"/>
        <w:tblpPr w:leftFromText="180" w:rightFromText="180" w:vertAnchor="text" w:tblpY="1"/>
        <w:tblOverlap w:val="never"/>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270"/>
        <w:gridCol w:w="2008"/>
        <w:gridCol w:w="6560"/>
      </w:tblGrid>
      <w:tr w:rsidR="00E557FF" w14:paraId="7BE4B64E" w14:textId="77777777" w:rsidTr="00E557FF">
        <w:tc>
          <w:tcPr>
            <w:tcW w:w="2070" w:type="dxa"/>
          </w:tcPr>
          <w:p w14:paraId="6F2CF1D4" w14:textId="189FE83E" w:rsidR="00E557FF" w:rsidRDefault="00E557FF" w:rsidP="00E557FF">
            <w:pPr>
              <w:rPr>
                <w:rFonts w:ascii="Courier New" w:hAnsi="Courier New" w:cs="Courier New"/>
              </w:rPr>
            </w:pPr>
            <w:proofErr w:type="spellStart"/>
            <w:r w:rsidRPr="000B37CF">
              <w:t>WriteToDirectory</w:t>
            </w:r>
            <w:proofErr w:type="spellEnd"/>
          </w:p>
        </w:tc>
        <w:tc>
          <w:tcPr>
            <w:tcW w:w="270" w:type="dxa"/>
            <w:tcMar>
              <w:left w:w="0" w:type="dxa"/>
              <w:right w:w="0" w:type="dxa"/>
            </w:tcMar>
          </w:tcPr>
          <w:p w14:paraId="2A4657FD" w14:textId="77777777" w:rsidR="00E557FF" w:rsidRDefault="00E557FF" w:rsidP="00E557FF">
            <w:pPr>
              <w:rPr>
                <w:rFonts w:ascii="Courier New" w:hAnsi="Courier New" w:cs="Courier New"/>
              </w:rPr>
            </w:pPr>
            <w:r>
              <w:rPr>
                <w:rFonts w:ascii="Courier New" w:hAnsi="Courier New" w:cs="Courier New"/>
              </w:rPr>
              <w:t>=</w:t>
            </w:r>
          </w:p>
        </w:tc>
        <w:tc>
          <w:tcPr>
            <w:tcW w:w="2008" w:type="dxa"/>
          </w:tcPr>
          <w:p w14:paraId="67AA560E" w14:textId="4D7ABBD8" w:rsidR="00E557FF" w:rsidRPr="00AE6A96" w:rsidRDefault="00E557FF" w:rsidP="00E557FF">
            <w:pPr>
              <w:rPr>
                <w:rFonts w:cs="Times New Roman"/>
              </w:rPr>
            </w:pPr>
            <w:r>
              <w:rPr>
                <w:rFonts w:cs="Times New Roman"/>
              </w:rPr>
              <w:t>Path</w:t>
            </w:r>
            <w:r w:rsidRPr="00AE6A96">
              <w:rPr>
                <w:rFonts w:cs="Times New Roman"/>
              </w:rPr>
              <w:t xml:space="preserve"> specification</w:t>
            </w:r>
          </w:p>
        </w:tc>
        <w:tc>
          <w:tcPr>
            <w:tcW w:w="6560" w:type="dxa"/>
          </w:tcPr>
          <w:p w14:paraId="0CB44C6D" w14:textId="0777C3D1" w:rsidR="00E557FF" w:rsidRPr="00B06F4C" w:rsidRDefault="00E557FF" w:rsidP="00E557FF">
            <w:pPr>
              <w:rPr>
                <w:rFonts w:cs="Times New Roman"/>
                <w:i/>
                <w:iCs/>
              </w:rPr>
            </w:pPr>
            <w:r>
              <w:rPr>
                <w:rFonts w:cs="Times New Roman"/>
              </w:rPr>
              <w:t>P</w:t>
            </w:r>
            <w:r>
              <w:rPr>
                <w:rFonts w:cs="Times New Roman"/>
              </w:rPr>
              <w:t xml:space="preserve">ath </w:t>
            </w:r>
            <w:r>
              <w:rPr>
                <w:rFonts w:cs="Times New Roman"/>
              </w:rPr>
              <w:t>to store the .csv file(s)</w:t>
            </w:r>
            <w:r>
              <w:rPr>
                <w:rFonts w:cs="Times New Roman"/>
              </w:rPr>
              <w:t>.</w:t>
            </w:r>
          </w:p>
        </w:tc>
      </w:tr>
      <w:tr w:rsidR="00BD1088" w14:paraId="4D009127" w14:textId="77777777" w:rsidTr="00E557FF">
        <w:tc>
          <w:tcPr>
            <w:tcW w:w="2070" w:type="dxa"/>
          </w:tcPr>
          <w:p w14:paraId="1BA6F8FE" w14:textId="56A7E13B" w:rsidR="00BD1088" w:rsidRPr="000B37CF" w:rsidRDefault="00BD1088" w:rsidP="00E557FF">
            <w:r>
              <w:t>Headers</w:t>
            </w:r>
          </w:p>
        </w:tc>
        <w:tc>
          <w:tcPr>
            <w:tcW w:w="270" w:type="dxa"/>
            <w:tcMar>
              <w:left w:w="0" w:type="dxa"/>
              <w:right w:w="0" w:type="dxa"/>
            </w:tcMar>
          </w:tcPr>
          <w:p w14:paraId="6FAAD9E0" w14:textId="017871B9" w:rsidR="00BD1088" w:rsidRDefault="00BD1088" w:rsidP="00E557FF">
            <w:pPr>
              <w:rPr>
                <w:rFonts w:ascii="Courier New" w:hAnsi="Courier New" w:cs="Courier New"/>
              </w:rPr>
            </w:pPr>
            <w:r>
              <w:rPr>
                <w:rFonts w:ascii="Courier New" w:hAnsi="Courier New" w:cs="Courier New"/>
              </w:rPr>
              <w:t>=</w:t>
            </w:r>
          </w:p>
        </w:tc>
        <w:tc>
          <w:tcPr>
            <w:tcW w:w="2008" w:type="dxa"/>
          </w:tcPr>
          <w:p w14:paraId="087549A9" w14:textId="5BADD6CE" w:rsidR="00BD1088" w:rsidRDefault="00BD1088" w:rsidP="00E557FF">
            <w:pPr>
              <w:rPr>
                <w:rFonts w:cs="Times New Roman"/>
              </w:rPr>
            </w:pPr>
            <w:r>
              <w:rPr>
                <w:rFonts w:cs="Times New Roman"/>
              </w:rPr>
              <w:t>YES/NO or TRUE/FALSE</w:t>
            </w:r>
          </w:p>
        </w:tc>
        <w:tc>
          <w:tcPr>
            <w:tcW w:w="6560" w:type="dxa"/>
          </w:tcPr>
          <w:p w14:paraId="16977F6F" w14:textId="6EAE1375" w:rsidR="00BD1088" w:rsidRDefault="00BD1088" w:rsidP="00E557FF">
            <w:pPr>
              <w:rPr>
                <w:rFonts w:cs="Times New Roman"/>
              </w:rPr>
            </w:pPr>
            <w:r>
              <w:rPr>
                <w:rFonts w:cs="Times New Roman"/>
              </w:rPr>
              <w:t>Include the alpha column names as a first row.</w:t>
            </w:r>
          </w:p>
        </w:tc>
      </w:tr>
      <w:tr w:rsidR="00E557FF" w14:paraId="47BC6277" w14:textId="77777777" w:rsidTr="00E557FF">
        <w:tc>
          <w:tcPr>
            <w:tcW w:w="2070" w:type="dxa"/>
          </w:tcPr>
          <w:p w14:paraId="3CDE183B" w14:textId="68528DAD" w:rsidR="00E557FF" w:rsidRDefault="00E557FF" w:rsidP="00E557FF">
            <w:pPr>
              <w:rPr>
                <w:rFonts w:ascii="Courier New" w:hAnsi="Courier New" w:cs="Courier New"/>
              </w:rPr>
            </w:pPr>
            <w:proofErr w:type="spellStart"/>
            <w:r w:rsidRPr="000B37CF">
              <w:t>WhenToQuote</w:t>
            </w:r>
            <w:proofErr w:type="spellEnd"/>
            <w:r w:rsidRPr="000B37CF">
              <w:t xml:space="preserve"> </w:t>
            </w:r>
          </w:p>
        </w:tc>
        <w:tc>
          <w:tcPr>
            <w:tcW w:w="270" w:type="dxa"/>
            <w:tcMar>
              <w:left w:w="0" w:type="dxa"/>
              <w:right w:w="0" w:type="dxa"/>
            </w:tcMar>
          </w:tcPr>
          <w:p w14:paraId="2F546680" w14:textId="11816581" w:rsidR="00E557FF" w:rsidRDefault="00E557FF" w:rsidP="00E557FF">
            <w:pPr>
              <w:rPr>
                <w:rFonts w:ascii="Courier New" w:hAnsi="Courier New" w:cs="Courier New"/>
              </w:rPr>
            </w:pPr>
            <w:r>
              <w:rPr>
                <w:rFonts w:ascii="Courier New" w:hAnsi="Courier New" w:cs="Courier New"/>
              </w:rPr>
              <w:t>=</w:t>
            </w:r>
          </w:p>
        </w:tc>
        <w:tc>
          <w:tcPr>
            <w:tcW w:w="2008" w:type="dxa"/>
          </w:tcPr>
          <w:p w14:paraId="53ED18E3" w14:textId="6EDE7C46" w:rsidR="00E557FF" w:rsidRPr="00AE6A96" w:rsidRDefault="00E557FF" w:rsidP="00E557FF">
            <w:pPr>
              <w:rPr>
                <w:rFonts w:cs="Times New Roman"/>
              </w:rPr>
            </w:pPr>
            <w:proofErr w:type="spellStart"/>
            <w:r w:rsidRPr="001E762F">
              <w:rPr>
                <w:rFonts w:ascii="Courier New" w:hAnsi="Courier New" w:cs="Courier New"/>
              </w:rPr>
              <w:t>SeparatorOnly</w:t>
            </w:r>
            <w:proofErr w:type="spellEnd"/>
            <w:r>
              <w:t xml:space="preserve"> or </w:t>
            </w:r>
            <w:proofErr w:type="spellStart"/>
            <w:r w:rsidRPr="001E762F">
              <w:rPr>
                <w:rFonts w:ascii="Courier New" w:hAnsi="Courier New" w:cs="Courier New"/>
              </w:rPr>
              <w:t>AllStrings</w:t>
            </w:r>
            <w:proofErr w:type="spellEnd"/>
          </w:p>
        </w:tc>
        <w:tc>
          <w:tcPr>
            <w:tcW w:w="6560" w:type="dxa"/>
          </w:tcPr>
          <w:p w14:paraId="49E094E1" w14:textId="1D99A929" w:rsidR="00E557FF" w:rsidRPr="001E762F" w:rsidRDefault="001E762F" w:rsidP="00E557FF">
            <w:pPr>
              <w:rPr>
                <w:rFonts w:cs="Times New Roman"/>
                <w:i/>
                <w:iCs/>
              </w:rPr>
            </w:pPr>
            <w:proofErr w:type="spellStart"/>
            <w:r w:rsidRPr="001E762F">
              <w:rPr>
                <w:rFonts w:ascii="Courier New" w:hAnsi="Courier New" w:cs="Courier New"/>
              </w:rPr>
              <w:t>SeparatorOnly</w:t>
            </w:r>
            <w:proofErr w:type="spellEnd"/>
            <w:r>
              <w:rPr>
                <w:rFonts w:cs="Times New Roman"/>
              </w:rPr>
              <w:t xml:space="preserve"> adds quotes only as needed if the string contains the column separator character.  </w:t>
            </w:r>
            <w:proofErr w:type="spellStart"/>
            <w:r w:rsidRPr="001E762F">
              <w:rPr>
                <w:rFonts w:ascii="Courier New" w:hAnsi="Courier New" w:cs="Courier New"/>
              </w:rPr>
              <w:t>AllStrings</w:t>
            </w:r>
            <w:proofErr w:type="spellEnd"/>
            <w:r>
              <w:rPr>
                <w:rFonts w:cs="Times New Roman"/>
              </w:rPr>
              <w:t xml:space="preserve"> adds quotes to all string-type data fields.  </w:t>
            </w:r>
            <w:r>
              <w:rPr>
                <w:rFonts w:cs="Times New Roman"/>
                <w:i/>
                <w:iCs/>
              </w:rPr>
              <w:t>Default:</w:t>
            </w:r>
            <w:r>
              <w:t xml:space="preserve"> </w:t>
            </w:r>
            <w:proofErr w:type="spellStart"/>
            <w:r w:rsidRPr="001E762F">
              <w:rPr>
                <w:rFonts w:cs="Times New Roman"/>
                <w:i/>
                <w:iCs/>
              </w:rPr>
              <w:t>SeparatorOnly</w:t>
            </w:r>
            <w:proofErr w:type="spellEnd"/>
          </w:p>
        </w:tc>
      </w:tr>
      <w:tr w:rsidR="00E557FF" w14:paraId="5E33C99A" w14:textId="77777777" w:rsidTr="00E557FF">
        <w:tc>
          <w:tcPr>
            <w:tcW w:w="2070" w:type="dxa"/>
          </w:tcPr>
          <w:p w14:paraId="78DCD2ED" w14:textId="0582864B" w:rsidR="00E557FF" w:rsidRDefault="00E557FF" w:rsidP="00E557FF">
            <w:pPr>
              <w:rPr>
                <w:rFonts w:ascii="Courier New" w:hAnsi="Courier New" w:cs="Courier New"/>
              </w:rPr>
            </w:pPr>
            <w:proofErr w:type="spellStart"/>
            <w:r w:rsidRPr="000B37CF">
              <w:t>ExcelCompatibility</w:t>
            </w:r>
            <w:proofErr w:type="spellEnd"/>
          </w:p>
        </w:tc>
        <w:tc>
          <w:tcPr>
            <w:tcW w:w="270" w:type="dxa"/>
            <w:tcMar>
              <w:left w:w="0" w:type="dxa"/>
              <w:right w:w="0" w:type="dxa"/>
            </w:tcMar>
          </w:tcPr>
          <w:p w14:paraId="4A94BE44" w14:textId="2C1FB24C" w:rsidR="00E557FF" w:rsidRDefault="00E557FF" w:rsidP="00E557FF">
            <w:pPr>
              <w:rPr>
                <w:rFonts w:ascii="Courier New" w:hAnsi="Courier New" w:cs="Courier New"/>
              </w:rPr>
            </w:pPr>
            <w:r>
              <w:rPr>
                <w:rFonts w:ascii="Courier New" w:hAnsi="Courier New" w:cs="Courier New"/>
              </w:rPr>
              <w:t>=</w:t>
            </w:r>
          </w:p>
        </w:tc>
        <w:tc>
          <w:tcPr>
            <w:tcW w:w="2008" w:type="dxa"/>
          </w:tcPr>
          <w:p w14:paraId="47540D65" w14:textId="37C21BC7" w:rsidR="00E557FF" w:rsidRPr="00AE6A96" w:rsidRDefault="00E557FF" w:rsidP="00E557FF">
            <w:pPr>
              <w:rPr>
                <w:rFonts w:cs="Times New Roman"/>
              </w:rPr>
            </w:pPr>
            <w:r>
              <w:rPr>
                <w:rFonts w:cs="Times New Roman"/>
              </w:rPr>
              <w:t>YES/NO or TRUE/FALSE</w:t>
            </w:r>
          </w:p>
        </w:tc>
        <w:tc>
          <w:tcPr>
            <w:tcW w:w="6560" w:type="dxa"/>
          </w:tcPr>
          <w:p w14:paraId="7E92BB99" w14:textId="3EECF958" w:rsidR="00E557FF" w:rsidRPr="001E762F" w:rsidRDefault="001E762F" w:rsidP="00E557FF">
            <w:pPr>
              <w:rPr>
                <w:rFonts w:cs="Times New Roman"/>
                <w:i/>
                <w:iCs/>
              </w:rPr>
            </w:pPr>
            <w:r>
              <w:rPr>
                <w:rFonts w:cs="Times New Roman"/>
              </w:rPr>
              <w:t xml:space="preserve">This option should be selected if the .csv file is to be read in to EXCEL. It ensures that all string fields remain in character format after being read into EXCEL.  </w:t>
            </w:r>
            <w:proofErr w:type="spellStart"/>
            <w:r>
              <w:rPr>
                <w:rFonts w:cs="Times New Roman"/>
                <w:i/>
                <w:iCs/>
              </w:rPr>
              <w:t>Default:YES</w:t>
            </w:r>
            <w:proofErr w:type="spellEnd"/>
          </w:p>
        </w:tc>
      </w:tr>
      <w:tr w:rsidR="00E557FF" w14:paraId="3F45415F" w14:textId="77777777" w:rsidTr="00E557FF">
        <w:tc>
          <w:tcPr>
            <w:tcW w:w="2070" w:type="dxa"/>
          </w:tcPr>
          <w:p w14:paraId="1513639C" w14:textId="48D2627A" w:rsidR="00E557FF" w:rsidRDefault="00E557FF" w:rsidP="00E557FF">
            <w:pPr>
              <w:rPr>
                <w:rFonts w:ascii="Courier New" w:hAnsi="Courier New" w:cs="Courier New"/>
              </w:rPr>
            </w:pPr>
            <w:proofErr w:type="spellStart"/>
            <w:r w:rsidRPr="000B37CF">
              <w:t>QuoteChar</w:t>
            </w:r>
            <w:proofErr w:type="spellEnd"/>
          </w:p>
        </w:tc>
        <w:tc>
          <w:tcPr>
            <w:tcW w:w="270" w:type="dxa"/>
            <w:tcMar>
              <w:left w:w="0" w:type="dxa"/>
              <w:right w:w="0" w:type="dxa"/>
            </w:tcMar>
          </w:tcPr>
          <w:p w14:paraId="23E11C29" w14:textId="5707DC6F" w:rsidR="00E557FF" w:rsidRDefault="00E557FF" w:rsidP="00E557FF">
            <w:pPr>
              <w:rPr>
                <w:rFonts w:ascii="Courier New" w:hAnsi="Courier New" w:cs="Courier New"/>
              </w:rPr>
            </w:pPr>
            <w:r>
              <w:rPr>
                <w:rFonts w:ascii="Courier New" w:hAnsi="Courier New" w:cs="Courier New"/>
              </w:rPr>
              <w:t>=</w:t>
            </w:r>
          </w:p>
        </w:tc>
        <w:tc>
          <w:tcPr>
            <w:tcW w:w="2008" w:type="dxa"/>
          </w:tcPr>
          <w:p w14:paraId="0E02051F" w14:textId="269C7AD3" w:rsidR="00E557FF" w:rsidRPr="00AE6A96" w:rsidRDefault="00E557FF" w:rsidP="00E557FF">
            <w:pPr>
              <w:rPr>
                <w:rFonts w:cs="Times New Roman"/>
              </w:rPr>
            </w:pPr>
            <w:r>
              <w:rPr>
                <w:rFonts w:cs="Times New Roman"/>
              </w:rPr>
              <w:t>Single character</w:t>
            </w:r>
          </w:p>
        </w:tc>
        <w:tc>
          <w:tcPr>
            <w:tcW w:w="6560" w:type="dxa"/>
          </w:tcPr>
          <w:p w14:paraId="7E8B40E3" w14:textId="538CCEB6" w:rsidR="00E557FF" w:rsidRPr="00BD1088" w:rsidRDefault="001E762F" w:rsidP="00E557FF">
            <w:pPr>
              <w:rPr>
                <w:rFonts w:cs="Times New Roman"/>
              </w:rPr>
            </w:pPr>
            <w:r>
              <w:rPr>
                <w:rFonts w:cs="Times New Roman"/>
              </w:rPr>
              <w:t xml:space="preserve">The character used to ‘quote’ the string if the </w:t>
            </w:r>
            <w:proofErr w:type="spellStart"/>
            <w:r>
              <w:rPr>
                <w:rFonts w:cs="Times New Roman"/>
              </w:rPr>
              <w:t>ColumnSeparator</w:t>
            </w:r>
            <w:proofErr w:type="spellEnd"/>
            <w:r>
              <w:rPr>
                <w:rFonts w:cs="Times New Roman"/>
              </w:rPr>
              <w:t xml:space="preserve"> character appears within it.</w:t>
            </w:r>
            <w:r w:rsidR="00BD1088">
              <w:rPr>
                <w:rFonts w:cs="Times New Roman"/>
              </w:rPr>
              <w:t xml:space="preserve">  </w:t>
            </w:r>
            <w:r w:rsidR="00BD1088">
              <w:rPr>
                <w:rFonts w:cs="Times New Roman"/>
                <w:i/>
                <w:iCs/>
              </w:rPr>
              <w:t>Default:”</w:t>
            </w:r>
            <w:r w:rsidR="00BD1088">
              <w:rPr>
                <w:rFonts w:cs="Times New Roman"/>
              </w:rPr>
              <w:t xml:space="preserve"> [double-quote]</w:t>
            </w:r>
          </w:p>
        </w:tc>
      </w:tr>
      <w:tr w:rsidR="00E557FF" w14:paraId="1A77DF26" w14:textId="77777777" w:rsidTr="00E557FF">
        <w:tc>
          <w:tcPr>
            <w:tcW w:w="2070" w:type="dxa"/>
          </w:tcPr>
          <w:p w14:paraId="7B3172CC" w14:textId="0C608F3F" w:rsidR="00E557FF" w:rsidRDefault="00E557FF" w:rsidP="00E557FF">
            <w:pPr>
              <w:rPr>
                <w:rFonts w:ascii="Courier New" w:hAnsi="Courier New" w:cs="Courier New"/>
              </w:rPr>
            </w:pPr>
            <w:proofErr w:type="spellStart"/>
            <w:r w:rsidRPr="000B37CF">
              <w:t>ColumnSeparator</w:t>
            </w:r>
            <w:proofErr w:type="spellEnd"/>
          </w:p>
        </w:tc>
        <w:tc>
          <w:tcPr>
            <w:tcW w:w="270" w:type="dxa"/>
            <w:tcMar>
              <w:left w:w="0" w:type="dxa"/>
              <w:right w:w="0" w:type="dxa"/>
            </w:tcMar>
          </w:tcPr>
          <w:p w14:paraId="330DE922" w14:textId="63A06B75" w:rsidR="00E557FF" w:rsidRDefault="00E557FF" w:rsidP="00E557FF">
            <w:pPr>
              <w:rPr>
                <w:rFonts w:ascii="Courier New" w:hAnsi="Courier New" w:cs="Courier New"/>
              </w:rPr>
            </w:pPr>
            <w:r>
              <w:rPr>
                <w:rFonts w:ascii="Courier New" w:hAnsi="Courier New" w:cs="Courier New"/>
              </w:rPr>
              <w:t>=</w:t>
            </w:r>
          </w:p>
        </w:tc>
        <w:tc>
          <w:tcPr>
            <w:tcW w:w="2008" w:type="dxa"/>
          </w:tcPr>
          <w:p w14:paraId="37B57BEB" w14:textId="1AE9FD43" w:rsidR="00E557FF" w:rsidRPr="00AE6A96" w:rsidRDefault="00E557FF" w:rsidP="00E557FF">
            <w:pPr>
              <w:rPr>
                <w:rFonts w:cs="Times New Roman"/>
              </w:rPr>
            </w:pPr>
            <w:r>
              <w:rPr>
                <w:rFonts w:cs="Times New Roman"/>
              </w:rPr>
              <w:t>Single character</w:t>
            </w:r>
          </w:p>
        </w:tc>
        <w:tc>
          <w:tcPr>
            <w:tcW w:w="6560" w:type="dxa"/>
          </w:tcPr>
          <w:p w14:paraId="485FB38C" w14:textId="269B2FD4" w:rsidR="00E557FF" w:rsidRPr="00BD1088" w:rsidRDefault="00BD1088" w:rsidP="00E557FF">
            <w:pPr>
              <w:rPr>
                <w:rFonts w:cs="Times New Roman"/>
              </w:rPr>
            </w:pPr>
            <w:r>
              <w:rPr>
                <w:rFonts w:cs="Times New Roman"/>
              </w:rPr>
              <w:t xml:space="preserve">The character used to separate fields in a record from each other. </w:t>
            </w:r>
            <w:r>
              <w:rPr>
                <w:rFonts w:cs="Times New Roman"/>
                <w:i/>
                <w:iCs/>
              </w:rPr>
              <w:t xml:space="preserve">Default:, </w:t>
            </w:r>
            <w:r>
              <w:rPr>
                <w:rFonts w:cs="Times New Roman"/>
              </w:rPr>
              <w:t>[comma]</w:t>
            </w:r>
          </w:p>
        </w:tc>
      </w:tr>
    </w:tbl>
    <w:p w14:paraId="407CB8FE" w14:textId="76B44486" w:rsidR="00BB6985" w:rsidRDefault="00EC22B9" w:rsidP="00EC22B9">
      <w:pPr>
        <w:pStyle w:val="Heading1"/>
      </w:pPr>
      <w:bookmarkStart w:id="1" w:name="_Mapping_Specification_1"/>
      <w:bookmarkEnd w:id="1"/>
      <w:r>
        <w:t>Mapping Specification</w:t>
      </w:r>
    </w:p>
    <w:p w14:paraId="57A4A51D" w14:textId="3EE065F5" w:rsidR="004D150F" w:rsidRPr="004D150F" w:rsidRDefault="004D150F" w:rsidP="004D150F">
      <w:r>
        <w:t>It is possible to run OFXtoDB right “out of the box” using the data model provided (see the Default OFXtoDB Data Model for details).  The EXCEL data writer will even</w:t>
      </w:r>
      <w:r w:rsidR="00933161">
        <w:t xml:space="preserve"> create and</w:t>
      </w:r>
      <w:r>
        <w:t xml:space="preserve"> initialize </w:t>
      </w:r>
      <w:r w:rsidR="00933161">
        <w:t>a new</w:t>
      </w:r>
      <w:r>
        <w:t xml:space="preserve"> spreadsheet the first time it is run with worksheets and headers.  You may find, however, that your financial institution provides you with information that is not in the provided mapping or that you desire a slightly different data model or table names.  In that case you will need to modify the existing mapping and you will need the information in this section to do that.</w:t>
      </w:r>
      <w:r w:rsidR="009D4261">
        <w:t xml:space="preserve">  </w:t>
      </w:r>
      <w:r w:rsidR="00DB3B81">
        <w:t xml:space="preserve">Before making changes to the mapping it would be helpful to familiarize yourself with the </w:t>
      </w:r>
      <w:hyperlink r:id="rId5" w:history="1">
        <w:r w:rsidR="00DB3B81" w:rsidRPr="004B0DA6">
          <w:rPr>
            <w:rStyle w:val="Hyperlink"/>
          </w:rPr>
          <w:t>OFX standard</w:t>
        </w:r>
      </w:hyperlink>
      <w:r w:rsidR="00DB3B81">
        <w:t xml:space="preserve"> specification.  Each financial institution includes a different set of these data elements, so it is also helpful to browse an actual file created by the financial institution that operates your accounts.</w:t>
      </w:r>
    </w:p>
    <w:p w14:paraId="772AEF30" w14:textId="61A9256D" w:rsidR="00EC644C" w:rsidRDefault="00FD5578" w:rsidP="00EC22B9">
      <w:r>
        <w:t xml:space="preserve">Every element within a mapping consists of four fields: the OFX list name, the physical table it maps to, a specific OFX tag containing data, and the column name within the physical table it maps to.  This structure provides a great deal of flexibility.  You can map the same </w:t>
      </w:r>
      <w:proofErr w:type="spellStart"/>
      <w:r>
        <w:t>OFXList</w:t>
      </w:r>
      <w:proofErr w:type="spellEnd"/>
      <w:r>
        <w:t xml:space="preserve"> to multiple physical tables and </w:t>
      </w:r>
      <w:r w:rsidR="00B358C2">
        <w:t xml:space="preserve">that data will be saved to all of them.  Since OFXtoDB squeezes out duplicate primary keys, you can map account summary data in a single record to an account table </w:t>
      </w:r>
      <w:r w:rsidR="00B358C2">
        <w:lastRenderedPageBreak/>
        <w:t>while writing the transactions to a transactions table.  You can map different OFX tags to the same data base column, which is useful in investment transactions where internal account transactions refer to a &lt;TOTAL&gt; amount, but transfers into and out of the account refer to a &lt;TRNAMT&gt; amount.</w:t>
      </w:r>
    </w:p>
    <w:p w14:paraId="73B17E44" w14:textId="0C02B202" w:rsidR="00EC644C" w:rsidRDefault="00F50BC7" w:rsidP="00EC22B9">
      <w:r>
        <w:t xml:space="preserve">This mapping list can reside either in a database table (recommended for database output), or in a [Mapping] section in the OFXtoDB.ini file.  The database table </w:t>
      </w:r>
      <w:r>
        <w:rPr>
          <w:u w:val="single"/>
        </w:rPr>
        <w:t>must</w:t>
      </w:r>
      <w:r>
        <w:t xml:space="preserve"> have as its column names </w:t>
      </w:r>
      <w:proofErr w:type="spellStart"/>
      <w:r>
        <w:t>OFXList</w:t>
      </w:r>
      <w:proofErr w:type="spellEnd"/>
      <w:r>
        <w:t xml:space="preserve">, </w:t>
      </w:r>
      <w:proofErr w:type="spellStart"/>
      <w:r>
        <w:t>DBTable</w:t>
      </w:r>
      <w:proofErr w:type="spellEnd"/>
      <w:r>
        <w:t xml:space="preserve">, </w:t>
      </w:r>
      <w:proofErr w:type="spellStart"/>
      <w:r>
        <w:t>OFXTag</w:t>
      </w:r>
      <w:proofErr w:type="spellEnd"/>
      <w:r>
        <w:t xml:space="preserve">, and </w:t>
      </w:r>
      <w:proofErr w:type="spellStart"/>
      <w:r>
        <w:t>DBColumn</w:t>
      </w:r>
      <w:proofErr w:type="spellEnd"/>
      <w:r>
        <w:t>.</w:t>
      </w:r>
      <w:r w:rsidR="00FF57E2">
        <w:t xml:space="preserve">  </w:t>
      </w:r>
    </w:p>
    <w:p w14:paraId="0E02E5D8" w14:textId="29170898" w:rsidR="00F50BC7" w:rsidRPr="00F50BC7" w:rsidRDefault="00FF57E2" w:rsidP="00EC22B9">
      <w:r>
        <w:t>What follows is a detailed description of each of the four columns and how to specify them.</w:t>
      </w:r>
    </w:p>
    <w:p w14:paraId="0C6AE662" w14:textId="3FC3718B" w:rsidR="00F45E10" w:rsidRDefault="00F45E10" w:rsidP="00F45E10">
      <w:pPr>
        <w:pStyle w:val="Heading3"/>
      </w:pPr>
      <w:r w:rsidRPr="00F45E10">
        <w:t>1.</w:t>
      </w:r>
      <w:r>
        <w:t xml:space="preserve"> OFX List Name Specification</w:t>
      </w:r>
    </w:p>
    <w:p w14:paraId="6275B40A" w14:textId="1156566A" w:rsidR="00EC22B9" w:rsidRDefault="009562DC" w:rsidP="00EC22B9">
      <w:r>
        <w:t>OFXtoDB is designed to turn list-oriented data in OFX statement files into records in a database.  As such, it deals with any of the following eight OFX lists: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7086"/>
      </w:tblGrid>
      <w:tr w:rsidR="009562DC" w14:paraId="7DF26FDE" w14:textId="77777777" w:rsidTr="00112389">
        <w:tc>
          <w:tcPr>
            <w:tcW w:w="2262" w:type="dxa"/>
          </w:tcPr>
          <w:p w14:paraId="5CF3E4B2" w14:textId="0663D4ED" w:rsidR="009562DC" w:rsidRDefault="009562DC" w:rsidP="008D17F7">
            <w:pPr>
              <w:jc w:val="right"/>
            </w:pPr>
            <w:r>
              <w:t>&lt;SECLIST&gt;</w:t>
            </w:r>
          </w:p>
        </w:tc>
        <w:tc>
          <w:tcPr>
            <w:tcW w:w="7088" w:type="dxa"/>
          </w:tcPr>
          <w:p w14:paraId="13995F87" w14:textId="36E13E1F" w:rsidR="009562DC" w:rsidRPr="008D17F7" w:rsidRDefault="008D17F7" w:rsidP="009562DC">
            <w:pPr>
              <w:rPr>
                <w:i/>
                <w:iCs/>
              </w:rPr>
            </w:pPr>
            <w:r>
              <w:t xml:space="preserve">A description of the securities held in a brokerage or mutual fund account.  </w:t>
            </w:r>
            <w:r>
              <w:rPr>
                <w:i/>
                <w:iCs/>
              </w:rPr>
              <w:t>Primary key: &lt;FID&gt;, &lt;UNIQUEID&gt;</w:t>
            </w:r>
          </w:p>
        </w:tc>
      </w:tr>
      <w:tr w:rsidR="009562DC" w14:paraId="38A976BD" w14:textId="77777777" w:rsidTr="00112389">
        <w:tc>
          <w:tcPr>
            <w:tcW w:w="2262" w:type="dxa"/>
          </w:tcPr>
          <w:p w14:paraId="58BA8FD5" w14:textId="399B1986" w:rsidR="009562DC" w:rsidRDefault="009562DC" w:rsidP="008D17F7">
            <w:pPr>
              <w:jc w:val="right"/>
            </w:pPr>
            <w:r>
              <w:t>&lt;INVPOSLIST&gt;</w:t>
            </w:r>
          </w:p>
        </w:tc>
        <w:tc>
          <w:tcPr>
            <w:tcW w:w="7088" w:type="dxa"/>
          </w:tcPr>
          <w:p w14:paraId="082CC5B5" w14:textId="22D6D8FE" w:rsidR="009562DC" w:rsidRPr="008D17F7" w:rsidRDefault="008D17F7" w:rsidP="009562DC">
            <w:pPr>
              <w:rPr>
                <w:i/>
                <w:iCs/>
              </w:rPr>
            </w:pPr>
            <w:r>
              <w:t>A dated list of positions (balances) of each security</w:t>
            </w:r>
            <w:r w:rsidR="001A58EF">
              <w:t xml:space="preserve"> (</w:t>
            </w:r>
            <w:proofErr w:type="spellStart"/>
            <w:r w:rsidR="001A58EF">
              <w:t>Cusip</w:t>
            </w:r>
            <w:proofErr w:type="spellEnd"/>
            <w:r w:rsidR="001A58EF">
              <w:t>)</w:t>
            </w:r>
            <w:r>
              <w:t xml:space="preserve"> held in each </w:t>
            </w:r>
            <w:r w:rsidR="001A58EF">
              <w:t xml:space="preserve">brokerage or mutual fund </w:t>
            </w:r>
            <w:r>
              <w:t>account.</w:t>
            </w:r>
            <w:r w:rsidR="001A58EF">
              <w:t xml:space="preserve">  The valuation date is typically the same date across an entire OFX file to enable a complete account snapshot.</w:t>
            </w:r>
            <w:r>
              <w:t xml:space="preserve">  </w:t>
            </w:r>
            <w:r>
              <w:rPr>
                <w:i/>
                <w:iCs/>
              </w:rPr>
              <w:t>Primary key: &lt;FID&gt;,</w:t>
            </w:r>
            <w:r w:rsidR="001A58EF">
              <w:rPr>
                <w:i/>
                <w:iCs/>
              </w:rPr>
              <w:t xml:space="preserve"> </w:t>
            </w:r>
            <w:r w:rsidR="001A58EF" w:rsidRPr="001A58EF">
              <w:rPr>
                <w:i/>
                <w:iCs/>
              </w:rPr>
              <w:t>&lt;ACCTID&gt;</w:t>
            </w:r>
            <w:r w:rsidR="001A58EF">
              <w:rPr>
                <w:i/>
                <w:iCs/>
              </w:rPr>
              <w:t xml:space="preserve">, </w:t>
            </w:r>
            <w:r w:rsidR="001A58EF" w:rsidRPr="001A58EF">
              <w:rPr>
                <w:i/>
                <w:iCs/>
              </w:rPr>
              <w:t>&lt;UNIQUEID&gt;</w:t>
            </w:r>
            <w:r w:rsidR="001A58EF">
              <w:rPr>
                <w:i/>
                <w:iCs/>
              </w:rPr>
              <w:t xml:space="preserve">, </w:t>
            </w:r>
            <w:r w:rsidR="001A58EF" w:rsidRPr="001A58EF">
              <w:rPr>
                <w:i/>
                <w:iCs/>
              </w:rPr>
              <w:t>&lt;DTPRICEASOF&gt;</w:t>
            </w:r>
          </w:p>
        </w:tc>
      </w:tr>
      <w:tr w:rsidR="009562DC" w14:paraId="570CAAD6" w14:textId="77777777" w:rsidTr="00112389">
        <w:tc>
          <w:tcPr>
            <w:tcW w:w="2262" w:type="dxa"/>
          </w:tcPr>
          <w:p w14:paraId="583CFD29" w14:textId="23ACDB5F" w:rsidR="009562DC" w:rsidRDefault="009562DC" w:rsidP="008D17F7">
            <w:pPr>
              <w:jc w:val="right"/>
            </w:pPr>
            <w:r>
              <w:t>&lt;INVTRANLIST&gt;</w:t>
            </w:r>
          </w:p>
        </w:tc>
        <w:tc>
          <w:tcPr>
            <w:tcW w:w="7088" w:type="dxa"/>
          </w:tcPr>
          <w:p w14:paraId="36C8F931" w14:textId="7ED3A87C" w:rsidR="009562DC" w:rsidRPr="001A58EF" w:rsidRDefault="001A58EF" w:rsidP="009562DC">
            <w:pPr>
              <w:rPr>
                <w:i/>
                <w:iCs/>
              </w:rPr>
            </w:pPr>
            <w:r>
              <w:t xml:space="preserve">A dated list of securities transactions between &lt;DTSTART&gt; and &lt;DTEND&gt; performed in each brokerage or mutual fund account.  </w:t>
            </w:r>
            <w:r>
              <w:rPr>
                <w:i/>
                <w:iCs/>
              </w:rPr>
              <w:t>Primary key: &lt;FID&gt;, &lt;ACCTID&gt;, &lt;FITID&gt;</w:t>
            </w:r>
          </w:p>
        </w:tc>
      </w:tr>
      <w:tr w:rsidR="009562DC" w14:paraId="2D7A2829" w14:textId="77777777" w:rsidTr="00112389">
        <w:tc>
          <w:tcPr>
            <w:tcW w:w="2262" w:type="dxa"/>
          </w:tcPr>
          <w:p w14:paraId="1C02AC03" w14:textId="3E661D6F" w:rsidR="009562DC" w:rsidRDefault="009562DC" w:rsidP="008D17F7">
            <w:pPr>
              <w:jc w:val="right"/>
            </w:pPr>
            <w:r>
              <w:t>&lt;BANKTRANLIST&gt;</w:t>
            </w:r>
          </w:p>
        </w:tc>
        <w:tc>
          <w:tcPr>
            <w:tcW w:w="7088" w:type="dxa"/>
          </w:tcPr>
          <w:p w14:paraId="2D8DA185" w14:textId="16384901" w:rsidR="009562DC" w:rsidRPr="004F1C05" w:rsidRDefault="004F1C05" w:rsidP="009562DC">
            <w:pPr>
              <w:rPr>
                <w:i/>
                <w:iCs/>
              </w:rPr>
            </w:pPr>
            <w:r>
              <w:t xml:space="preserve">A dated list of transactions performed on a group of bank or credit card accounts.  </w:t>
            </w:r>
            <w:r>
              <w:rPr>
                <w:i/>
                <w:iCs/>
              </w:rPr>
              <w:t>Primary key: &lt;FID&gt;, &lt;ACCTID&gt;, &lt;FITID&gt;</w:t>
            </w:r>
          </w:p>
        </w:tc>
      </w:tr>
      <w:tr w:rsidR="009562DC" w14:paraId="233296EA" w14:textId="77777777" w:rsidTr="00112389">
        <w:tc>
          <w:tcPr>
            <w:tcW w:w="2262" w:type="dxa"/>
          </w:tcPr>
          <w:p w14:paraId="42637341" w14:textId="7EED652E" w:rsidR="009562DC" w:rsidRDefault="009562DC" w:rsidP="008D17F7">
            <w:pPr>
              <w:jc w:val="right"/>
            </w:pPr>
            <w:r>
              <w:t>&lt;BANKTRANLISTP&gt;</w:t>
            </w:r>
          </w:p>
        </w:tc>
        <w:tc>
          <w:tcPr>
            <w:tcW w:w="7088" w:type="dxa"/>
          </w:tcPr>
          <w:p w14:paraId="7C494D97" w14:textId="51253074" w:rsidR="009562DC" w:rsidRPr="004F1C05" w:rsidRDefault="004F1C05" w:rsidP="009562DC">
            <w:pPr>
              <w:rPr>
                <w:i/>
                <w:iCs/>
              </w:rPr>
            </w:pPr>
            <w:r>
              <w:t xml:space="preserve">A list of </w:t>
            </w:r>
            <w:r>
              <w:rPr>
                <w:u w:val="single"/>
              </w:rPr>
              <w:t>pending</w:t>
            </w:r>
            <w:r>
              <w:t xml:space="preserve"> transactions waiting to be posted on a group of bank or credit card accounts.  This list should always totally replace whatever was saved previously.  </w:t>
            </w:r>
            <w:r>
              <w:rPr>
                <w:i/>
                <w:iCs/>
              </w:rPr>
              <w:t>Primary key: &lt;FID&gt;, &lt;ACCTID&gt;, &lt;FITID&gt;</w:t>
            </w:r>
          </w:p>
        </w:tc>
      </w:tr>
      <w:tr w:rsidR="009562DC" w14:paraId="20A43745" w14:textId="77777777" w:rsidTr="00112389">
        <w:tc>
          <w:tcPr>
            <w:tcW w:w="2262" w:type="dxa"/>
          </w:tcPr>
          <w:p w14:paraId="66D448A0" w14:textId="1516747C" w:rsidR="009562DC" w:rsidRDefault="008D17F7" w:rsidP="008D17F7">
            <w:pPr>
              <w:jc w:val="right"/>
            </w:pPr>
            <w:r>
              <w:t>&lt;</w:t>
            </w:r>
            <w:r w:rsidRPr="008D17F7">
              <w:t>LOANTRANLIST</w:t>
            </w:r>
            <w:r>
              <w:t>&gt;</w:t>
            </w:r>
          </w:p>
        </w:tc>
        <w:tc>
          <w:tcPr>
            <w:tcW w:w="7088" w:type="dxa"/>
          </w:tcPr>
          <w:p w14:paraId="78F3161C" w14:textId="2BC75BF8" w:rsidR="009562DC" w:rsidRPr="0009566C" w:rsidRDefault="0009566C" w:rsidP="009562DC">
            <w:pPr>
              <w:rPr>
                <w:i/>
                <w:iCs/>
              </w:rPr>
            </w:pPr>
            <w:r>
              <w:t xml:space="preserve">A dated list of activity against a group of loans. </w:t>
            </w:r>
            <w:r>
              <w:rPr>
                <w:i/>
                <w:iCs/>
              </w:rPr>
              <w:t>Primary key: &lt;FID&gt;, &lt;ACCTID&gt;, &lt;FITID&gt;</w:t>
            </w:r>
          </w:p>
        </w:tc>
      </w:tr>
      <w:tr w:rsidR="009562DC" w14:paraId="3C006A05" w14:textId="77777777" w:rsidTr="00112389">
        <w:tc>
          <w:tcPr>
            <w:tcW w:w="2262" w:type="dxa"/>
          </w:tcPr>
          <w:p w14:paraId="56E918B9" w14:textId="5F04B8AC" w:rsidR="009562DC" w:rsidRDefault="008D17F7" w:rsidP="008D17F7">
            <w:pPr>
              <w:jc w:val="right"/>
            </w:pPr>
            <w:r>
              <w:t>&lt;</w:t>
            </w:r>
            <w:r w:rsidRPr="008D17F7">
              <w:t>AMRTTRANLIST</w:t>
            </w:r>
            <w:r>
              <w:t>&gt;</w:t>
            </w:r>
          </w:p>
        </w:tc>
        <w:tc>
          <w:tcPr>
            <w:tcW w:w="7088" w:type="dxa"/>
          </w:tcPr>
          <w:p w14:paraId="4766560F" w14:textId="700F5350" w:rsidR="009562DC" w:rsidRPr="00112389" w:rsidRDefault="0009566C" w:rsidP="009562DC">
            <w:pPr>
              <w:rPr>
                <w:i/>
                <w:iCs/>
              </w:rPr>
            </w:pPr>
            <w:r>
              <w:t>An amortization schedule of a group of loans</w:t>
            </w:r>
            <w:r w:rsidR="00112389">
              <w:t xml:space="preserve">.  </w:t>
            </w:r>
            <w:r w:rsidR="00112389">
              <w:rPr>
                <w:i/>
                <w:iCs/>
              </w:rPr>
              <w:t>Primary key: &lt;FID&gt;, &lt;ACCTID&gt;, &lt;FITID&gt;</w:t>
            </w:r>
          </w:p>
        </w:tc>
      </w:tr>
      <w:tr w:rsidR="009562DC" w14:paraId="68E512CF" w14:textId="77777777" w:rsidTr="00112389">
        <w:tc>
          <w:tcPr>
            <w:tcW w:w="2262" w:type="dxa"/>
          </w:tcPr>
          <w:p w14:paraId="76F02338" w14:textId="34949691" w:rsidR="009562DC" w:rsidRDefault="008D17F7" w:rsidP="008D17F7">
            <w:pPr>
              <w:jc w:val="right"/>
            </w:pPr>
            <w:r>
              <w:t>&lt;CLOSING&gt;</w:t>
            </w:r>
          </w:p>
        </w:tc>
        <w:tc>
          <w:tcPr>
            <w:tcW w:w="7088" w:type="dxa"/>
          </w:tcPr>
          <w:p w14:paraId="758420A3" w14:textId="76CA85C3" w:rsidR="009562DC" w:rsidRDefault="00112389" w:rsidP="009562DC">
            <w:r>
              <w:t xml:space="preserve">Statement summary (balances, fees, interest, etc.) data for a series of time periods across a group of accounts. </w:t>
            </w:r>
            <w:r>
              <w:rPr>
                <w:i/>
                <w:iCs/>
              </w:rPr>
              <w:t>Primary key: &lt;FID&gt;, &lt;ACCTID&gt;, &lt;FITID&gt;</w:t>
            </w:r>
          </w:p>
        </w:tc>
      </w:tr>
    </w:tbl>
    <w:p w14:paraId="530CABB2" w14:textId="12FF10C4" w:rsidR="00CE735D" w:rsidRDefault="00CE735D" w:rsidP="00112389">
      <w:pPr>
        <w:spacing w:before="240"/>
      </w:pPr>
      <w:r>
        <w:t xml:space="preserve">There is also useful data in a neighborhood </w:t>
      </w:r>
      <w:r w:rsidR="00EE1236">
        <w:t>near each of the above lists</w:t>
      </w:r>
      <w:r w:rsidR="00F45E10">
        <w:t>, so an OFX List name entry is actually in two parts: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7086"/>
      </w:tblGrid>
      <w:tr w:rsidR="00F45E10" w14:paraId="47710C51" w14:textId="77777777" w:rsidTr="00F45E10">
        <w:tc>
          <w:tcPr>
            <w:tcW w:w="2274" w:type="dxa"/>
          </w:tcPr>
          <w:p w14:paraId="4E0A81FC" w14:textId="5BFA23FB" w:rsidR="00F45E10" w:rsidRPr="00F45E10" w:rsidRDefault="00F45E10" w:rsidP="00724FE1">
            <w:pPr>
              <w:jc w:val="right"/>
              <w:rPr>
                <w:u w:val="single"/>
              </w:rPr>
            </w:pPr>
            <w:r w:rsidRPr="00F45E10">
              <w:rPr>
                <w:u w:val="single"/>
              </w:rPr>
              <w:t>OFX List</w:t>
            </w:r>
          </w:p>
        </w:tc>
        <w:tc>
          <w:tcPr>
            <w:tcW w:w="7086" w:type="dxa"/>
          </w:tcPr>
          <w:p w14:paraId="0429821C" w14:textId="44A3407C" w:rsidR="00F45E10" w:rsidRPr="00F45E10" w:rsidRDefault="00F45E10" w:rsidP="00724FE1">
            <w:pPr>
              <w:rPr>
                <w:u w:val="single"/>
              </w:rPr>
            </w:pPr>
            <w:r w:rsidRPr="00F45E10">
              <w:rPr>
                <w:u w:val="single"/>
              </w:rPr>
              <w:t>Mapping List Name</w:t>
            </w:r>
          </w:p>
        </w:tc>
      </w:tr>
      <w:tr w:rsidR="00F45E10" w14:paraId="11B442BA" w14:textId="77777777" w:rsidTr="00F45E10">
        <w:tc>
          <w:tcPr>
            <w:tcW w:w="2274" w:type="dxa"/>
          </w:tcPr>
          <w:p w14:paraId="133A6AF2" w14:textId="77777777" w:rsidR="00F45E10" w:rsidRDefault="00F45E10" w:rsidP="00724FE1">
            <w:pPr>
              <w:jc w:val="right"/>
            </w:pPr>
            <w:r>
              <w:t>&lt;SECLIST&gt;</w:t>
            </w:r>
          </w:p>
        </w:tc>
        <w:tc>
          <w:tcPr>
            <w:tcW w:w="7086" w:type="dxa"/>
          </w:tcPr>
          <w:p w14:paraId="432586E1" w14:textId="2ED86569" w:rsidR="00F45E10" w:rsidRPr="008D17F7" w:rsidRDefault="00F45E10" w:rsidP="00724FE1">
            <w:pPr>
              <w:rPr>
                <w:i/>
                <w:iCs/>
              </w:rPr>
            </w:pPr>
            <w:r>
              <w:t>SECLIST</w:t>
            </w:r>
          </w:p>
        </w:tc>
      </w:tr>
      <w:tr w:rsidR="00F45E10" w14:paraId="61DF4201" w14:textId="77777777" w:rsidTr="00F45E10">
        <w:tc>
          <w:tcPr>
            <w:tcW w:w="2274" w:type="dxa"/>
          </w:tcPr>
          <w:p w14:paraId="4B709D01" w14:textId="77777777" w:rsidR="00F45E10" w:rsidRDefault="00F45E10" w:rsidP="00724FE1">
            <w:pPr>
              <w:jc w:val="right"/>
            </w:pPr>
            <w:r>
              <w:t>&lt;INVPOSLIST&gt;</w:t>
            </w:r>
          </w:p>
        </w:tc>
        <w:tc>
          <w:tcPr>
            <w:tcW w:w="7086" w:type="dxa"/>
          </w:tcPr>
          <w:p w14:paraId="3A441B7C" w14:textId="37D71849" w:rsidR="00F45E10" w:rsidRPr="008D17F7" w:rsidRDefault="00F45E10" w:rsidP="00724FE1">
            <w:pPr>
              <w:rPr>
                <w:i/>
                <w:iCs/>
              </w:rPr>
            </w:pPr>
            <w:r w:rsidRPr="00F45E10">
              <w:t>INVSTMTRS/INVPOSLIST</w:t>
            </w:r>
          </w:p>
        </w:tc>
      </w:tr>
      <w:tr w:rsidR="00F45E10" w14:paraId="03610431" w14:textId="77777777" w:rsidTr="00F45E10">
        <w:tc>
          <w:tcPr>
            <w:tcW w:w="2274" w:type="dxa"/>
          </w:tcPr>
          <w:p w14:paraId="4CF41806" w14:textId="77777777" w:rsidR="00F45E10" w:rsidRDefault="00F45E10" w:rsidP="00724FE1">
            <w:pPr>
              <w:jc w:val="right"/>
            </w:pPr>
            <w:r>
              <w:t>&lt;INVTRANLIST&gt;</w:t>
            </w:r>
          </w:p>
        </w:tc>
        <w:tc>
          <w:tcPr>
            <w:tcW w:w="7086" w:type="dxa"/>
          </w:tcPr>
          <w:p w14:paraId="4B4A7B17" w14:textId="3DE48FEF" w:rsidR="00F45E10" w:rsidRPr="001A58EF" w:rsidRDefault="00F45E10" w:rsidP="00724FE1">
            <w:pPr>
              <w:rPr>
                <w:i/>
                <w:iCs/>
              </w:rPr>
            </w:pPr>
            <w:r w:rsidRPr="00F45E10">
              <w:t>INVSTMTRS/INVTRANLIST</w:t>
            </w:r>
          </w:p>
        </w:tc>
      </w:tr>
      <w:tr w:rsidR="00F45E10" w14:paraId="194CCBE9" w14:textId="77777777" w:rsidTr="00F45E10">
        <w:tc>
          <w:tcPr>
            <w:tcW w:w="2274" w:type="dxa"/>
          </w:tcPr>
          <w:p w14:paraId="3BEA6F51" w14:textId="77777777" w:rsidR="00F45E10" w:rsidRDefault="00F45E10" w:rsidP="00724FE1">
            <w:pPr>
              <w:jc w:val="right"/>
            </w:pPr>
            <w:r>
              <w:t>&lt;BANKTRANLIST&gt;</w:t>
            </w:r>
          </w:p>
        </w:tc>
        <w:tc>
          <w:tcPr>
            <w:tcW w:w="7086" w:type="dxa"/>
          </w:tcPr>
          <w:p w14:paraId="2BBD5403" w14:textId="43DB133B" w:rsidR="00F45E10" w:rsidRPr="004F1C05" w:rsidRDefault="00F45E10" w:rsidP="00724FE1">
            <w:pPr>
              <w:rPr>
                <w:i/>
                <w:iCs/>
              </w:rPr>
            </w:pPr>
            <w:r w:rsidRPr="00F45E10">
              <w:t>STMTRS/BANKTRANLIST</w:t>
            </w:r>
            <w:r>
              <w:t xml:space="preserve"> for bank accounts, CC</w:t>
            </w:r>
            <w:r w:rsidRPr="00F45E10">
              <w:t>STMTRS/BANKTRANLIST</w:t>
            </w:r>
            <w:r>
              <w:t xml:space="preserve"> for credit cards</w:t>
            </w:r>
          </w:p>
        </w:tc>
      </w:tr>
      <w:tr w:rsidR="00F45E10" w14:paraId="571842AA" w14:textId="77777777" w:rsidTr="00F45E10">
        <w:tc>
          <w:tcPr>
            <w:tcW w:w="2274" w:type="dxa"/>
          </w:tcPr>
          <w:p w14:paraId="323774CC" w14:textId="77777777" w:rsidR="00F45E10" w:rsidRDefault="00F45E10" w:rsidP="00F45E10">
            <w:pPr>
              <w:jc w:val="right"/>
            </w:pPr>
            <w:r>
              <w:t>&lt;BANKTRANLISTP&gt;</w:t>
            </w:r>
          </w:p>
        </w:tc>
        <w:tc>
          <w:tcPr>
            <w:tcW w:w="7086" w:type="dxa"/>
          </w:tcPr>
          <w:p w14:paraId="14889712" w14:textId="27024375" w:rsidR="00F45E10" w:rsidRPr="004F1C05" w:rsidRDefault="00F45E10" w:rsidP="00F45E10">
            <w:pPr>
              <w:rPr>
                <w:i/>
                <w:iCs/>
              </w:rPr>
            </w:pPr>
            <w:r w:rsidRPr="00F45E10">
              <w:t>STMTRS/BANKTRANLIST</w:t>
            </w:r>
            <w:r w:rsidR="00116038">
              <w:t>P</w:t>
            </w:r>
            <w:r>
              <w:t xml:space="preserve"> for bank accounts, CC</w:t>
            </w:r>
            <w:r w:rsidRPr="00F45E10">
              <w:t>STMTRS/BANKTRANLIST</w:t>
            </w:r>
            <w:r w:rsidR="00116038">
              <w:t>P</w:t>
            </w:r>
            <w:r>
              <w:t xml:space="preserve"> for credit cards</w:t>
            </w:r>
          </w:p>
        </w:tc>
      </w:tr>
      <w:tr w:rsidR="00F45E10" w14:paraId="0B4C8525" w14:textId="77777777" w:rsidTr="00F45E10">
        <w:tc>
          <w:tcPr>
            <w:tcW w:w="2274" w:type="dxa"/>
          </w:tcPr>
          <w:p w14:paraId="58C24547" w14:textId="77777777" w:rsidR="00F45E10" w:rsidRDefault="00F45E10" w:rsidP="00724FE1">
            <w:pPr>
              <w:jc w:val="right"/>
            </w:pPr>
            <w:r>
              <w:t>&lt;</w:t>
            </w:r>
            <w:r w:rsidRPr="008D17F7">
              <w:t>LOANTRANLIST</w:t>
            </w:r>
            <w:r>
              <w:t>&gt;</w:t>
            </w:r>
          </w:p>
        </w:tc>
        <w:tc>
          <w:tcPr>
            <w:tcW w:w="7086" w:type="dxa"/>
          </w:tcPr>
          <w:p w14:paraId="2FE8A69C" w14:textId="62BB7B30" w:rsidR="00F45E10" w:rsidRPr="0009566C" w:rsidRDefault="00116038" w:rsidP="00724FE1">
            <w:pPr>
              <w:rPr>
                <w:i/>
                <w:iCs/>
              </w:rPr>
            </w:pPr>
            <w:r>
              <w:rPr>
                <w:rFonts w:ascii="TimesNewRoman" w:hAnsi="TimesNewRoman" w:cs="TimesNewRoman"/>
                <w:kern w:val="0"/>
              </w:rPr>
              <w:t>LOANSTMTRS/</w:t>
            </w:r>
            <w:r w:rsidRPr="008D17F7">
              <w:t xml:space="preserve"> LOANTRANLIST</w:t>
            </w:r>
          </w:p>
        </w:tc>
      </w:tr>
      <w:tr w:rsidR="00F45E10" w14:paraId="6CE12508" w14:textId="77777777" w:rsidTr="00F45E10">
        <w:tc>
          <w:tcPr>
            <w:tcW w:w="2274" w:type="dxa"/>
          </w:tcPr>
          <w:p w14:paraId="119C8116" w14:textId="77777777" w:rsidR="00F45E10" w:rsidRDefault="00F45E10" w:rsidP="00724FE1">
            <w:pPr>
              <w:jc w:val="right"/>
            </w:pPr>
            <w:r>
              <w:t>&lt;</w:t>
            </w:r>
            <w:r w:rsidRPr="008D17F7">
              <w:t>AMRTTRANLIST</w:t>
            </w:r>
            <w:r>
              <w:t>&gt;</w:t>
            </w:r>
          </w:p>
        </w:tc>
        <w:tc>
          <w:tcPr>
            <w:tcW w:w="7086" w:type="dxa"/>
          </w:tcPr>
          <w:p w14:paraId="3C10D5A6" w14:textId="31056FA6" w:rsidR="00F45E10" w:rsidRPr="00112389" w:rsidRDefault="00116038" w:rsidP="00724FE1">
            <w:pPr>
              <w:rPr>
                <w:i/>
                <w:iCs/>
              </w:rPr>
            </w:pPr>
            <w:r w:rsidRPr="00116038">
              <w:t>AMRTSTMTRS</w:t>
            </w:r>
            <w:r>
              <w:t>/</w:t>
            </w:r>
            <w:r w:rsidRPr="008D17F7">
              <w:t xml:space="preserve"> AMRTTRANLIST</w:t>
            </w:r>
          </w:p>
        </w:tc>
      </w:tr>
      <w:tr w:rsidR="00F45E10" w14:paraId="22A5C5D5" w14:textId="77777777" w:rsidTr="00F45E10">
        <w:tc>
          <w:tcPr>
            <w:tcW w:w="2274" w:type="dxa"/>
          </w:tcPr>
          <w:p w14:paraId="14569B0C" w14:textId="77777777" w:rsidR="00F45E10" w:rsidRDefault="00F45E10" w:rsidP="00724FE1">
            <w:pPr>
              <w:jc w:val="right"/>
            </w:pPr>
            <w:r>
              <w:t>&lt;CLOSING&gt;</w:t>
            </w:r>
          </w:p>
        </w:tc>
        <w:tc>
          <w:tcPr>
            <w:tcW w:w="7086" w:type="dxa"/>
          </w:tcPr>
          <w:p w14:paraId="5986C7A4" w14:textId="7BF9652B" w:rsidR="00F45E10" w:rsidRDefault="00116038" w:rsidP="00724FE1">
            <w:r w:rsidRPr="00116038">
              <w:t>STMTENDRS</w:t>
            </w:r>
            <w:r>
              <w:t>/ CLOSING</w:t>
            </w:r>
          </w:p>
        </w:tc>
      </w:tr>
    </w:tbl>
    <w:p w14:paraId="02124DAC" w14:textId="4F481F88" w:rsidR="00F45E10" w:rsidRDefault="00116038" w:rsidP="00112389">
      <w:pPr>
        <w:spacing w:before="240"/>
      </w:pPr>
      <w:r>
        <w:t xml:space="preserve">Everything to the left of the last slash (/) </w:t>
      </w:r>
      <w:r w:rsidR="00CB0358">
        <w:t xml:space="preserve">is an XML </w:t>
      </w:r>
      <w:r w:rsidR="002811C4">
        <w:t>X</w:t>
      </w:r>
      <w:r w:rsidR="00CB0358">
        <w:t xml:space="preserve">Path to a beginning point for processing a </w:t>
      </w:r>
      <w:proofErr w:type="spellStart"/>
      <w:r w:rsidR="00CB0358">
        <w:t>sublist</w:t>
      </w:r>
      <w:proofErr w:type="spellEnd"/>
      <w:r w:rsidR="00CB0358">
        <w:t xml:space="preserve"> (actually, a list of </w:t>
      </w:r>
      <w:proofErr w:type="spellStart"/>
      <w:r w:rsidR="00CB0358">
        <w:t>sublists</w:t>
      </w:r>
      <w:proofErr w:type="spellEnd"/>
      <w:r w:rsidR="00CB0358">
        <w:t xml:space="preserve"> if there are multiple accounts present in the file).  Every data element</w:t>
      </w:r>
      <w:r w:rsidR="00451120">
        <w:t xml:space="preserve"> that occurs</w:t>
      </w:r>
      <w:r w:rsidR="00FF57E2">
        <w:t xml:space="preserve"> in the file</w:t>
      </w:r>
      <w:r w:rsidR="00CB0358">
        <w:t xml:space="preserve"> between the left part and the right part is gathered into a list and passed in to </w:t>
      </w:r>
      <w:r w:rsidR="00FF57E2">
        <w:t>every</w:t>
      </w:r>
      <w:r w:rsidR="00CB0358">
        <w:t xml:space="preserve"> record in the list on the right part of the specification.</w:t>
      </w:r>
      <w:r w:rsidR="00451120">
        <w:t xml:space="preserve">  For example, the STMTRS/BANKTRANLIST captures everything from STMTRS down to BANKTRANLIST which </w:t>
      </w:r>
      <w:r w:rsidR="00451120">
        <w:lastRenderedPageBreak/>
        <w:t>includes a Currency Definition, a BANKID (route and transit number), Account Number, Account Type (Checking/Savings), an Available Balance and a Ledger Balance.  Each of those gets passed in to every record in case this is desired data.  If that OFX Tag is included</w:t>
      </w:r>
      <w:r w:rsidR="00FF57E2">
        <w:t xml:space="preserve"> in the mapping</w:t>
      </w:r>
      <w:r w:rsidR="00451120">
        <w:t xml:space="preserve"> it is mapped, if not it is ignored.</w:t>
      </w:r>
    </w:p>
    <w:p w14:paraId="31A78765" w14:textId="09B1D23C" w:rsidR="00451120" w:rsidRDefault="002811C4" w:rsidP="00112389">
      <w:pPr>
        <w:spacing w:before="240"/>
      </w:pPr>
      <w:r>
        <w:t xml:space="preserve">The OFX List Name can actually be any valid XPATH entry supported by Python’s </w:t>
      </w:r>
      <w:proofErr w:type="spellStart"/>
      <w:r w:rsidRPr="002811C4">
        <w:t>xml.etree.ElementTree</w:t>
      </w:r>
      <w:proofErr w:type="spellEnd"/>
      <w:r w:rsidRPr="002811C4">
        <w:t xml:space="preserve"> </w:t>
      </w:r>
      <w:r>
        <w:t xml:space="preserve">package as long as it ends in one of those eight list wrapper tags.  OFXtoDB </w:t>
      </w:r>
      <w:r w:rsidR="00B741E9">
        <w:t xml:space="preserve">prepends a </w:t>
      </w:r>
      <w:r w:rsidR="00B741E9">
        <w:rPr>
          <w:rFonts w:ascii="Courier New" w:hAnsi="Courier New" w:cs="Courier New"/>
        </w:rPr>
        <w:t>.//</w:t>
      </w:r>
      <w:r>
        <w:t xml:space="preserve"> </w:t>
      </w:r>
      <w:r w:rsidR="00B741E9">
        <w:t xml:space="preserve">to each OFX List Name before searching the top of the file so as to pick up each occurrence no matter where it occurs. </w:t>
      </w:r>
      <w:r>
        <w:t xml:space="preserve"> See the section </w:t>
      </w:r>
      <w:hyperlink r:id="rId6" w:anchor="xpath-support" w:history="1">
        <w:r w:rsidRPr="002811C4">
          <w:rPr>
            <w:rStyle w:val="Hyperlink"/>
          </w:rPr>
          <w:t>XPath support</w:t>
        </w:r>
      </w:hyperlink>
      <w:r>
        <w:t xml:space="preserve"> in the Python documentation for details on coding XPaths.  </w:t>
      </w:r>
    </w:p>
    <w:p w14:paraId="6D327245" w14:textId="21624C0F" w:rsidR="009562DC" w:rsidRDefault="00112389" w:rsidP="00112389">
      <w:pPr>
        <w:spacing w:before="240"/>
      </w:pPr>
      <w:r>
        <w:t>In addition, there is a small</w:t>
      </w:r>
      <w:r w:rsidR="00CE735D">
        <w:t xml:space="preserve"> but important</w:t>
      </w:r>
      <w:r>
        <w:t xml:space="preserve"> amount of global data </w:t>
      </w:r>
      <w:r w:rsidR="00CE735D">
        <w:t>contained within the &lt;SONRS&gt; (sign-on response) data block that includes a numeric ID of the financial institution (&lt;FID&gt;) and an alpha description in &lt;ORG&gt;.  These are made available for mapping to every record processed by OFXtoDB because it’s an important part of each record’s primary key.</w:t>
      </w:r>
    </w:p>
    <w:p w14:paraId="427BC5DB" w14:textId="602B7DA5" w:rsidR="00CE735D" w:rsidRDefault="00B741E9" w:rsidP="00B741E9">
      <w:pPr>
        <w:pStyle w:val="Heading3"/>
      </w:pPr>
      <w:r>
        <w:t>2. The Physical Table Name</w:t>
      </w:r>
    </w:p>
    <w:p w14:paraId="6C002291" w14:textId="66C0EDA6" w:rsidR="00B741E9" w:rsidRDefault="00B741E9" w:rsidP="00B741E9">
      <w:r>
        <w:t>The name of the target table(s) to be mapped.  There can be many tables for one OFX List and there can be many OFX Lists mapping to a single table (in the case of creating a master Accounts table containing bank accounts, credit card accounts, and brokerage accounts with balances).</w:t>
      </w:r>
    </w:p>
    <w:p w14:paraId="6B41EB2A" w14:textId="77777777" w:rsidR="00625F49" w:rsidRDefault="00B741E9" w:rsidP="00B741E9">
      <w:r>
        <w:t>A Physical Table is represented differently by each output method</w:t>
      </w:r>
      <w:r w:rsidR="00625F49">
        <w:t>.</w:t>
      </w:r>
    </w:p>
    <w:p w14:paraId="02124CE5" w14:textId="2A7D9E32" w:rsidR="00B741E9" w:rsidRDefault="00625F49" w:rsidP="00B741E9">
      <w:r>
        <w:t>In the case of a database it is the name of the table within the physical schema designated in the configuration file.  Each database table must be predefined within the database manager before running OFXtoDB for the first time.</w:t>
      </w:r>
    </w:p>
    <w:p w14:paraId="00645201" w14:textId="076B2ABB" w:rsidR="00625F49" w:rsidRDefault="00625F49" w:rsidP="00B741E9">
      <w:r>
        <w:t>In the case of an EXCEL file it is the worksheet name within the workbook designated in the configuration file.  There is no need to pre-create these worksheets before running for the first time – the EXCEL interface takes its table definitions from the config file and will create the named worksheet if it does not already exist.</w:t>
      </w:r>
    </w:p>
    <w:p w14:paraId="4E2A1E4C" w14:textId="18655C5D" w:rsidR="00625F49" w:rsidRPr="00DD16C4" w:rsidRDefault="00625F49" w:rsidP="00B741E9">
      <w:pPr>
        <w:rPr>
          <w:i/>
          <w:iCs/>
        </w:rPr>
      </w:pPr>
      <w:r>
        <w:t xml:space="preserve">In the case of a .csv file each table name produces a different file whose name is </w:t>
      </w:r>
      <w:r w:rsidR="00E847EF">
        <w:rPr>
          <w:i/>
          <w:iCs/>
        </w:rPr>
        <w:t>tablename</w:t>
      </w:r>
      <w:r w:rsidR="00E847EF">
        <w:t>.csv.</w:t>
      </w:r>
    </w:p>
    <w:p w14:paraId="39C082D1" w14:textId="579E4123" w:rsidR="00E847EF" w:rsidRDefault="00E847EF" w:rsidP="00E847EF">
      <w:pPr>
        <w:pStyle w:val="Heading3"/>
      </w:pPr>
      <w:r>
        <w:t>3. The OFX Tag</w:t>
      </w:r>
    </w:p>
    <w:p w14:paraId="44348FB6" w14:textId="5D4BAA23" w:rsidR="00E847EF" w:rsidRDefault="00E847EF" w:rsidP="00E847EF">
      <w:r>
        <w:t xml:space="preserve">This can be in two forms.  If the Tag name is unique within the processing neighborhood of the OFX List then it is just the Tag name (for example, MEMO is unambiguous within each OFX List even though not across lists, so only MEMO need be specified). When </w:t>
      </w:r>
      <w:r w:rsidR="00B72441">
        <w:t>the Tag is ambiguous within the processing area of the OFX List then the parent Tag is included with the OFX Tag separated by a slash.  For example, inside STMTRS (BANKLIST) there are two BALAMT tags containing balances.  It is necessary to specify LEDGERBAL/BALAMT to map the ledger balance and AVAILBAL/BALAMT to map the available balance.</w:t>
      </w:r>
    </w:p>
    <w:p w14:paraId="12E76E7E" w14:textId="1E01A4EF" w:rsidR="00B72441" w:rsidRDefault="00B72441" w:rsidP="00B72441">
      <w:pPr>
        <w:pStyle w:val="Heading3"/>
      </w:pPr>
      <w:r>
        <w:t>4. The Physical Column Name</w:t>
      </w:r>
    </w:p>
    <w:p w14:paraId="52715F57" w14:textId="3AB99B95" w:rsidR="00B72441" w:rsidRDefault="00B72441" w:rsidP="00B72441">
      <w:r>
        <w:t xml:space="preserve">This designates the column within the physical </w:t>
      </w:r>
      <w:r w:rsidR="003B2849">
        <w:t>table to receive the data designated by the OFX Tag.  The column must exist within the table specified.  For databases that means this column name must match a column in the physical table (or it’s an error).</w:t>
      </w:r>
      <w:r w:rsidR="00F4226A">
        <w:t xml:space="preserve">  There is no requirement that all columns in a physical table be mapped, leaving freedom to maintain some through triggers or generated columns.</w:t>
      </w:r>
      <w:r w:rsidR="003B2849">
        <w:t xml:space="preserve">    For EXCEL this column name must match</w:t>
      </w:r>
      <w:r w:rsidR="00DD16C4">
        <w:t xml:space="preserve"> both</w:t>
      </w:r>
      <w:r w:rsidR="003B2849">
        <w:t xml:space="preserve"> a column header on the named worksheet </w:t>
      </w:r>
      <w:r w:rsidR="00DD16C4">
        <w:t xml:space="preserve">and a column in the [Table:] definition in the </w:t>
      </w:r>
      <w:r w:rsidR="00DD16C4" w:rsidRPr="00DD16C4">
        <w:rPr>
          <w:rFonts w:ascii="Courier New" w:hAnsi="Courier New" w:cs="Courier New"/>
        </w:rPr>
        <w:t>.</w:t>
      </w:r>
      <w:proofErr w:type="spellStart"/>
      <w:r w:rsidR="00DD16C4" w:rsidRPr="00DD16C4">
        <w:rPr>
          <w:rFonts w:ascii="Courier New" w:hAnsi="Courier New" w:cs="Courier New"/>
        </w:rPr>
        <w:t>ini</w:t>
      </w:r>
      <w:proofErr w:type="spellEnd"/>
      <w:r w:rsidR="00DD16C4">
        <w:t xml:space="preserve"> file </w:t>
      </w:r>
      <w:r w:rsidR="003B2849">
        <w:t>(or it’s an error).  (Note that EXCEL can have extra columns not named in any mapping, perhaps with calculations in them</w:t>
      </w:r>
      <w:r w:rsidR="00945E23">
        <w:t>.  It is currently beyond the scope of OFXtoDB to Fill Down formulas from above with their relative addressing.</w:t>
      </w:r>
      <w:r w:rsidR="003B2849">
        <w:t>)</w:t>
      </w:r>
    </w:p>
    <w:p w14:paraId="22B5EBD3" w14:textId="693A5DB6" w:rsidR="002C7AAD" w:rsidRDefault="002C7AAD" w:rsidP="002C7AAD">
      <w:pPr>
        <w:pStyle w:val="Heading3"/>
      </w:pPr>
      <w:r>
        <w:t>Table Definitions</w:t>
      </w:r>
    </w:p>
    <w:p w14:paraId="0A24DF47" w14:textId="55224C8D" w:rsidR="002C7AAD" w:rsidRDefault="002C7AAD" w:rsidP="002C7AAD">
      <w:r>
        <w:t>If you are using a database destination for your data, there is no need to separately define the tables anywhere</w:t>
      </w:r>
      <w:r w:rsidR="00DD16C4">
        <w:t xml:space="preserve"> and you can ignore the instructions in this section</w:t>
      </w:r>
      <w:r>
        <w:t>.  OFXtoDB can query the data base directly to discover such things as the desired column data format and which columns constitute the primary key for eliminating duplicate records.</w:t>
      </w:r>
    </w:p>
    <w:p w14:paraId="7714C9B7" w14:textId="7D92879B" w:rsidR="00F50BC7" w:rsidRDefault="00F50BC7" w:rsidP="002C7AAD">
      <w:r>
        <w:lastRenderedPageBreak/>
        <w:t>If, however, you are using EXCEL for your data base output you must also define each table (worksheet) in the OFXtoDB.ini file to define each column’s</w:t>
      </w:r>
      <w:r w:rsidR="00B41032">
        <w:t xml:space="preserve"> desired</w:t>
      </w:r>
      <w:r>
        <w:t xml:space="preserve"> data type and whether it</w:t>
      </w:r>
      <w:r w:rsidR="00961BC2">
        <w:t xml:space="preserve"> is part of the primary key for the table because EXCEL has no ability to define such things itself.</w:t>
      </w:r>
    </w:p>
    <w:p w14:paraId="510EF225" w14:textId="7398A7C1" w:rsidR="00961BC2" w:rsidRDefault="00961BC2" w:rsidP="002C7AAD">
      <w:r>
        <w:t>Each table definition is in its own section, with the section header [</w:t>
      </w:r>
      <w:proofErr w:type="spellStart"/>
      <w:r>
        <w:t>Table:</w:t>
      </w:r>
      <w:r>
        <w:rPr>
          <w:i/>
          <w:iCs/>
        </w:rPr>
        <w:t>tablename</w:t>
      </w:r>
      <w:proofErr w:type="spellEnd"/>
      <w:r>
        <w:t xml:space="preserve">].  Below it in Name, Value pairs are each of the columns, one per line.  For example, the </w:t>
      </w:r>
      <w:proofErr w:type="spellStart"/>
      <w:r>
        <w:t>Security_Description</w:t>
      </w:r>
      <w:proofErr w:type="spellEnd"/>
      <w:r>
        <w:t xml:space="preserve"> table (which would store &lt;SECLIST&gt; data) section would be:</w:t>
      </w:r>
    </w:p>
    <w:p w14:paraId="23A86AAB"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r w:rsidRPr="00961BC2">
        <w:rPr>
          <w:rFonts w:ascii="Courier New" w:hAnsi="Courier New" w:cs="Courier New"/>
        </w:rPr>
        <w:t>[</w:t>
      </w:r>
      <w:proofErr w:type="spellStart"/>
      <w:r w:rsidRPr="00961BC2">
        <w:rPr>
          <w:rFonts w:ascii="Courier New" w:hAnsi="Courier New" w:cs="Courier New"/>
        </w:rPr>
        <w:t>Table:Security_Description</w:t>
      </w:r>
      <w:proofErr w:type="spellEnd"/>
      <w:r w:rsidRPr="00961BC2">
        <w:rPr>
          <w:rFonts w:ascii="Courier New" w:hAnsi="Courier New" w:cs="Courier New"/>
        </w:rPr>
        <w:t>]</w:t>
      </w:r>
    </w:p>
    <w:p w14:paraId="0F10D9A5"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proofErr w:type="spellStart"/>
      <w:r w:rsidRPr="00961BC2">
        <w:rPr>
          <w:rFonts w:ascii="Courier New" w:hAnsi="Courier New" w:cs="Courier New"/>
        </w:rPr>
        <w:t>InstID:S,PK</w:t>
      </w:r>
      <w:proofErr w:type="spellEnd"/>
    </w:p>
    <w:p w14:paraId="147A5946"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proofErr w:type="spellStart"/>
      <w:r w:rsidRPr="00961BC2">
        <w:rPr>
          <w:rFonts w:ascii="Courier New" w:hAnsi="Courier New" w:cs="Courier New"/>
        </w:rPr>
        <w:t>Cusip:S,PK</w:t>
      </w:r>
      <w:proofErr w:type="spellEnd"/>
    </w:p>
    <w:p w14:paraId="34BF8D19"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proofErr w:type="spellStart"/>
      <w:r w:rsidRPr="00961BC2">
        <w:rPr>
          <w:rFonts w:ascii="Courier New" w:hAnsi="Courier New" w:cs="Courier New"/>
        </w:rPr>
        <w:t>Security:S</w:t>
      </w:r>
      <w:proofErr w:type="spellEnd"/>
    </w:p>
    <w:p w14:paraId="3394DA8A"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proofErr w:type="spellStart"/>
      <w:r w:rsidRPr="00961BC2">
        <w:rPr>
          <w:rFonts w:ascii="Courier New" w:hAnsi="Courier New" w:cs="Courier New"/>
        </w:rPr>
        <w:t>Ticker:S</w:t>
      </w:r>
      <w:proofErr w:type="spellEnd"/>
    </w:p>
    <w:p w14:paraId="7090AD88" w14:textId="77777777" w:rsidR="00961BC2" w:rsidRPr="00961BC2" w:rsidRDefault="00961BC2" w:rsidP="00961BC2">
      <w:pPr>
        <w:pStyle w:val="NoSpacing"/>
        <w:keepNext/>
        <w:shd w:val="clear" w:color="auto" w:fill="D9D9D9" w:themeFill="background1" w:themeFillShade="D9"/>
        <w:ind w:left="1170"/>
        <w:rPr>
          <w:rFonts w:ascii="Courier New" w:hAnsi="Courier New" w:cs="Courier New"/>
        </w:rPr>
      </w:pPr>
      <w:proofErr w:type="spellStart"/>
      <w:r w:rsidRPr="00961BC2">
        <w:rPr>
          <w:rFonts w:ascii="Courier New" w:hAnsi="Courier New" w:cs="Courier New"/>
        </w:rPr>
        <w:t>Memo:S</w:t>
      </w:r>
      <w:proofErr w:type="spellEnd"/>
    </w:p>
    <w:p w14:paraId="426D8591" w14:textId="795E2C98" w:rsidR="00961BC2" w:rsidRDefault="00961BC2" w:rsidP="00961BC2">
      <w:pPr>
        <w:pStyle w:val="NoSpacing"/>
        <w:shd w:val="clear" w:color="auto" w:fill="D9D9D9" w:themeFill="background1" w:themeFillShade="D9"/>
        <w:ind w:left="1170"/>
        <w:rPr>
          <w:rFonts w:ascii="Courier New" w:hAnsi="Courier New" w:cs="Courier New"/>
        </w:rPr>
      </w:pPr>
      <w:proofErr w:type="spellStart"/>
      <w:r w:rsidRPr="00961BC2">
        <w:rPr>
          <w:rFonts w:ascii="Courier New" w:hAnsi="Courier New" w:cs="Courier New"/>
        </w:rPr>
        <w:t>SecType:E</w:t>
      </w:r>
      <w:proofErr w:type="spellEnd"/>
    </w:p>
    <w:p w14:paraId="57DBEDE8" w14:textId="7E1012BA" w:rsidR="00961BC2" w:rsidRDefault="00961BC2" w:rsidP="00961BC2">
      <w:pPr>
        <w:spacing w:before="240"/>
      </w:pPr>
      <w:r>
        <w:t xml:space="preserve">The column name is the Name, while everything after the colon is the Value.  </w:t>
      </w:r>
      <w:r w:rsidR="003D0AAB">
        <w:t>After the colon there is a mandatory data type and an optional “</w:t>
      </w:r>
      <w:r w:rsidR="003D0AAB" w:rsidRPr="003D0AAB">
        <w:rPr>
          <w:rFonts w:ascii="Courier New" w:hAnsi="Courier New" w:cs="Courier New"/>
        </w:rPr>
        <w:t>,PK</w:t>
      </w:r>
      <w:r w:rsidR="003D0AAB">
        <w:t>” to designate that this column participates in the criteria that uniquely identifies this record.</w:t>
      </w:r>
    </w:p>
    <w:p w14:paraId="51A3900E" w14:textId="1D6E7370" w:rsidR="003D0AAB" w:rsidRDefault="003D0AAB" w:rsidP="00961BC2">
      <w:pPr>
        <w:spacing w:before="240"/>
      </w:pPr>
      <w:r>
        <w:t xml:space="preserve">Obviously, the data types specified must be compatible with the data actually supplied through the OFX standard.  It is an error to specify a MEMO field as numeric, but if for some </w:t>
      </w:r>
      <w:r w:rsidR="00945E23">
        <w:t>[</w:t>
      </w:r>
      <w:r>
        <w:t>dumb</w:t>
      </w:r>
      <w:r w:rsidR="00945E23">
        <w:t>]</w:t>
      </w:r>
      <w:r>
        <w:t xml:space="preserve"> reason you wanted all the dollar amounts to be captured as strings, you could do that here.  The supported data types are:</w:t>
      </w:r>
    </w:p>
    <w:tbl>
      <w:tblPr>
        <w:tblStyle w:val="TableGrid"/>
        <w:tblW w:w="0" w:type="auto"/>
        <w:tblBorders>
          <w:top w:val="none" w:sz="0" w:space="0" w:color="auto"/>
          <w:left w:val="none" w:sz="0" w:space="0" w:color="auto"/>
          <w:bottom w:val="none" w:sz="0" w:space="0" w:color="auto"/>
          <w:right w:val="none" w:sz="0" w:space="0" w:color="auto"/>
          <w:insideH w:val="dashed" w:sz="4" w:space="0" w:color="auto"/>
          <w:insideV w:val="none" w:sz="0" w:space="0" w:color="auto"/>
        </w:tblBorders>
        <w:tblLook w:val="04A0" w:firstRow="1" w:lastRow="0" w:firstColumn="1" w:lastColumn="0" w:noHBand="0" w:noVBand="1"/>
      </w:tblPr>
      <w:tblGrid>
        <w:gridCol w:w="1165"/>
        <w:gridCol w:w="9625"/>
      </w:tblGrid>
      <w:tr w:rsidR="003D0AAB" w14:paraId="68508A23" w14:textId="77777777" w:rsidTr="00B41032">
        <w:tc>
          <w:tcPr>
            <w:tcW w:w="1165" w:type="dxa"/>
            <w:vAlign w:val="center"/>
          </w:tcPr>
          <w:p w14:paraId="120BE644" w14:textId="5E270E24" w:rsidR="003D0AAB" w:rsidRDefault="003D0AAB" w:rsidP="00735439">
            <w:pPr>
              <w:jc w:val="right"/>
            </w:pPr>
            <w:r>
              <w:t>S</w:t>
            </w:r>
          </w:p>
        </w:tc>
        <w:tc>
          <w:tcPr>
            <w:tcW w:w="9625" w:type="dxa"/>
          </w:tcPr>
          <w:p w14:paraId="6D8D7F10" w14:textId="5FA16386" w:rsidR="003D0AAB" w:rsidRDefault="003D0AAB" w:rsidP="003D0AAB">
            <w:r>
              <w:t>String type.  Each character in the OFX data is preserved and written as it is received.</w:t>
            </w:r>
          </w:p>
        </w:tc>
      </w:tr>
      <w:tr w:rsidR="003D0AAB" w14:paraId="771C8FA6" w14:textId="77777777" w:rsidTr="00B41032">
        <w:tc>
          <w:tcPr>
            <w:tcW w:w="1165" w:type="dxa"/>
            <w:vAlign w:val="center"/>
          </w:tcPr>
          <w:p w14:paraId="74D04E55" w14:textId="4D73F2A1" w:rsidR="003D0AAB" w:rsidRDefault="003D0AAB" w:rsidP="00735439">
            <w:pPr>
              <w:jc w:val="right"/>
            </w:pPr>
            <w:r>
              <w:t>E</w:t>
            </w:r>
          </w:p>
        </w:tc>
        <w:tc>
          <w:tcPr>
            <w:tcW w:w="9625" w:type="dxa"/>
          </w:tcPr>
          <w:p w14:paraId="765A091D" w14:textId="2D37A1B9" w:rsidR="003D0AAB" w:rsidRDefault="003D0AAB" w:rsidP="003D0AAB">
            <w:r>
              <w:t xml:space="preserve">Enumerated </w:t>
            </w:r>
            <w:r w:rsidR="00735439">
              <w:t>type.  Processed exactly as string and passed unaltered to the data writer.  No attempt is made to validate the enumerated values – the data base will do so upon writing.  Enumerations have been successfully used – Financial institutions follow this part of the OFX spec well.</w:t>
            </w:r>
          </w:p>
        </w:tc>
      </w:tr>
      <w:tr w:rsidR="003D0AAB" w14:paraId="65FD5BEE" w14:textId="77777777" w:rsidTr="00B41032">
        <w:tc>
          <w:tcPr>
            <w:tcW w:w="1165" w:type="dxa"/>
            <w:vAlign w:val="center"/>
          </w:tcPr>
          <w:p w14:paraId="1DBFC5B9" w14:textId="4A44057B" w:rsidR="003D0AAB" w:rsidRDefault="00735439" w:rsidP="00735439">
            <w:pPr>
              <w:jc w:val="right"/>
            </w:pPr>
            <w:r>
              <w:t>N</w:t>
            </w:r>
          </w:p>
        </w:tc>
        <w:tc>
          <w:tcPr>
            <w:tcW w:w="9625" w:type="dxa"/>
          </w:tcPr>
          <w:p w14:paraId="61110BC5" w14:textId="0E1FFD90" w:rsidR="003D0AAB" w:rsidRDefault="00735439" w:rsidP="003D0AAB">
            <w:r>
              <w:t>Numeric data type.  Field will be converted internally to a DECIMAL before being written out.</w:t>
            </w:r>
          </w:p>
        </w:tc>
      </w:tr>
      <w:tr w:rsidR="003D0AAB" w14:paraId="08C2FCF2" w14:textId="77777777" w:rsidTr="00B41032">
        <w:tc>
          <w:tcPr>
            <w:tcW w:w="1165" w:type="dxa"/>
            <w:vAlign w:val="center"/>
          </w:tcPr>
          <w:p w14:paraId="43BCB1B9" w14:textId="7C4F23AC" w:rsidR="003D0AAB" w:rsidRDefault="00735439" w:rsidP="00735439">
            <w:pPr>
              <w:jc w:val="right"/>
            </w:pPr>
            <w:r>
              <w:t>B</w:t>
            </w:r>
          </w:p>
        </w:tc>
        <w:tc>
          <w:tcPr>
            <w:tcW w:w="9625" w:type="dxa"/>
          </w:tcPr>
          <w:p w14:paraId="38FACE24" w14:textId="3DA5C7CC" w:rsidR="003D0AAB" w:rsidRDefault="00735439" w:rsidP="003D0AAB">
            <w:r>
              <w:t>Boolean data type.  Field will be converted to a True/False before being written out.</w:t>
            </w:r>
          </w:p>
        </w:tc>
      </w:tr>
      <w:tr w:rsidR="003D0AAB" w14:paraId="0CA0FB4F" w14:textId="77777777" w:rsidTr="00B41032">
        <w:tc>
          <w:tcPr>
            <w:tcW w:w="1165" w:type="dxa"/>
            <w:vAlign w:val="center"/>
          </w:tcPr>
          <w:p w14:paraId="3B6E766E" w14:textId="1BEEBCF2" w:rsidR="003D0AAB" w:rsidRDefault="00735439" w:rsidP="00735439">
            <w:pPr>
              <w:jc w:val="right"/>
            </w:pPr>
            <w:r>
              <w:t>D</w:t>
            </w:r>
          </w:p>
        </w:tc>
        <w:tc>
          <w:tcPr>
            <w:tcW w:w="9625" w:type="dxa"/>
          </w:tcPr>
          <w:p w14:paraId="17C21B60" w14:textId="4F28DC49" w:rsidR="003D0AAB" w:rsidRDefault="00735439" w:rsidP="003D0AAB">
            <w:proofErr w:type="spellStart"/>
            <w:r>
              <w:t>DateTime</w:t>
            </w:r>
            <w:proofErr w:type="spellEnd"/>
            <w:r>
              <w:t xml:space="preserve">.  </w:t>
            </w:r>
            <w:r w:rsidR="00BF0BC8">
              <w:t>Any m</w:t>
            </w:r>
            <w:r>
              <w:t>issing time/fraction/</w:t>
            </w:r>
            <w:proofErr w:type="spellStart"/>
            <w:r>
              <w:t>timezone</w:t>
            </w:r>
            <w:proofErr w:type="spellEnd"/>
            <w:r>
              <w:t xml:space="preserve"> information </w:t>
            </w:r>
            <w:r w:rsidR="00CF733A">
              <w:t>will be added per the OFX spec, the timestamp will be converted to the desired Time Zone specified in the config file, and then stripped of its time zone information (made naïve, in Python terms).  Financial institutions are massively inconsistent in how they deal with time zones, so unless you are a day trader and need that portion of the field, I recommend truncating everything to Dates and forgetting the time portion.</w:t>
            </w:r>
          </w:p>
        </w:tc>
      </w:tr>
      <w:tr w:rsidR="003D0AAB" w14:paraId="5005D1C5" w14:textId="77777777" w:rsidTr="00B41032">
        <w:tc>
          <w:tcPr>
            <w:tcW w:w="1165" w:type="dxa"/>
            <w:vAlign w:val="center"/>
          </w:tcPr>
          <w:p w14:paraId="16D5B97A" w14:textId="68ED93F0" w:rsidR="003D0AAB" w:rsidRDefault="00CF733A" w:rsidP="00735439">
            <w:pPr>
              <w:jc w:val="right"/>
            </w:pPr>
            <w:r>
              <w:t>DATE</w:t>
            </w:r>
          </w:p>
        </w:tc>
        <w:tc>
          <w:tcPr>
            <w:tcW w:w="9625" w:type="dxa"/>
          </w:tcPr>
          <w:p w14:paraId="20394481" w14:textId="16F6B3A2" w:rsidR="003D0AAB" w:rsidRDefault="00CF733A" w:rsidP="003D0AAB">
            <w:r>
              <w:t>Date type.  Processed exactly as above, but the time portion is zeroed out as a last step, to be compatible with EXCEL’s date type, where the time fraction is always</w:t>
            </w:r>
            <w:r w:rsidR="00911C45">
              <w:t xml:space="preserve"> present and is</w:t>
            </w:r>
            <w:r>
              <w:t xml:space="preserve"> zero.</w:t>
            </w:r>
          </w:p>
        </w:tc>
      </w:tr>
    </w:tbl>
    <w:p w14:paraId="15346879" w14:textId="4FC7114E" w:rsidR="003D0AAB" w:rsidRDefault="008B7C60" w:rsidP="008B7C60">
      <w:pPr>
        <w:pStyle w:val="Heading1"/>
      </w:pPr>
      <w:r>
        <w:t>Special OFX Exceptions</w:t>
      </w:r>
    </w:p>
    <w:p w14:paraId="60841454" w14:textId="54F6160D" w:rsidR="008B7C60" w:rsidRDefault="008B7C60" w:rsidP="008B7C60">
      <w:r>
        <w:t xml:space="preserve">For the most part, OFXtoDB </w:t>
      </w:r>
      <w:r w:rsidR="00EA05B2">
        <w:t xml:space="preserve">will </w:t>
      </w:r>
      <w:r>
        <w:t>process whatever appears within the OFX lists in</w:t>
      </w:r>
      <w:r w:rsidR="007F4F71">
        <w:t xml:space="preserve"> the relevant sections of</w:t>
      </w:r>
      <w:r>
        <w:t xml:space="preserve"> the files and pass </w:t>
      </w:r>
      <w:r w:rsidR="007F4F71">
        <w:t>them</w:t>
      </w:r>
      <w:r>
        <w:t xml:space="preserve"> to the mapper </w:t>
      </w:r>
      <w:r w:rsidR="00EA05B2">
        <w:t>to</w:t>
      </w:r>
      <w:r>
        <w:t xml:space="preserve"> turn it into a data record according to the mapping specifications.  There are a few exceptions worth noting.</w:t>
      </w:r>
    </w:p>
    <w:p w14:paraId="6524E169" w14:textId="73D12F01" w:rsidR="008B7C60" w:rsidRDefault="008B7C60" w:rsidP="008B7C60">
      <w:pPr>
        <w:pStyle w:val="ListParagraph"/>
        <w:numPr>
          <w:ilvl w:val="0"/>
          <w:numId w:val="2"/>
        </w:numPr>
      </w:pPr>
      <w:r>
        <w:t>The data in the &lt;SONRS&gt; aggregate is considered to be global information and the data that is extracted from it gets handed to the mapper for every record that is assembled during the run.  Most of the data</w:t>
      </w:r>
      <w:r w:rsidR="00CF4485">
        <w:t xml:space="preserve"> within it</w:t>
      </w:r>
      <w:r>
        <w:t xml:space="preserve"> is control information and pertains </w:t>
      </w:r>
      <w:r w:rsidR="00CF4485">
        <w:t>to the circumstances around generating the file, not data about the accounts themselves.  Because of that, the only elements that are extracted are the ones in the &lt;FI&gt; aggregate: &lt;ORG&gt; and &lt;FID&gt;.  &lt;ORG&gt; is an alpha description of the financial institution, while &lt;FID&gt; is a numeric institution identifier.  You should use the &lt;FID&gt; as part of the primary key for all your tables thereby allowing all of your accounts at all institutions to be co-resident within the same tables without fear of conflict.</w:t>
      </w:r>
    </w:p>
    <w:p w14:paraId="27B26D0B" w14:textId="0AFACDAD" w:rsidR="00CF4485" w:rsidRDefault="00CF4485" w:rsidP="008B7C60">
      <w:pPr>
        <w:pStyle w:val="ListParagraph"/>
        <w:numPr>
          <w:ilvl w:val="0"/>
          <w:numId w:val="2"/>
        </w:numPr>
      </w:pPr>
      <w:r>
        <w:t xml:space="preserve">The various </w:t>
      </w:r>
      <w:proofErr w:type="spellStart"/>
      <w:r>
        <w:t>xxxTRANLIST</w:t>
      </w:r>
      <w:proofErr w:type="spellEnd"/>
      <w:r>
        <w:t xml:space="preserve"> list wrappers </w:t>
      </w:r>
      <w:r w:rsidR="003429D3">
        <w:t>contain, in addition to the transactions themselves, two single-element entries named &lt;DTSTART&gt; and &lt;DTEND&gt;</w:t>
      </w:r>
      <w:r w:rsidR="00AA3F32">
        <w:t xml:space="preserve">, describing (with </w:t>
      </w:r>
      <w:proofErr w:type="spellStart"/>
      <w:r w:rsidR="00AA3F32">
        <w:t>TimeStamps</w:t>
      </w:r>
      <w:proofErr w:type="spellEnd"/>
      <w:r w:rsidR="00AA3F32">
        <w:t>) the time period covered by that list</w:t>
      </w:r>
      <w:r w:rsidR="003429D3">
        <w:t xml:space="preserve">.  </w:t>
      </w:r>
      <w:r w:rsidR="003429D3">
        <w:lastRenderedPageBreak/>
        <w:t>OFXtoDB elevates those two entries, when they appear, out of the list and instead are treated as context elements that are handed to the mapper for each record processed within that list.</w:t>
      </w:r>
    </w:p>
    <w:p w14:paraId="3EBD4EC4" w14:textId="66081035" w:rsidR="003429D3" w:rsidRDefault="003429D3" w:rsidP="008B7C60">
      <w:pPr>
        <w:pStyle w:val="ListParagraph"/>
        <w:numPr>
          <w:ilvl w:val="0"/>
          <w:numId w:val="2"/>
        </w:numPr>
      </w:pPr>
      <w:r>
        <w:t>The &lt;INVTRANLIST&gt; is unique among OFX lists in that it has a variety of</w:t>
      </w:r>
      <w:r w:rsidR="00AA3F32">
        <w:t xml:space="preserve"> different</w:t>
      </w:r>
      <w:r>
        <w:t xml:space="preserve"> child elements </w:t>
      </w:r>
      <w:r w:rsidR="00AA3F32">
        <w:t xml:space="preserve">containing transaction data.  </w:t>
      </w:r>
      <w:r w:rsidR="00DD0421">
        <w:t xml:space="preserve">These element names identify the type of transaction, and should be thought of as a sort of transaction type (or subtype).  The different names include INBANKTRAN, </w:t>
      </w:r>
      <w:r w:rsidR="00DD0421" w:rsidRPr="00DD0421">
        <w:t>BUYDEBT</w:t>
      </w:r>
      <w:r w:rsidR="00DD0421">
        <w:t xml:space="preserve">, </w:t>
      </w:r>
      <w:r w:rsidR="00DD0421" w:rsidRPr="00DD0421">
        <w:t>BUYMF</w:t>
      </w:r>
      <w:r w:rsidR="00DD0421">
        <w:t xml:space="preserve">, </w:t>
      </w:r>
      <w:r w:rsidR="00DD0421" w:rsidRPr="00DD0421">
        <w:t>BUYOPT</w:t>
      </w:r>
      <w:r w:rsidR="00DD0421">
        <w:t xml:space="preserve">, </w:t>
      </w:r>
      <w:r w:rsidR="00DD0421" w:rsidRPr="00DD0421">
        <w:t>BUYOTHER</w:t>
      </w:r>
      <w:r w:rsidR="00DD0421">
        <w:t xml:space="preserve">, </w:t>
      </w:r>
      <w:r w:rsidR="00DD0421" w:rsidRPr="00DD0421">
        <w:t>BUYSTOCK</w:t>
      </w:r>
      <w:r w:rsidR="00DD0421">
        <w:t xml:space="preserve">, </w:t>
      </w:r>
      <w:r w:rsidR="00DD0421" w:rsidRPr="00DD0421">
        <w:t>CLOSUREOPT</w:t>
      </w:r>
      <w:r w:rsidR="00DD0421">
        <w:t xml:space="preserve">, </w:t>
      </w:r>
      <w:r w:rsidR="00DD0421" w:rsidRPr="00DD0421">
        <w:t>INCOME</w:t>
      </w:r>
      <w:r w:rsidR="00DD0421">
        <w:t xml:space="preserve">, </w:t>
      </w:r>
      <w:r w:rsidR="00DD0421" w:rsidRPr="00DD0421">
        <w:t>INVEXPENSE</w:t>
      </w:r>
      <w:r w:rsidR="00DD0421">
        <w:t xml:space="preserve">, </w:t>
      </w:r>
      <w:r w:rsidR="00DD0421" w:rsidRPr="00DD0421">
        <w:t>JRNLFUND</w:t>
      </w:r>
      <w:r w:rsidR="00DD0421">
        <w:t xml:space="preserve">, </w:t>
      </w:r>
      <w:r w:rsidR="00DD0421" w:rsidRPr="00DD0421">
        <w:t>JRNLSEC</w:t>
      </w:r>
      <w:r w:rsidR="00DD0421">
        <w:t xml:space="preserve">, </w:t>
      </w:r>
      <w:r w:rsidR="00DD0421" w:rsidRPr="00DD0421">
        <w:t>MARGININTEREST</w:t>
      </w:r>
      <w:r w:rsidR="00DD0421">
        <w:t xml:space="preserve">, </w:t>
      </w:r>
      <w:r w:rsidR="00DD0421" w:rsidRPr="00DD0421">
        <w:t>REINVEST</w:t>
      </w:r>
      <w:r w:rsidR="00DD0421">
        <w:t xml:space="preserve">, </w:t>
      </w:r>
      <w:r w:rsidR="00DD0421" w:rsidRPr="00DD0421">
        <w:t>RETOFCAP</w:t>
      </w:r>
      <w:r w:rsidR="00DD0421">
        <w:t xml:space="preserve">, </w:t>
      </w:r>
      <w:r w:rsidR="00DD0421" w:rsidRPr="00DD0421">
        <w:t>SELLDEBT</w:t>
      </w:r>
      <w:r w:rsidR="00DD0421">
        <w:t xml:space="preserve">, </w:t>
      </w:r>
      <w:r w:rsidR="00DD0421" w:rsidRPr="00DD0421">
        <w:t>SELLMF</w:t>
      </w:r>
      <w:r w:rsidR="00DD0421">
        <w:t xml:space="preserve">, </w:t>
      </w:r>
      <w:r w:rsidR="00DD0421" w:rsidRPr="00DD0421">
        <w:t>SELLOPT</w:t>
      </w:r>
      <w:r w:rsidR="00DD0421">
        <w:t xml:space="preserve">, </w:t>
      </w:r>
      <w:r w:rsidR="00DD0421" w:rsidRPr="00DD0421">
        <w:t>SELLOTHER</w:t>
      </w:r>
      <w:r w:rsidR="00DD0421">
        <w:t xml:space="preserve">, </w:t>
      </w:r>
      <w:r w:rsidR="00DD0421" w:rsidRPr="00DD0421">
        <w:t>SELLSTOCK</w:t>
      </w:r>
      <w:r w:rsidR="00DD0421">
        <w:t xml:space="preserve">, </w:t>
      </w:r>
      <w:r w:rsidR="00DD0421" w:rsidRPr="00DD0421">
        <w:t>SPLIT</w:t>
      </w:r>
      <w:r w:rsidR="00DD0421">
        <w:t xml:space="preserve">, </w:t>
      </w:r>
      <w:r w:rsidR="00DD0421" w:rsidRPr="00DD0421">
        <w:t>TRANSFER</w:t>
      </w:r>
      <w:r w:rsidR="00DD0421">
        <w:t xml:space="preserve">.  OFXtoDB presents these different values to the mapper as-is but under a made-up pseudo-tag called ELEMENTNAME.  This allows the </w:t>
      </w:r>
      <w:r w:rsidR="00EC2D01">
        <w:t xml:space="preserve">transaction type/subtype to be stored within each record.  It can either be treated as a </w:t>
      </w:r>
      <w:proofErr w:type="spellStart"/>
      <w:r w:rsidR="00EC2D01">
        <w:t>VarChar</w:t>
      </w:r>
      <w:proofErr w:type="spellEnd"/>
      <w:r w:rsidR="00EC2D01">
        <w:t xml:space="preserve"> (string) data type or as an enumeration.</w:t>
      </w:r>
      <w:r w:rsidR="00EC2D01">
        <w:br/>
      </w:r>
      <w:r w:rsidR="00EC2D01">
        <w:br/>
        <w:t xml:space="preserve">In addition, this long list of transactions is further summarized into an enumerated data type with the values BUY, SELL, TRANSFER, INCOME, FEES, and OTHER and passed to the mapper under another pseudo-tag named BUYSELL.  This is intended to make portfolio analysis a little easier by storing BUYSELL into a </w:t>
      </w:r>
      <w:proofErr w:type="spellStart"/>
      <w:r w:rsidR="00EC2D01">
        <w:t>TranType</w:t>
      </w:r>
      <w:proofErr w:type="spellEnd"/>
      <w:r w:rsidR="00EC2D01">
        <w:t xml:space="preserve"> field and ELEMENTNAME into a </w:t>
      </w:r>
      <w:proofErr w:type="spellStart"/>
      <w:r w:rsidR="00EC2D01">
        <w:t>TranSubType</w:t>
      </w:r>
      <w:proofErr w:type="spellEnd"/>
      <w:r w:rsidR="00EC2D01">
        <w:t xml:space="preserve"> field.</w:t>
      </w:r>
    </w:p>
    <w:p w14:paraId="72E8B71D" w14:textId="6ABA648A" w:rsidR="001169CD" w:rsidRDefault="001169CD" w:rsidP="001169CD">
      <w:pPr>
        <w:pStyle w:val="Heading1"/>
      </w:pPr>
      <w:r>
        <w:t>The Downloaded Data Files</w:t>
      </w:r>
    </w:p>
    <w:p w14:paraId="7745B238" w14:textId="6F7477BC" w:rsidR="001169CD" w:rsidRDefault="007508D3" w:rsidP="001169CD">
      <w:r>
        <w:t>The files that are generated in Quicken format and downloaded from financial institutions have a .qfx file type.  It has a short header and the remainder is OFX data, starting with &lt;OFX&gt;.  Here is an excerpt from one (it has been made more readable with newlines</w:t>
      </w:r>
      <w:r w:rsidR="004B0DA6">
        <w:t>, indentation,</w:t>
      </w:r>
      <w:r>
        <w:t xml:space="preserve"> and closing tags):</w:t>
      </w:r>
    </w:p>
    <w:p w14:paraId="1DCCAE51"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OFXHEADER:100</w:t>
      </w:r>
    </w:p>
    <w:p w14:paraId="5048210E"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DATA:OFXSGML</w:t>
      </w:r>
    </w:p>
    <w:p w14:paraId="7A2908CC"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VERSION:102</w:t>
      </w:r>
    </w:p>
    <w:p w14:paraId="13437DD6"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SECURITY:NONE</w:t>
      </w:r>
    </w:p>
    <w:p w14:paraId="1F3F3ACF"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ENCODING:USASCII</w:t>
      </w:r>
    </w:p>
    <w:p w14:paraId="57BFD64A"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CHARSET:1252</w:t>
      </w:r>
    </w:p>
    <w:p w14:paraId="758CAC79"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COMPRESSION:NONE</w:t>
      </w:r>
    </w:p>
    <w:p w14:paraId="30C184C3"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OLDFILEUID:NONE</w:t>
      </w:r>
    </w:p>
    <w:p w14:paraId="0B0EE869"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NEWFILEUID:NONE</w:t>
      </w:r>
    </w:p>
    <w:p w14:paraId="55F6C721" w14:textId="77777777"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p>
    <w:p w14:paraId="5C920955" w14:textId="774225A9" w:rsidR="007508D3" w:rsidRPr="007508D3" w:rsidRDefault="007508D3" w:rsidP="00034DC8">
      <w:pPr>
        <w:shd w:val="clear" w:color="auto" w:fill="D9D9D9" w:themeFill="background1" w:themeFillShade="D9"/>
        <w:spacing w:after="0"/>
        <w:ind w:left="806"/>
        <w:rPr>
          <w:rFonts w:ascii="Courier New" w:hAnsi="Courier New" w:cs="Courier New"/>
          <w:sz w:val="16"/>
          <w:szCs w:val="16"/>
        </w:rPr>
      </w:pPr>
      <w:r w:rsidRPr="007508D3">
        <w:rPr>
          <w:rFonts w:ascii="Courier New" w:hAnsi="Courier New" w:cs="Courier New"/>
          <w:sz w:val="16"/>
          <w:szCs w:val="16"/>
        </w:rPr>
        <w:t>&lt;OFX&gt;</w:t>
      </w:r>
    </w:p>
    <w:p w14:paraId="7CE4B2B7" w14:textId="4B203A2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&lt;INVSTMTMSGSRSV1&gt;</w:t>
      </w:r>
    </w:p>
    <w:p w14:paraId="6CA91029" w14:textId="19A117B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&lt;INVSTMTTRNRS&gt;</w:t>
      </w:r>
    </w:p>
    <w:p w14:paraId="2CDDF480" w14:textId="541F463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&lt;TRNUID&gt;0&lt;/TRNUID&gt;</w:t>
      </w:r>
    </w:p>
    <w:p w14:paraId="59F992DD" w14:textId="114C1B43"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&lt;STATUS&gt;</w:t>
      </w:r>
    </w:p>
    <w:p w14:paraId="5684033F" w14:textId="7C0EB40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&lt;CODE&gt;0&lt;/CODE&gt;</w:t>
      </w:r>
    </w:p>
    <w:p w14:paraId="217D755C" w14:textId="2B0FE79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&lt;SEVERITY&gt;INFO&lt;/SEVERITY&gt;</w:t>
      </w:r>
    </w:p>
    <w:p w14:paraId="650C0C5B" w14:textId="6557F7A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&lt;/STATUS&gt;</w:t>
      </w:r>
    </w:p>
    <w:p w14:paraId="1A42F945" w14:textId="0F63BDBD"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&lt;INVSTMTRS&gt;</w:t>
      </w:r>
    </w:p>
    <w:p w14:paraId="1661895C" w14:textId="1317BF9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&lt;DTASOF&gt;20230811160000.000[-5:EST]&lt;/DTASOF&gt;</w:t>
      </w:r>
    </w:p>
    <w:p w14:paraId="36DF583A" w14:textId="742216FD"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&lt;CURDEF&gt;USD&lt;/CURDEF&gt;</w:t>
      </w:r>
    </w:p>
    <w:p w14:paraId="31487FB0" w14:textId="0568573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&lt;INVACCTFROM&gt;</w:t>
      </w:r>
    </w:p>
    <w:p w14:paraId="45575BE1" w14:textId="33D59FCB"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&lt;BROKERID&gt;vanguard.com&lt;/BROKERID&gt;</w:t>
      </w:r>
    </w:p>
    <w:p w14:paraId="436C9184" w14:textId="3CAD259B"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&lt;ACCTID&gt;</w:t>
      </w:r>
      <w:r>
        <w:rPr>
          <w:rFonts w:ascii="Courier New" w:hAnsi="Courier New" w:cs="Courier New"/>
          <w:sz w:val="16"/>
          <w:szCs w:val="16"/>
        </w:rPr>
        <w:t>12345678</w:t>
      </w:r>
      <w:r w:rsidR="007508D3" w:rsidRPr="007508D3">
        <w:rPr>
          <w:rFonts w:ascii="Courier New" w:hAnsi="Courier New" w:cs="Courier New"/>
          <w:sz w:val="16"/>
          <w:szCs w:val="16"/>
        </w:rPr>
        <w:t>&lt;/ACCTID&gt;</w:t>
      </w:r>
    </w:p>
    <w:p w14:paraId="3717596F" w14:textId="72DE7DB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&lt;/INVACCTFROM&gt;</w:t>
      </w:r>
    </w:p>
    <w:p w14:paraId="15CEC10E" w14:textId="6401636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&lt;INVTRANLIST&gt;</w:t>
      </w:r>
    </w:p>
    <w:p w14:paraId="37D105BC" w14:textId="32FF02B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&lt;DTSTART&gt;20230511160000.000[-5:EST]&lt;/DTSTART&gt;</w:t>
      </w:r>
    </w:p>
    <w:p w14:paraId="68D5DA5B" w14:textId="28248E34" w:rsidR="007508D3" w:rsidRPr="007508D3" w:rsidRDefault="00034DC8" w:rsidP="00034DC8">
      <w:pPr>
        <w:shd w:val="clear" w:color="auto" w:fill="D9D9D9" w:themeFill="background1" w:themeFillShade="D9"/>
        <w:spacing w:after="0"/>
        <w:ind w:left="806"/>
        <w:rPr>
          <w:rFonts w:ascii="Courier New" w:hAnsi="Courier New" w:cs="Courier New"/>
          <w:sz w:val="16"/>
          <w:szCs w:val="16"/>
          <w:lang w:val="fr-FR"/>
        </w:rPr>
      </w:pPr>
      <w:r>
        <w:rPr>
          <w:rFonts w:ascii="Courier New" w:hAnsi="Courier New" w:cs="Courier New"/>
          <w:sz w:val="16"/>
          <w:szCs w:val="16"/>
        </w:rPr>
        <w:t xml:space="preserve">               </w:t>
      </w:r>
      <w:r w:rsidR="007508D3" w:rsidRPr="007508D3">
        <w:rPr>
          <w:rFonts w:ascii="Courier New" w:hAnsi="Courier New" w:cs="Courier New"/>
          <w:sz w:val="16"/>
          <w:szCs w:val="16"/>
          <w:lang w:val="fr-FR"/>
        </w:rPr>
        <w:t>&lt;DTEND&gt;20230811005831.000[-5:EST]&lt;/DTEND&gt;</w:t>
      </w:r>
    </w:p>
    <w:p w14:paraId="6F26C5D3" w14:textId="07F3B8DC" w:rsidR="007508D3" w:rsidRPr="007508D3" w:rsidRDefault="00034DC8" w:rsidP="00034DC8">
      <w:pPr>
        <w:shd w:val="clear" w:color="auto" w:fill="D9D9D9" w:themeFill="background1" w:themeFillShade="D9"/>
        <w:spacing w:after="0"/>
        <w:ind w:left="806"/>
        <w:rPr>
          <w:rFonts w:ascii="Courier New" w:hAnsi="Courier New" w:cs="Courier New"/>
          <w:sz w:val="16"/>
          <w:szCs w:val="16"/>
          <w:lang w:val="fr-FR"/>
        </w:rPr>
      </w:pPr>
      <w:r>
        <w:rPr>
          <w:rFonts w:ascii="Courier New" w:hAnsi="Courier New" w:cs="Courier New"/>
          <w:sz w:val="16"/>
          <w:szCs w:val="16"/>
          <w:lang w:val="fr-FR"/>
        </w:rPr>
        <w:t xml:space="preserve">               </w:t>
      </w:r>
      <w:r w:rsidR="007508D3" w:rsidRPr="007508D3">
        <w:rPr>
          <w:rFonts w:ascii="Courier New" w:hAnsi="Courier New" w:cs="Courier New"/>
          <w:sz w:val="16"/>
          <w:szCs w:val="16"/>
          <w:lang w:val="fr-FR"/>
        </w:rPr>
        <w:t>&lt;REINVEST&gt;</w:t>
      </w:r>
    </w:p>
    <w:p w14:paraId="3D8017A7" w14:textId="3463F29D" w:rsidR="007508D3" w:rsidRPr="007508D3" w:rsidRDefault="00034DC8" w:rsidP="00034DC8">
      <w:pPr>
        <w:shd w:val="clear" w:color="auto" w:fill="D9D9D9" w:themeFill="background1" w:themeFillShade="D9"/>
        <w:spacing w:after="0"/>
        <w:ind w:left="806"/>
        <w:rPr>
          <w:rFonts w:ascii="Courier New" w:hAnsi="Courier New" w:cs="Courier New"/>
          <w:sz w:val="16"/>
          <w:szCs w:val="16"/>
          <w:lang w:val="fr-FR"/>
        </w:rPr>
      </w:pPr>
      <w:r>
        <w:rPr>
          <w:rFonts w:ascii="Courier New" w:hAnsi="Courier New" w:cs="Courier New"/>
          <w:sz w:val="16"/>
          <w:szCs w:val="16"/>
          <w:lang w:val="fr-FR"/>
        </w:rPr>
        <w:t xml:space="preserve">                  </w:t>
      </w:r>
      <w:r w:rsidR="007508D3" w:rsidRPr="007508D3">
        <w:rPr>
          <w:rFonts w:ascii="Courier New" w:hAnsi="Courier New" w:cs="Courier New"/>
          <w:sz w:val="16"/>
          <w:szCs w:val="16"/>
          <w:lang w:val="fr-FR"/>
        </w:rPr>
        <w:t>&lt;INVTRAN&gt;</w:t>
      </w:r>
    </w:p>
    <w:p w14:paraId="76184000" w14:textId="6F13DD1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lang w:val="fr-FR"/>
        </w:rPr>
        <w:t xml:space="preserve">                     </w:t>
      </w:r>
      <w:r w:rsidR="007508D3" w:rsidRPr="007508D3">
        <w:rPr>
          <w:rFonts w:ascii="Courier New" w:hAnsi="Courier New" w:cs="Courier New"/>
          <w:sz w:val="16"/>
          <w:szCs w:val="16"/>
        </w:rPr>
        <w:t>&lt;FITID&gt;</w:t>
      </w:r>
      <w:r>
        <w:rPr>
          <w:rFonts w:ascii="Courier New" w:hAnsi="Courier New" w:cs="Courier New"/>
          <w:sz w:val="16"/>
          <w:szCs w:val="16"/>
        </w:rPr>
        <w:t>12345678</w:t>
      </w:r>
      <w:r w:rsidR="007508D3" w:rsidRPr="007508D3">
        <w:rPr>
          <w:rFonts w:ascii="Courier New" w:hAnsi="Courier New" w:cs="Courier New"/>
          <w:sz w:val="16"/>
          <w:szCs w:val="16"/>
        </w:rPr>
        <w:t>&lt;/FITID&gt;</w:t>
      </w:r>
    </w:p>
    <w:p w14:paraId="1B5C3424" w14:textId="6AE73227"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&lt;DTTRADE&gt;20230622160000.000[-5:EST]&lt;/DTTRADE&gt;</w:t>
      </w:r>
    </w:p>
    <w:p w14:paraId="3B491189" w14:textId="5782B3A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&lt;DTSETTLE&gt;20230622160000.000[-5:EST]&lt;/DTSETTLE&gt;</w:t>
      </w:r>
    </w:p>
    <w:p w14:paraId="7D32810B" w14:textId="5798355D"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&lt;MEMO&gt;DIVIDEND REINVESTMENTDIVIDEND REINVESTMENT&lt;/MEMO&gt;</w:t>
      </w:r>
    </w:p>
    <w:p w14:paraId="158D7FC1" w14:textId="3F1BED9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&lt;/INVTRAN&gt;</w:t>
      </w:r>
    </w:p>
    <w:p w14:paraId="706AD338" w14:textId="791B9223"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4D360FD1" w14:textId="50CA3FF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&lt;UNIQUEID&gt;</w:t>
      </w:r>
      <w:r>
        <w:rPr>
          <w:rFonts w:ascii="Courier New" w:hAnsi="Courier New" w:cs="Courier New"/>
          <w:sz w:val="16"/>
          <w:szCs w:val="16"/>
        </w:rPr>
        <w:t>12345A789</w:t>
      </w:r>
      <w:r w:rsidR="007508D3" w:rsidRPr="007508D3">
        <w:rPr>
          <w:rFonts w:ascii="Courier New" w:hAnsi="Courier New" w:cs="Courier New"/>
          <w:sz w:val="16"/>
          <w:szCs w:val="16"/>
        </w:rPr>
        <w:t>&lt;/UNIQUEID&gt;</w:t>
      </w:r>
    </w:p>
    <w:p w14:paraId="2E09A429" w14:textId="34CDCF3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&lt;UNIQUEIDTYPE&gt;CUSIP&lt;/UNIQUEIDTYPE&gt;</w:t>
      </w:r>
    </w:p>
    <w:p w14:paraId="42EB8D90" w14:textId="252DE69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61A2B0E4" w14:textId="397C1823"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&lt;INCOMETYPE&gt;DIV&lt;/INCOMETYPE&gt;</w:t>
      </w:r>
    </w:p>
    <w:p w14:paraId="39690407" w14:textId="1D817F78"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lastRenderedPageBreak/>
        <w:t xml:space="preserve">                  </w:t>
      </w:r>
      <w:r w:rsidR="007508D3" w:rsidRPr="007508D3">
        <w:rPr>
          <w:rFonts w:ascii="Courier New" w:hAnsi="Courier New" w:cs="Courier New"/>
          <w:sz w:val="16"/>
          <w:szCs w:val="16"/>
        </w:rPr>
        <w:t>&lt;TOTAL&gt;-</w:t>
      </w:r>
      <w:r>
        <w:rPr>
          <w:rFonts w:ascii="Courier New" w:hAnsi="Courier New" w:cs="Courier New"/>
          <w:sz w:val="16"/>
          <w:szCs w:val="16"/>
        </w:rPr>
        <w:t>882.51</w:t>
      </w:r>
      <w:r w:rsidR="007508D3" w:rsidRPr="007508D3">
        <w:rPr>
          <w:rFonts w:ascii="Courier New" w:hAnsi="Courier New" w:cs="Courier New"/>
          <w:sz w:val="16"/>
          <w:szCs w:val="16"/>
        </w:rPr>
        <w:t>&lt;/TOTAL&gt;</w:t>
      </w:r>
    </w:p>
    <w:p w14:paraId="0CCC5B49" w14:textId="6385E64B"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&lt;SUBACCTSEC&gt;CASH&lt;/SUBACCTSEC&gt;</w:t>
      </w:r>
    </w:p>
    <w:p w14:paraId="16D6B1B9" w14:textId="7B707B6A"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&lt;UNITS&gt;</w:t>
      </w:r>
      <w:r>
        <w:rPr>
          <w:rFonts w:ascii="Courier New" w:hAnsi="Courier New" w:cs="Courier New"/>
          <w:sz w:val="16"/>
          <w:szCs w:val="16"/>
        </w:rPr>
        <w:t>8</w:t>
      </w:r>
      <w:r w:rsidR="007508D3" w:rsidRPr="007508D3">
        <w:rPr>
          <w:rFonts w:ascii="Courier New" w:hAnsi="Courier New" w:cs="Courier New"/>
          <w:sz w:val="16"/>
          <w:szCs w:val="16"/>
        </w:rPr>
        <w:t>.365&lt;/UNITS&gt;</w:t>
      </w:r>
    </w:p>
    <w:p w14:paraId="456CD482" w14:textId="0E1E4377"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&lt;UNITPRICE&gt;105.5&lt;/UNITPRICE&gt;</w:t>
      </w:r>
    </w:p>
    <w:p w14:paraId="7B2151F2" w14:textId="2698C08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&lt;/REINVEST&gt;</w:t>
      </w:r>
    </w:p>
    <w:p w14:paraId="48519F22" w14:textId="7E31A6F5"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&lt;REINVEST&gt;</w:t>
      </w:r>
    </w:p>
    <w:p w14:paraId="7E52BCAE" w14:textId="751AFF7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&lt;INVTRAN&gt;</w:t>
      </w:r>
    </w:p>
    <w:p w14:paraId="471D5D8A" w14:textId="28711E28"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&lt;FITID&gt;</w:t>
      </w:r>
      <w:r>
        <w:rPr>
          <w:rFonts w:ascii="Courier New" w:hAnsi="Courier New" w:cs="Courier New"/>
          <w:sz w:val="16"/>
          <w:szCs w:val="16"/>
        </w:rPr>
        <w:t>987654321</w:t>
      </w:r>
      <w:r w:rsidR="007508D3" w:rsidRPr="007508D3">
        <w:rPr>
          <w:rFonts w:ascii="Courier New" w:hAnsi="Courier New" w:cs="Courier New"/>
          <w:sz w:val="16"/>
          <w:szCs w:val="16"/>
        </w:rPr>
        <w:t>&lt;/FITID&gt;</w:t>
      </w:r>
    </w:p>
    <w:p w14:paraId="4C9A5A90" w14:textId="261B667A"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&lt;DTTRADE&gt;20230531160000.000[-5:EST]&lt;/DTTRADE&gt;</w:t>
      </w:r>
    </w:p>
    <w:p w14:paraId="58912193" w14:textId="6F0F2BF7"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&lt;DTSETTLE&gt;20230531160000.000[-5:EST]&lt;/DTSETTLE&gt;</w:t>
      </w:r>
    </w:p>
    <w:p w14:paraId="52C1E762" w14:textId="30E01654"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&lt;MEMO&gt;DIVIDEND REINVESTMENTDIVIDEND REINVESTMENT&lt;/MEMO&gt;</w:t>
      </w:r>
    </w:p>
    <w:p w14:paraId="73D6726A" w14:textId="32EBC20A"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&lt;/INVTRAN&gt;</w:t>
      </w:r>
    </w:p>
    <w:p w14:paraId="04F04838" w14:textId="372C7A89"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110F3BA0" w14:textId="34975F22"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&lt;UNIQUEID&gt;</w:t>
      </w:r>
      <w:r>
        <w:rPr>
          <w:rFonts w:ascii="Courier New" w:hAnsi="Courier New" w:cs="Courier New"/>
          <w:sz w:val="16"/>
          <w:szCs w:val="16"/>
        </w:rPr>
        <w:t>54321X987</w:t>
      </w:r>
      <w:r w:rsidR="007508D3" w:rsidRPr="007508D3">
        <w:rPr>
          <w:rFonts w:ascii="Courier New" w:hAnsi="Courier New" w:cs="Courier New"/>
          <w:sz w:val="16"/>
          <w:szCs w:val="16"/>
        </w:rPr>
        <w:t>&lt;/UNIQUEID&gt;</w:t>
      </w:r>
    </w:p>
    <w:p w14:paraId="106F3435" w14:textId="349ACD5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&lt;UNIQUEIDTYPE&gt;CUSIP&lt;/UNIQUEIDTYPE&gt;</w:t>
      </w:r>
    </w:p>
    <w:p w14:paraId="153288E2" w14:textId="2D4C6AEF"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&lt;/SECID&gt;</w:t>
      </w:r>
    </w:p>
    <w:p w14:paraId="4EB9FF59" w14:textId="47F1EA9F"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&lt;INCOMETYPE&gt;DIV&lt;/INCOMETYPE&gt;</w:t>
      </w:r>
    </w:p>
    <w:p w14:paraId="5085CA7B" w14:textId="63E4CD3C"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&lt;TOTAL&gt;-2.89&lt;/TOTAL&gt;</w:t>
      </w:r>
    </w:p>
    <w:p w14:paraId="37B59FA9" w14:textId="7F95418E"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&lt;SUBACCTSEC&gt;CASH&lt;/SUBACCTSEC&gt;</w:t>
      </w:r>
    </w:p>
    <w:p w14:paraId="4DBADB1A" w14:textId="1C23C1F6"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&lt;UNITS&gt;2.89&lt;/UNITS&gt;</w:t>
      </w:r>
    </w:p>
    <w:p w14:paraId="147463F1" w14:textId="1CC27735" w:rsidR="007508D3" w:rsidRP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&lt;UNITPRICE&gt;1.0&lt;/UNITPRICE&gt;</w:t>
      </w:r>
    </w:p>
    <w:p w14:paraId="6B83C552" w14:textId="45DC2FD1" w:rsidR="007508D3" w:rsidRDefault="00034DC8" w:rsidP="00034DC8">
      <w:pPr>
        <w:shd w:val="clear" w:color="auto" w:fill="D9D9D9" w:themeFill="background1" w:themeFillShade="D9"/>
        <w:spacing w:after="0"/>
        <w:ind w:left="806"/>
        <w:rPr>
          <w:rFonts w:ascii="Courier New" w:hAnsi="Courier New" w:cs="Courier New"/>
          <w:sz w:val="16"/>
          <w:szCs w:val="16"/>
        </w:rPr>
      </w:pPr>
      <w:r>
        <w:rPr>
          <w:rFonts w:ascii="Courier New" w:hAnsi="Courier New" w:cs="Courier New"/>
          <w:sz w:val="16"/>
          <w:szCs w:val="16"/>
        </w:rPr>
        <w:t xml:space="preserve">               </w:t>
      </w:r>
      <w:r w:rsidR="007508D3" w:rsidRPr="007508D3">
        <w:rPr>
          <w:rFonts w:ascii="Courier New" w:hAnsi="Courier New" w:cs="Courier New"/>
          <w:sz w:val="16"/>
          <w:szCs w:val="16"/>
        </w:rPr>
        <w:t>&lt;/REINVEST&gt;</w:t>
      </w:r>
    </w:p>
    <w:p w14:paraId="01D29AE3" w14:textId="77777777" w:rsidR="00034DC8" w:rsidRDefault="00034DC8" w:rsidP="00034DC8"/>
    <w:p w14:paraId="2A0738C9" w14:textId="77777777" w:rsidR="00561AB4" w:rsidRDefault="004B0DA6" w:rsidP="00034DC8">
      <w:r>
        <w:t xml:space="preserve">You can discover what data your own financial institution provides by examining the file itself and reading about what each of the tags mean in the </w:t>
      </w:r>
      <w:hyperlink r:id="rId7" w:history="1">
        <w:r w:rsidRPr="004B0DA6">
          <w:rPr>
            <w:rStyle w:val="Hyperlink"/>
          </w:rPr>
          <w:t>OFX standard</w:t>
        </w:r>
      </w:hyperlink>
      <w:r>
        <w:t>.</w:t>
      </w:r>
      <w:r w:rsidR="00206F89">
        <w:t xml:space="preserve">  If you decide to add a field to the data you want to capture, you can do that by</w:t>
      </w:r>
      <w:r w:rsidR="00561AB4">
        <w:t>:</w:t>
      </w:r>
    </w:p>
    <w:tbl>
      <w:tblPr>
        <w:tblStyle w:val="TableGrid"/>
        <w:tblW w:w="0" w:type="auto"/>
        <w:tblLook w:val="04A0" w:firstRow="1" w:lastRow="0" w:firstColumn="1" w:lastColumn="0" w:noHBand="0" w:noVBand="1"/>
      </w:tblPr>
      <w:tblGrid>
        <w:gridCol w:w="5395"/>
        <w:gridCol w:w="5395"/>
      </w:tblGrid>
      <w:tr w:rsidR="00306EF7" w14:paraId="47CC3654" w14:textId="77777777" w:rsidTr="00306EF7">
        <w:tc>
          <w:tcPr>
            <w:tcW w:w="5395" w:type="dxa"/>
          </w:tcPr>
          <w:p w14:paraId="1BAAB11D" w14:textId="6352A774" w:rsidR="00306EF7" w:rsidRDefault="00306EF7" w:rsidP="00D8273B">
            <w:pPr>
              <w:keepNext/>
              <w:ind w:left="765"/>
            </w:pPr>
            <w:r>
              <w:t>PostgreSQL</w:t>
            </w:r>
          </w:p>
        </w:tc>
        <w:tc>
          <w:tcPr>
            <w:tcW w:w="5395" w:type="dxa"/>
          </w:tcPr>
          <w:p w14:paraId="7E596D8A" w14:textId="123E1007" w:rsidR="00306EF7" w:rsidRDefault="00306EF7" w:rsidP="00D8273B">
            <w:pPr>
              <w:keepNext/>
              <w:ind w:left="765"/>
            </w:pPr>
            <w:r>
              <w:t>Excel</w:t>
            </w:r>
          </w:p>
        </w:tc>
      </w:tr>
      <w:tr w:rsidR="00306EF7" w14:paraId="457BE1F2" w14:textId="77777777" w:rsidTr="00306EF7">
        <w:tc>
          <w:tcPr>
            <w:tcW w:w="5395" w:type="dxa"/>
          </w:tcPr>
          <w:p w14:paraId="0D3AD8F3" w14:textId="2EDBC3B0" w:rsidR="00306EF7" w:rsidRDefault="00306EF7" w:rsidP="00D8273B">
            <w:pPr>
              <w:keepNext/>
              <w:ind w:left="330" w:hanging="330"/>
            </w:pPr>
            <w:r>
              <w:t xml:space="preserve">1.   Add a column </w:t>
            </w:r>
            <w:r w:rsidR="00D8273B">
              <w:t xml:space="preserve">to the data base table in </w:t>
            </w:r>
            <w:proofErr w:type="spellStart"/>
            <w:r w:rsidR="00D8273B">
              <w:t>Postgresql</w:t>
            </w:r>
            <w:proofErr w:type="spellEnd"/>
          </w:p>
        </w:tc>
        <w:tc>
          <w:tcPr>
            <w:tcW w:w="5395" w:type="dxa"/>
          </w:tcPr>
          <w:p w14:paraId="25A1A677" w14:textId="2069A18B" w:rsidR="00306EF7" w:rsidRDefault="00D8273B" w:rsidP="00D8273B">
            <w:pPr>
              <w:keepNext/>
              <w:ind w:left="330" w:hanging="330"/>
            </w:pPr>
            <w:r>
              <w:t>1.  In the Excel file select the worksheet with the correct table name.  Insert a new column or add to the end.  In the first row, give a column name label for the column (no spaces).</w:t>
            </w:r>
          </w:p>
        </w:tc>
      </w:tr>
      <w:tr w:rsidR="00306EF7" w14:paraId="729FDA89" w14:textId="77777777" w:rsidTr="00306EF7">
        <w:tc>
          <w:tcPr>
            <w:tcW w:w="5395" w:type="dxa"/>
          </w:tcPr>
          <w:p w14:paraId="533BD38D" w14:textId="44E11E2A" w:rsidR="00306EF7" w:rsidRDefault="00D8273B" w:rsidP="00D8273B">
            <w:pPr>
              <w:keepNext/>
              <w:ind w:left="330" w:hanging="330"/>
            </w:pPr>
            <w:r>
              <w:t xml:space="preserve">2.   In the OFX mapping table, add a row with the correct OFX List name and </w:t>
            </w:r>
            <w:proofErr w:type="spellStart"/>
            <w:r>
              <w:t>tablename</w:t>
            </w:r>
            <w:proofErr w:type="spellEnd"/>
            <w:r w:rsidR="003A3EDD">
              <w:t xml:space="preserve"> plus the OFX Tag where the data resides and the data base column name you added in step 1.</w:t>
            </w:r>
          </w:p>
        </w:tc>
        <w:tc>
          <w:tcPr>
            <w:tcW w:w="5395" w:type="dxa"/>
          </w:tcPr>
          <w:p w14:paraId="392F9CD1" w14:textId="3E5A4BEB" w:rsidR="00306EF7" w:rsidRDefault="003A3EDD" w:rsidP="00D8273B">
            <w:pPr>
              <w:keepNext/>
              <w:ind w:left="330" w:hanging="330"/>
            </w:pPr>
            <w:r>
              <w:t xml:space="preserve">2.  In the OFXtoDB.ini file in the [Mapping] section scroll down to the correct OFX List and table name and add a line there with the same OFX List and </w:t>
            </w:r>
            <w:proofErr w:type="spellStart"/>
            <w:r>
              <w:t>tablename</w:t>
            </w:r>
            <w:proofErr w:type="spellEnd"/>
            <w:r>
              <w:t xml:space="preserve"> plus the OFX Tag with the data and the column name you added above.</w:t>
            </w:r>
          </w:p>
        </w:tc>
      </w:tr>
      <w:tr w:rsidR="00306EF7" w14:paraId="315D0B3E" w14:textId="77777777" w:rsidTr="00306EF7">
        <w:tc>
          <w:tcPr>
            <w:tcW w:w="5395" w:type="dxa"/>
          </w:tcPr>
          <w:p w14:paraId="747409E0" w14:textId="601C5758" w:rsidR="00306EF7" w:rsidRDefault="00306EF7" w:rsidP="003A3EDD">
            <w:pPr>
              <w:keepNext/>
            </w:pPr>
          </w:p>
        </w:tc>
        <w:tc>
          <w:tcPr>
            <w:tcW w:w="5395" w:type="dxa"/>
          </w:tcPr>
          <w:p w14:paraId="22ABBC21" w14:textId="6C21866B" w:rsidR="00306EF7" w:rsidRDefault="003A3EDD" w:rsidP="003A3EDD">
            <w:pPr>
              <w:keepNext/>
              <w:ind w:left="330" w:hanging="330"/>
            </w:pPr>
            <w:r>
              <w:t xml:space="preserve">3.   Also in the OFXtoDB.ini file find the Table: section with the correct table name and add a line with the column name </w:t>
            </w:r>
            <w:r w:rsidR="00615421">
              <w:t>from the previous steps and its desired data type, separated by colon (:).  It is a very good idea to keep the column names here in the same order they appear in the Excel file columns.</w:t>
            </w:r>
          </w:p>
        </w:tc>
      </w:tr>
    </w:tbl>
    <w:p w14:paraId="7612DFCC" w14:textId="77777777" w:rsidR="00561AB4" w:rsidRDefault="00561AB4" w:rsidP="00306EF7">
      <w:pPr>
        <w:spacing w:after="0" w:line="240" w:lineRule="auto"/>
        <w:ind w:left="-30"/>
      </w:pPr>
    </w:p>
    <w:p w14:paraId="5E5F296D" w14:textId="7FB8D233" w:rsidR="004B0DA6" w:rsidRDefault="00206F89" w:rsidP="00034DC8">
      <w:r>
        <w:t xml:space="preserve"> </w:t>
      </w:r>
    </w:p>
    <w:p w14:paraId="42C339B6" w14:textId="7DCDCB1A" w:rsidR="00AC6CDF" w:rsidRDefault="00AC6CDF" w:rsidP="00AC6CDF">
      <w:pPr>
        <w:shd w:val="clear" w:color="auto" w:fill="F4B083" w:themeFill="accent2" w:themeFillTint="99"/>
        <w:rPr>
          <w:rFonts w:cs="Times New Roman"/>
        </w:rPr>
      </w:pPr>
      <w:r w:rsidRPr="00AC6CDF">
        <w:rPr>
          <w:rFonts w:ascii="Calisto MT" w:hAnsi="Calisto MT"/>
          <w:sz w:val="24"/>
          <w:szCs w:val="24"/>
        </w:rPr>
        <w:t xml:space="preserve">HINT:  </w:t>
      </w:r>
      <w:r>
        <w:rPr>
          <w:rFonts w:cs="Times New Roman"/>
        </w:rPr>
        <w:t xml:space="preserve">OFX files become much easier to read after converting them from SGML to XML.  This can be done in the </w:t>
      </w:r>
      <w:proofErr w:type="spellStart"/>
      <w:r>
        <w:rPr>
          <w:rFonts w:cs="Times New Roman"/>
        </w:rPr>
        <w:t>NotePad</w:t>
      </w:r>
      <w:proofErr w:type="spellEnd"/>
      <w:r>
        <w:rPr>
          <w:rFonts w:cs="Times New Roman"/>
        </w:rPr>
        <w:t>++ editor by:</w:t>
      </w:r>
    </w:p>
    <w:p w14:paraId="1A72C03B" w14:textId="4268BC78" w:rsidR="00AC6CDF" w:rsidRPr="00AC6CDF" w:rsidRDefault="00AC6CDF" w:rsidP="00AC6CDF">
      <w:pPr>
        <w:shd w:val="clear" w:color="auto" w:fill="F4B083" w:themeFill="accent2" w:themeFillTint="99"/>
        <w:spacing w:after="0"/>
        <w:rPr>
          <w:rFonts w:cs="Times New Roman"/>
        </w:rPr>
      </w:pPr>
      <w:r w:rsidRPr="00AC6CDF">
        <w:rPr>
          <w:rFonts w:cs="Times New Roman"/>
        </w:rPr>
        <w:t xml:space="preserve">  </w:t>
      </w:r>
      <w:r>
        <w:rPr>
          <w:rFonts w:cs="Times New Roman"/>
        </w:rPr>
        <w:t xml:space="preserve">            1.  </w:t>
      </w:r>
      <w:r w:rsidRPr="00AC6CDF">
        <w:rPr>
          <w:rFonts w:cs="Times New Roman"/>
        </w:rPr>
        <w:t>Adding a newline just before the &lt;OFX&gt; tag to separate the Quicken header from the OFX data.</w:t>
      </w:r>
    </w:p>
    <w:p w14:paraId="0B6FA170" w14:textId="6B4DC058" w:rsidR="00AC6CDF" w:rsidRDefault="00AC6CDF" w:rsidP="00806C24">
      <w:pPr>
        <w:shd w:val="clear" w:color="auto" w:fill="F4B083" w:themeFill="accent2" w:themeFillTint="99"/>
        <w:spacing w:after="0"/>
        <w:ind w:left="1080" w:hanging="1080"/>
        <w:rPr>
          <w:rFonts w:cs="Times New Roman"/>
        </w:rPr>
      </w:pPr>
      <w:r>
        <w:rPr>
          <w:rFonts w:cs="Times New Roman"/>
        </w:rPr>
        <w:t xml:space="preserve">              2.  Adding close tags to all the elements with missing close tags.  Under Search..Replace select a Regular</w:t>
      </w:r>
      <w:r w:rsidR="00806C24">
        <w:rPr>
          <w:rFonts w:cs="Times New Roman"/>
        </w:rPr>
        <w:t xml:space="preserve"> </w:t>
      </w:r>
      <w:r>
        <w:rPr>
          <w:rFonts w:cs="Times New Roman"/>
        </w:rPr>
        <w:t xml:space="preserve">Expression </w:t>
      </w:r>
      <w:r w:rsidR="00806C24">
        <w:rPr>
          <w:rFonts w:cs="Times New Roman"/>
        </w:rPr>
        <w:t xml:space="preserve">replace – In the ‘Find what’ box enter </w:t>
      </w:r>
      <w:r w:rsidR="00806C24" w:rsidRPr="00806C24">
        <w:rPr>
          <w:rFonts w:ascii="Courier New" w:hAnsi="Courier New" w:cs="Courier New"/>
        </w:rPr>
        <w:t>&lt;(?!/)([^&gt;]+&gt;)([^&lt;]+)(?!&lt;/\1)</w:t>
      </w:r>
      <w:r w:rsidR="00806C24">
        <w:rPr>
          <w:rFonts w:cs="Times New Roman"/>
        </w:rPr>
        <w:t xml:space="preserve"> and in the ‘Replace with’ box enter </w:t>
      </w:r>
      <w:r w:rsidR="00806C24" w:rsidRPr="00806C24">
        <w:rPr>
          <w:rFonts w:ascii="Courier New" w:hAnsi="Courier New" w:cs="Courier New"/>
        </w:rPr>
        <w:t>&lt;$1$2&lt;/$1</w:t>
      </w:r>
      <w:r w:rsidR="00806C24">
        <w:rPr>
          <w:rFonts w:cs="Times New Roman"/>
        </w:rPr>
        <w:t>.  Press the Replace All button to execute.</w:t>
      </w:r>
    </w:p>
    <w:p w14:paraId="11D4FF56" w14:textId="056F58EF" w:rsidR="00806C24" w:rsidRPr="00AC6CDF" w:rsidRDefault="00806C24" w:rsidP="00AC6CDF">
      <w:pPr>
        <w:shd w:val="clear" w:color="auto" w:fill="F4B083" w:themeFill="accent2" w:themeFillTint="99"/>
        <w:ind w:left="1080" w:hanging="1080"/>
        <w:rPr>
          <w:rFonts w:cs="Times New Roman"/>
        </w:rPr>
      </w:pPr>
      <w:r>
        <w:rPr>
          <w:rFonts w:cs="Times New Roman"/>
        </w:rPr>
        <w:t xml:space="preserve">               3.  On the Plugins menu make sure you have installed the XML Tools plugin, then from that same menu select “</w:t>
      </w:r>
      <w:r w:rsidRPr="00806C24">
        <w:rPr>
          <w:rFonts w:ascii="Courier New" w:hAnsi="Courier New" w:cs="Courier New"/>
        </w:rPr>
        <w:t>XML Tools&gt;</w:t>
      </w:r>
      <w:r>
        <w:rPr>
          <w:rFonts w:cs="Times New Roman"/>
        </w:rPr>
        <w:t xml:space="preserve">” and then select </w:t>
      </w:r>
      <w:r w:rsidRPr="00806C24">
        <w:rPr>
          <w:rFonts w:ascii="Courier New" w:hAnsi="Courier New" w:cs="Courier New"/>
        </w:rPr>
        <w:t>Pretty Print – Indent Attributes</w:t>
      </w:r>
    </w:p>
    <w:p w14:paraId="17C8A29C" w14:textId="3B5D9446" w:rsidR="00D064A9" w:rsidRDefault="005B7E4B" w:rsidP="005B7E4B">
      <w:pPr>
        <w:pStyle w:val="Heading1"/>
      </w:pPr>
      <w:r>
        <w:lastRenderedPageBreak/>
        <w:t>Data Model Provided</w:t>
      </w:r>
      <w:r w:rsidR="00A309F3">
        <w:t xml:space="preserve"> In The Distribution</w:t>
      </w:r>
    </w:p>
    <w:p w14:paraId="06468CFA" w14:textId="1F2F6D17" w:rsidR="005B7E4B" w:rsidRDefault="00A309F3" w:rsidP="005B7E4B">
      <w:r>
        <w:object w:dxaOrig="8311" w:dyaOrig="6229" w14:anchorId="51124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75pt;height:426.75pt" o:ole="">
            <v:imagedata r:id="rId8" o:title=""/>
          </v:shape>
          <o:OLEObject Type="Embed" ProgID="PowerPoint.Slide.12" ShapeID="_x0000_i1025" DrawAspect="Content" ObjectID="_1757698843" r:id="rId9"/>
        </w:object>
      </w:r>
    </w:p>
    <w:p w14:paraId="79E4D0A7" w14:textId="2E80F25A" w:rsidR="005B7E4B" w:rsidRDefault="00A309F3" w:rsidP="00A309F3">
      <w:pPr>
        <w:shd w:val="clear" w:color="auto" w:fill="F4B083" w:themeFill="accent2" w:themeFillTint="99"/>
      </w:pPr>
      <w:r>
        <w:t>BEWARE:  If using any database writer, do not be tempted to use a sequence as your tables’ primary keys.  You will defeat the duplicate record checking and risk adding the same record multiple times into your tables.</w:t>
      </w:r>
    </w:p>
    <w:p w14:paraId="646AC267" w14:textId="70E6A9C9" w:rsidR="00A309F3" w:rsidRDefault="00B64386" w:rsidP="005E762F">
      <w:pPr>
        <w:pStyle w:val="Heading1"/>
      </w:pPr>
      <w:bookmarkStart w:id="2" w:name="_How_To_Create"/>
      <w:bookmarkEnd w:id="2"/>
      <w:r w:rsidRPr="00B64386">
        <w:t xml:space="preserve">How To Create a Schema Sandbox in </w:t>
      </w:r>
      <w:proofErr w:type="spellStart"/>
      <w:r w:rsidRPr="00B64386">
        <w:t>Postgresql</w:t>
      </w:r>
      <w:proofErr w:type="spellEnd"/>
    </w:p>
    <w:p w14:paraId="5C26A11F" w14:textId="146B6BF2" w:rsidR="005E762F" w:rsidRDefault="005E762F" w:rsidP="005E762F">
      <w:r>
        <w:t xml:space="preserve">When adding data to a PostgreSQL data base under program control the first step is to establish a data base session by logging in under a particular user and password.  This causes a security vulnerability because at some point in its execution the program must know the password to set up the session and a malicious actor could obtain it no matter how well the program tries to obfuscate it.  Rather than try to hide that password, the OFXtoDB program relies on limiting the damage that a hacker can do by confining all table writes to a single schema and then confining the program's database </w:t>
      </w:r>
      <w:proofErr w:type="spellStart"/>
      <w:r>
        <w:t>userid</w:t>
      </w:r>
      <w:proofErr w:type="spellEnd"/>
      <w:r>
        <w:t xml:space="preserve"> to only those activities within that schema necessary to write its data there (UPDATE, INSERT and SELECT).  With these controls in place a malicious user can still use that ID to steal your financial data or fill your disk up with garbage (denial of service), but they cannot affect the rest of the data base.  Those possibilities can be further mitigated by ensuring your PostgreSQL instance only accepts sessions from localhost if all activity is confined to the one PC, or making a router rule to only make </w:t>
      </w:r>
      <w:proofErr w:type="spellStart"/>
      <w:r>
        <w:t>db</w:t>
      </w:r>
      <w:proofErr w:type="spellEnd"/>
      <w:r>
        <w:t xml:space="preserve"> connections if the IP address starts with 192.168 or 10 if you need to allow data base action across your home network.</w:t>
      </w:r>
    </w:p>
    <w:p w14:paraId="0BDB308E" w14:textId="274D0CAF" w:rsidR="005E762F" w:rsidRDefault="005E762F" w:rsidP="005E762F">
      <w:r>
        <w:lastRenderedPageBreak/>
        <w:t xml:space="preserve">This </w:t>
      </w:r>
      <w:r w:rsidR="00911C45">
        <w:t>section</w:t>
      </w:r>
      <w:r>
        <w:t xml:space="preserve"> explains how to set up just such a "sandboxed" ID in PostgreSQL.  The GRANTs needed to make this work are a little tricky to get right, so this document will explain it in a step-by-step fashion.</w:t>
      </w:r>
    </w:p>
    <w:p w14:paraId="731DF763" w14:textId="77777777" w:rsidR="005E762F" w:rsidRDefault="005E762F" w:rsidP="005E762F">
      <w:r>
        <w:t>The most important part of this solution is to make all the tables be owned by the limited user, because without it the OFXtoDB program will not be able to determine the target tables' primary keys which is necessary to prevent duplicate financial records from being stored in the tables.  To do this, we will refer to 2 user IDs, 'postgres' and 'limited', where postgres is the standard superuser ID and limited will be the limited-access ID to be used by the OFXtoDB program in storing its records. In addition, we will assume the target schema to store this data will be named 'sandbox'.</w:t>
      </w:r>
    </w:p>
    <w:p w14:paraId="5F5A8170" w14:textId="77777777" w:rsidR="005E762F" w:rsidRDefault="005E762F" w:rsidP="005E762F">
      <w:pPr>
        <w:spacing w:after="0"/>
      </w:pPr>
      <w:r>
        <w:t>Step one is to create the limited user and the sandbox schema.  Log into a session with the postgres (superuser) ID.  The user ID creation is very straightforward, and you can either issue the SQL to do it or do it from the menus in PGADMIN4.  To create the sandbox schema, issue the following SQL:</w:t>
      </w:r>
    </w:p>
    <w:p w14:paraId="2E248CF1" w14:textId="77777777" w:rsidR="005E762F" w:rsidRPr="005E762F" w:rsidRDefault="005E762F" w:rsidP="005E762F">
      <w:pPr>
        <w:pStyle w:val="NoSpacing"/>
        <w:keepNext/>
        <w:shd w:val="clear" w:color="auto" w:fill="D9D9D9" w:themeFill="background1" w:themeFillShade="D9"/>
        <w:ind w:left="1170"/>
        <w:rPr>
          <w:rFonts w:ascii="Courier New" w:hAnsi="Courier New" w:cs="Courier New"/>
        </w:rPr>
      </w:pPr>
      <w:r w:rsidRPr="005E762F">
        <w:rPr>
          <w:rFonts w:ascii="Courier New" w:hAnsi="Courier New" w:cs="Courier New"/>
        </w:rPr>
        <w:tab/>
        <w:t>CREATE SCHEMA sandbox;</w:t>
      </w:r>
    </w:p>
    <w:p w14:paraId="4B3FB891" w14:textId="77777777" w:rsidR="005E762F" w:rsidRPr="005E762F" w:rsidRDefault="005E762F" w:rsidP="005E762F">
      <w:pPr>
        <w:pStyle w:val="NoSpacing"/>
        <w:keepNext/>
        <w:shd w:val="clear" w:color="auto" w:fill="D9D9D9" w:themeFill="background1" w:themeFillShade="D9"/>
        <w:ind w:left="1170"/>
        <w:rPr>
          <w:rFonts w:ascii="Courier New" w:hAnsi="Courier New" w:cs="Courier New"/>
        </w:rPr>
      </w:pPr>
      <w:r w:rsidRPr="005E762F">
        <w:rPr>
          <w:rFonts w:ascii="Courier New" w:hAnsi="Courier New" w:cs="Courier New"/>
        </w:rPr>
        <w:tab/>
        <w:t>GRANT USAGE, CREATE On SCHEMA sandbox to limited</w:t>
      </w:r>
    </w:p>
    <w:p w14:paraId="6698634C" w14:textId="77777777" w:rsidR="005E762F" w:rsidRPr="005E762F" w:rsidRDefault="005E762F" w:rsidP="005E762F">
      <w:pPr>
        <w:pStyle w:val="NoSpacing"/>
        <w:keepNext/>
        <w:shd w:val="clear" w:color="auto" w:fill="D9D9D9" w:themeFill="background1" w:themeFillShade="D9"/>
        <w:ind w:left="1170"/>
        <w:rPr>
          <w:rFonts w:ascii="Courier New" w:hAnsi="Courier New" w:cs="Courier New"/>
        </w:rPr>
      </w:pPr>
      <w:r w:rsidRPr="005E762F">
        <w:rPr>
          <w:rFonts w:ascii="Courier New" w:hAnsi="Courier New" w:cs="Courier New"/>
        </w:rPr>
        <w:tab/>
        <w:t>GRANT ALL On ALL TABLES IN SCHEMA sandbox to limited</w:t>
      </w:r>
    </w:p>
    <w:p w14:paraId="7A4653F6" w14:textId="77777777" w:rsidR="005E762F" w:rsidRDefault="005E762F" w:rsidP="005E762F">
      <w:pPr>
        <w:spacing w:before="240"/>
      </w:pPr>
      <w:r>
        <w:t xml:space="preserve">The program OFXtoDB also reads descriptive information about the tables that is stored in </w:t>
      </w:r>
      <w:proofErr w:type="spellStart"/>
      <w:r>
        <w:t>information_schema</w:t>
      </w:r>
      <w:proofErr w:type="spellEnd"/>
      <w:r>
        <w:t xml:space="preserve"> and </w:t>
      </w:r>
      <w:proofErr w:type="spellStart"/>
      <w:r>
        <w:t>pg_catalog</w:t>
      </w:r>
      <w:proofErr w:type="spellEnd"/>
      <w:r>
        <w:t xml:space="preserve">, so you may need to </w:t>
      </w:r>
      <w:r w:rsidRPr="005E762F">
        <w:rPr>
          <w:rFonts w:ascii="Courier New" w:hAnsi="Courier New" w:cs="Courier New"/>
        </w:rPr>
        <w:t>GRANT SELECT On ALL TABLES</w:t>
      </w:r>
      <w:r>
        <w:t xml:space="preserve"> in those schemas as well, although I did not.  It appears those schemas come pre-made with SELECT grants to public so it might be unnecessary.</w:t>
      </w:r>
    </w:p>
    <w:p w14:paraId="39AC47E5" w14:textId="092CCEAD" w:rsidR="005E762F" w:rsidRDefault="005E762F" w:rsidP="005E762F">
      <w:r>
        <w:t xml:space="preserve">The trick here is to understand the two-tier permission system in PostgreSQL.  Coming from Oracle, the second of the two Grants above is all you ever need to give access and new users to PostgreSQL don't understand how you can GRANT SELECT on a table successfully and then be prevented by permissions from </w:t>
      </w:r>
      <w:proofErr w:type="spellStart"/>
      <w:r>
        <w:t>SELECTing</w:t>
      </w:r>
      <w:proofErr w:type="spellEnd"/>
      <w:r>
        <w:t xml:space="preserve"> on it.  The answer is that first PostgreSQL checks your access to the schema and THEN checks for appropriate access to the table (it then goes on to check access to the columns, if any).  Without access to the schema, no access to the tables.  The GRANT USAGE, CREATE On SCHEMA gives both a USAGE permission which allows the user to look up tables in the schema, and a CREATE permission which allows the creation of new objects (tables, views, TYPEs, functions, etc.) in the schema.  You need both to set up the tables, but we will later REVOKE the CREATE permission when we finish locking down the </w:t>
      </w:r>
      <w:proofErr w:type="spellStart"/>
      <w:r>
        <w:t>userid</w:t>
      </w:r>
      <w:proofErr w:type="spellEnd"/>
      <w:r>
        <w:t xml:space="preserve">.  We are temporarily </w:t>
      </w:r>
      <w:proofErr w:type="spellStart"/>
      <w:r>
        <w:t>GRANTing</w:t>
      </w:r>
      <w:proofErr w:type="spellEnd"/>
      <w:r>
        <w:t xml:space="preserve"> ALL permissions to limited, because a user under that ID/role must be the one to create the data base tables which will house the data.</w:t>
      </w:r>
    </w:p>
    <w:p w14:paraId="6B5E784D" w14:textId="36DE9313" w:rsidR="005E762F" w:rsidRDefault="005E762F" w:rsidP="005E762F">
      <w:r>
        <w:t>After designing the data base</w:t>
      </w:r>
      <w:r w:rsidR="006F02CC">
        <w:t>,</w:t>
      </w:r>
      <w:r>
        <w:t xml:space="preserve"> physical tables, </w:t>
      </w:r>
      <w:r w:rsidR="006F02CC">
        <w:t>and the</w:t>
      </w:r>
      <w:r w:rsidR="006F02CC">
        <w:t xml:space="preserve"> </w:t>
      </w:r>
      <w:r>
        <w:t xml:space="preserve">primary keys, you will create the actual tables.  Log out of the postgres session and log into a limited session.  You can create the tables with SQL or with the PGADMIN4 interface.  The first important point is to create the primary keys while you are defining the data columns - the Postgres data writer in OFXtoDB reads the primary keys to understand how to de-dup records already in the data base as well as repeated records within each data feed (Separate SECLISTs for multiple accounts is a prime creator of duplicate securities).  Do not be tempted to use a sequence for the primary key! You will defeat that important de-duping capability.  The second point here is if you are going to use </w:t>
      </w:r>
      <w:proofErr w:type="spellStart"/>
      <w:r>
        <w:t>enums</w:t>
      </w:r>
      <w:proofErr w:type="spellEnd"/>
      <w:r>
        <w:t xml:space="preserve"> as column types, you must create the </w:t>
      </w:r>
      <w:proofErr w:type="spellStart"/>
      <w:r>
        <w:t>enum</w:t>
      </w:r>
      <w:proofErr w:type="spellEnd"/>
      <w:r>
        <w:t xml:space="preserve"> as a Type before </w:t>
      </w:r>
      <w:proofErr w:type="spellStart"/>
      <w:r>
        <w:t>CREATing</w:t>
      </w:r>
      <w:proofErr w:type="spellEnd"/>
      <w:r>
        <w:t xml:space="preserve"> the table - each </w:t>
      </w:r>
      <w:proofErr w:type="spellStart"/>
      <w:r>
        <w:t>enum</w:t>
      </w:r>
      <w:proofErr w:type="spellEnd"/>
      <w:r>
        <w:t xml:space="preserve"> is stored at the schema level, not at the table level.</w:t>
      </w:r>
    </w:p>
    <w:p w14:paraId="2B71A7C5" w14:textId="5CBD183A" w:rsidR="005E762F" w:rsidRDefault="005E762F" w:rsidP="005E762F">
      <w:r>
        <w:t>The next step is to create the OFX mapping table in this same schema and populate it with the List</w:t>
      </w:r>
      <w:r w:rsidR="00971C58">
        <w:sym w:font="Wingdings" w:char="F0F0"/>
      </w:r>
      <w:r>
        <w:t>table, tag</w:t>
      </w:r>
      <w:r w:rsidR="00971C58">
        <w:sym w:font="Wingdings" w:char="F0F0"/>
      </w:r>
      <w:r>
        <w:t xml:space="preserve">column mappings (also under the limited </w:t>
      </w:r>
      <w:proofErr w:type="spellStart"/>
      <w:r>
        <w:t>userid</w:t>
      </w:r>
      <w:proofErr w:type="spellEnd"/>
      <w:r>
        <w:t xml:space="preserve">).  The OFX mapping table can be called whatever you wish (its name is designated in the OFXtoDB.ini file), but its four column names must be </w:t>
      </w:r>
      <w:proofErr w:type="spellStart"/>
      <w:r>
        <w:t>OFXList</w:t>
      </w:r>
      <w:proofErr w:type="spellEnd"/>
      <w:r>
        <w:t xml:space="preserve">, </w:t>
      </w:r>
      <w:proofErr w:type="spellStart"/>
      <w:r>
        <w:t>DBTable</w:t>
      </w:r>
      <w:proofErr w:type="spellEnd"/>
      <w:r>
        <w:t xml:space="preserve">, </w:t>
      </w:r>
      <w:proofErr w:type="spellStart"/>
      <w:r>
        <w:t>OFXTag</w:t>
      </w:r>
      <w:proofErr w:type="spellEnd"/>
      <w:r>
        <w:t xml:space="preserve">, and </w:t>
      </w:r>
      <w:proofErr w:type="spellStart"/>
      <w:r>
        <w:t>DBColumn</w:t>
      </w:r>
      <w:proofErr w:type="spellEnd"/>
      <w:r>
        <w:t xml:space="preserve">, and the mixed case is important (use double quotes around the column names).  Here you can either leave out the primary key entirely or make all 4 columns the primary key.  See the topic </w:t>
      </w:r>
      <w:hyperlink w:anchor="_Mapping_Specification" w:history="1">
        <w:r w:rsidR="00971C58" w:rsidRPr="00971C58">
          <w:rPr>
            <w:rStyle w:val="Hyperlink"/>
          </w:rPr>
          <w:t>Mapping Specification</w:t>
        </w:r>
      </w:hyperlink>
      <w:r>
        <w:t xml:space="preserve"> for details on how to code a mapping.</w:t>
      </w:r>
    </w:p>
    <w:p w14:paraId="5CBE1C05" w14:textId="77777777" w:rsidR="005E762F" w:rsidRDefault="005E762F" w:rsidP="00FD1DF9">
      <w:pPr>
        <w:keepNext/>
      </w:pPr>
      <w:r>
        <w:lastRenderedPageBreak/>
        <w:t>Now you're ready to take your new data base for a test drive.  Create your OFXtoDB.ini file in the same directory as the program with the following entries (change these values to suit your customizations):</w:t>
      </w:r>
    </w:p>
    <w:p w14:paraId="0445C549"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[common]</w:t>
      </w:r>
    </w:p>
    <w:p w14:paraId="03AE305B"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TimeZone = America/New_York</w:t>
      </w:r>
    </w:p>
    <w:p w14:paraId="4C81B454"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  OFXFile = &lt;.qfx file specification&gt;</w:t>
      </w:r>
    </w:p>
    <w:p w14:paraId="26EFC6DF"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r w:rsidRPr="00971C58">
        <w:rPr>
          <w:rFonts w:ascii="Courier New" w:hAnsi="Courier New" w:cs="Courier New"/>
        </w:rPr>
        <w:tab/>
      </w:r>
      <w:r w:rsidRPr="00971C58">
        <w:rPr>
          <w:rFonts w:ascii="Courier New" w:hAnsi="Courier New" w:cs="Courier New"/>
        </w:rPr>
        <w:tab/>
      </w:r>
      <w:r w:rsidRPr="00662471">
        <w:rPr>
          <w:rFonts w:ascii="Courier New" w:hAnsi="Courier New" w:cs="Courier New"/>
          <w:lang w:val="fr-FR"/>
        </w:rPr>
        <w:t xml:space="preserve">Writer = </w:t>
      </w:r>
      <w:proofErr w:type="spellStart"/>
      <w:r w:rsidRPr="00662471">
        <w:rPr>
          <w:rFonts w:ascii="Courier New" w:hAnsi="Courier New" w:cs="Courier New"/>
          <w:lang w:val="fr-FR"/>
        </w:rPr>
        <w:t>Postgres</w:t>
      </w:r>
      <w:proofErr w:type="spellEnd"/>
    </w:p>
    <w:p w14:paraId="57AD1002"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p>
    <w:p w14:paraId="254C0301"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r w:rsidRPr="00662471">
        <w:rPr>
          <w:rFonts w:ascii="Courier New" w:hAnsi="Courier New" w:cs="Courier New"/>
          <w:lang w:val="fr-FR"/>
        </w:rPr>
        <w:tab/>
      </w:r>
      <w:r w:rsidRPr="00662471">
        <w:rPr>
          <w:rFonts w:ascii="Courier New" w:hAnsi="Courier New" w:cs="Courier New"/>
          <w:lang w:val="fr-FR"/>
        </w:rPr>
        <w:tab/>
        <w:t>[</w:t>
      </w:r>
      <w:proofErr w:type="spellStart"/>
      <w:r w:rsidRPr="00662471">
        <w:rPr>
          <w:rFonts w:ascii="Courier New" w:hAnsi="Courier New" w:cs="Courier New"/>
          <w:lang w:val="fr-FR"/>
        </w:rPr>
        <w:t>Postgres</w:t>
      </w:r>
      <w:proofErr w:type="spellEnd"/>
      <w:r w:rsidRPr="00662471">
        <w:rPr>
          <w:rFonts w:ascii="Courier New" w:hAnsi="Courier New" w:cs="Courier New"/>
          <w:lang w:val="fr-FR"/>
        </w:rPr>
        <w:t>]</w:t>
      </w:r>
    </w:p>
    <w:p w14:paraId="701C14E0" w14:textId="77777777" w:rsidR="005E762F" w:rsidRPr="00662471" w:rsidRDefault="005E762F" w:rsidP="00971C58">
      <w:pPr>
        <w:pStyle w:val="NoSpacing"/>
        <w:keepNext/>
        <w:shd w:val="clear" w:color="auto" w:fill="D9D9D9" w:themeFill="background1" w:themeFillShade="D9"/>
        <w:ind w:left="1170"/>
        <w:rPr>
          <w:rFonts w:ascii="Courier New" w:hAnsi="Courier New" w:cs="Courier New"/>
          <w:lang w:val="fr-FR"/>
        </w:rPr>
      </w:pPr>
      <w:r w:rsidRPr="00662471">
        <w:rPr>
          <w:rFonts w:ascii="Courier New" w:hAnsi="Courier New" w:cs="Courier New"/>
          <w:lang w:val="fr-FR"/>
        </w:rPr>
        <w:tab/>
      </w:r>
      <w:r w:rsidRPr="00662471">
        <w:rPr>
          <w:rFonts w:ascii="Courier New" w:hAnsi="Courier New" w:cs="Courier New"/>
          <w:lang w:val="fr-FR"/>
        </w:rPr>
        <w:tab/>
        <w:t>#  host=localhost</w:t>
      </w:r>
    </w:p>
    <w:p w14:paraId="675DF7F3" w14:textId="0E7B9385" w:rsidR="00971C58" w:rsidRPr="00662471" w:rsidRDefault="00971C58" w:rsidP="00971C58">
      <w:pPr>
        <w:pStyle w:val="NoSpacing"/>
        <w:keepNext/>
        <w:shd w:val="clear" w:color="auto" w:fill="D9D9D9" w:themeFill="background1" w:themeFillShade="D9"/>
        <w:ind w:left="1170"/>
        <w:rPr>
          <w:rFonts w:ascii="Courier New" w:hAnsi="Courier New" w:cs="Courier New"/>
          <w:lang w:val="fr-FR"/>
        </w:rPr>
      </w:pPr>
      <w:r w:rsidRPr="00662471">
        <w:rPr>
          <w:rFonts w:ascii="Courier New" w:hAnsi="Courier New" w:cs="Courier New"/>
          <w:lang w:val="fr-FR"/>
        </w:rPr>
        <w:tab/>
      </w:r>
      <w:r w:rsidRPr="00662471">
        <w:rPr>
          <w:rFonts w:ascii="Courier New" w:hAnsi="Courier New" w:cs="Courier New"/>
          <w:lang w:val="fr-FR"/>
        </w:rPr>
        <w:tab/>
        <w:t>#  port=5432</w:t>
      </w:r>
    </w:p>
    <w:p w14:paraId="0059DB93"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662471">
        <w:rPr>
          <w:rFonts w:ascii="Courier New" w:hAnsi="Courier New" w:cs="Courier New"/>
          <w:lang w:val="fr-FR"/>
        </w:rPr>
        <w:tab/>
      </w:r>
      <w:r w:rsidRPr="00662471">
        <w:rPr>
          <w:rFonts w:ascii="Courier New" w:hAnsi="Courier New" w:cs="Courier New"/>
          <w:lang w:val="fr-FR"/>
        </w:rPr>
        <w:tab/>
      </w:r>
      <w:r w:rsidRPr="00971C58">
        <w:rPr>
          <w:rFonts w:ascii="Courier New" w:hAnsi="Courier New" w:cs="Courier New"/>
        </w:rPr>
        <w:t xml:space="preserve">#  </w:t>
      </w:r>
      <w:proofErr w:type="spellStart"/>
      <w:r w:rsidRPr="00971C58">
        <w:rPr>
          <w:rFonts w:ascii="Courier New" w:hAnsi="Courier New" w:cs="Courier New"/>
        </w:rPr>
        <w:t>dbname</w:t>
      </w:r>
      <w:proofErr w:type="spellEnd"/>
      <w:r w:rsidRPr="00971C58">
        <w:rPr>
          <w:rFonts w:ascii="Courier New" w:hAnsi="Courier New" w:cs="Courier New"/>
        </w:rPr>
        <w:t>=</w:t>
      </w:r>
      <w:proofErr w:type="spellStart"/>
      <w:r w:rsidRPr="00971C58">
        <w:rPr>
          <w:rFonts w:ascii="Courier New" w:hAnsi="Courier New" w:cs="Courier New"/>
        </w:rPr>
        <w:t>postgres</w:t>
      </w:r>
      <w:proofErr w:type="spellEnd"/>
    </w:p>
    <w:p w14:paraId="1249562B"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  user=postgres</w:t>
      </w:r>
    </w:p>
    <w:p w14:paraId="227B7934"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user=limited</w:t>
      </w:r>
    </w:p>
    <w:p w14:paraId="75E58FF8"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password=plugh</w:t>
      </w:r>
    </w:p>
    <w:p w14:paraId="02D10579"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schema=sandbox</w:t>
      </w:r>
    </w:p>
    <w:p w14:paraId="27CBA77C"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mapping = UseDataBase</w:t>
      </w:r>
    </w:p>
    <w:p w14:paraId="4AE50030" w14:textId="77777777" w:rsidR="005E762F" w:rsidRPr="00971C58" w:rsidRDefault="005E762F" w:rsidP="00971C58">
      <w:pPr>
        <w:pStyle w:val="NoSpacing"/>
        <w:keepNext/>
        <w:shd w:val="clear" w:color="auto" w:fill="D9D9D9" w:themeFill="background1" w:themeFillShade="D9"/>
        <w:ind w:left="1170"/>
        <w:rPr>
          <w:rFonts w:ascii="Courier New" w:hAnsi="Courier New" w:cs="Courier New"/>
        </w:rPr>
      </w:pPr>
      <w:r w:rsidRPr="00971C58">
        <w:rPr>
          <w:rFonts w:ascii="Courier New" w:hAnsi="Courier New" w:cs="Courier New"/>
        </w:rPr>
        <w:tab/>
      </w:r>
      <w:r w:rsidRPr="00971C58">
        <w:rPr>
          <w:rFonts w:ascii="Courier New" w:hAnsi="Courier New" w:cs="Courier New"/>
        </w:rPr>
        <w:tab/>
        <w:t>OFXmapping = OFX_to_Tables</w:t>
      </w:r>
    </w:p>
    <w:p w14:paraId="4E450E7F" w14:textId="77777777" w:rsidR="005E762F" w:rsidRDefault="005E762F" w:rsidP="005E762F">
      <w:r>
        <w:tab/>
      </w:r>
      <w:r>
        <w:tab/>
      </w:r>
    </w:p>
    <w:p w14:paraId="4A4A0EE7" w14:textId="5552A512" w:rsidR="005E762F" w:rsidRDefault="005E762F" w:rsidP="00FD1DF9">
      <w:pPr>
        <w:spacing w:after="0"/>
      </w:pPr>
      <w:r>
        <w:t>See the topic OFXtoDB.ini parameters for more details on any of these.  Run the program from the command line as "OFXtoDB [.</w:t>
      </w:r>
      <w:proofErr w:type="spellStart"/>
      <w:r>
        <w:t>qfx</w:t>
      </w:r>
      <w:proofErr w:type="spellEnd"/>
      <w:r>
        <w:t xml:space="preserve"> file spec]".  Either include the .qfx file on the command line or embed it in the .</w:t>
      </w:r>
      <w:proofErr w:type="spellStart"/>
      <w:r>
        <w:t>ini</w:t>
      </w:r>
      <w:proofErr w:type="spellEnd"/>
      <w:r>
        <w:t xml:space="preserve"> under the </w:t>
      </w:r>
      <w:proofErr w:type="spellStart"/>
      <w:r>
        <w:t>OFXFile</w:t>
      </w:r>
      <w:proofErr w:type="spellEnd"/>
      <w:r>
        <w:t xml:space="preserve"> parameter.  If there's something wrong, such as trying to save an alpha data field into a numeric format, the program will be pretty specific about its error.  Otherwise, the program finishes normally with some data table statistics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170"/>
        <w:gridCol w:w="990"/>
      </w:tblGrid>
      <w:tr w:rsidR="00971C58" w14:paraId="5014AD28" w14:textId="77777777" w:rsidTr="00FD1DF9">
        <w:tc>
          <w:tcPr>
            <w:tcW w:w="2965" w:type="dxa"/>
          </w:tcPr>
          <w:p w14:paraId="1385FA50" w14:textId="6B248FD4" w:rsidR="00971C58" w:rsidRDefault="00971C58" w:rsidP="005E762F"/>
        </w:tc>
        <w:tc>
          <w:tcPr>
            <w:tcW w:w="1170" w:type="dxa"/>
          </w:tcPr>
          <w:p w14:paraId="15E09725" w14:textId="16828414" w:rsidR="00971C58" w:rsidRDefault="00971C58" w:rsidP="00FD1DF9">
            <w:pPr>
              <w:jc w:val="right"/>
            </w:pPr>
            <w:r>
              <w:t>Added</w:t>
            </w:r>
          </w:p>
        </w:tc>
        <w:tc>
          <w:tcPr>
            <w:tcW w:w="990" w:type="dxa"/>
          </w:tcPr>
          <w:p w14:paraId="6413363D" w14:textId="6198CAAD" w:rsidR="00971C58" w:rsidRDefault="00971C58" w:rsidP="00FD1DF9">
            <w:pPr>
              <w:jc w:val="right"/>
            </w:pPr>
            <w:r>
              <w:t>Updated</w:t>
            </w:r>
          </w:p>
        </w:tc>
      </w:tr>
      <w:tr w:rsidR="00971C58" w14:paraId="39CC5246" w14:textId="77777777" w:rsidTr="00FD1DF9">
        <w:tc>
          <w:tcPr>
            <w:tcW w:w="2965" w:type="dxa"/>
          </w:tcPr>
          <w:p w14:paraId="4443C00E" w14:textId="77777777" w:rsidR="00971C58" w:rsidRDefault="00971C58" w:rsidP="005E762F"/>
        </w:tc>
        <w:tc>
          <w:tcPr>
            <w:tcW w:w="1170" w:type="dxa"/>
          </w:tcPr>
          <w:p w14:paraId="762BC1D5" w14:textId="3C21C183" w:rsidR="00971C58" w:rsidRDefault="00971C58" w:rsidP="00FD1DF9">
            <w:pPr>
              <w:jc w:val="right"/>
            </w:pPr>
            <w:r>
              <w:t>New</w:t>
            </w:r>
          </w:p>
        </w:tc>
        <w:tc>
          <w:tcPr>
            <w:tcW w:w="990" w:type="dxa"/>
          </w:tcPr>
          <w:p w14:paraId="07B8060A" w14:textId="1664582A" w:rsidR="00971C58" w:rsidRDefault="00971C58" w:rsidP="00FD1DF9">
            <w:pPr>
              <w:jc w:val="right"/>
            </w:pPr>
            <w:r>
              <w:t>Existing</w:t>
            </w:r>
          </w:p>
        </w:tc>
      </w:tr>
      <w:tr w:rsidR="00971C58" w14:paraId="3C5E275E" w14:textId="77777777" w:rsidTr="00FD1DF9">
        <w:tc>
          <w:tcPr>
            <w:tcW w:w="2965" w:type="dxa"/>
          </w:tcPr>
          <w:p w14:paraId="6E7D1A73" w14:textId="74AEB49E" w:rsidR="00971C58" w:rsidRDefault="00971C58" w:rsidP="005E762F">
            <w:r>
              <w:t xml:space="preserve">Accounts                     </w:t>
            </w:r>
          </w:p>
        </w:tc>
        <w:tc>
          <w:tcPr>
            <w:tcW w:w="1170" w:type="dxa"/>
          </w:tcPr>
          <w:p w14:paraId="506C9182" w14:textId="7025C308" w:rsidR="00971C58" w:rsidRDefault="00971C58" w:rsidP="00FD1DF9">
            <w:pPr>
              <w:jc w:val="right"/>
            </w:pPr>
            <w:r>
              <w:t>0</w:t>
            </w:r>
          </w:p>
        </w:tc>
        <w:tc>
          <w:tcPr>
            <w:tcW w:w="990" w:type="dxa"/>
          </w:tcPr>
          <w:p w14:paraId="7016F912" w14:textId="0B772DAB" w:rsidR="00971C58" w:rsidRDefault="00FD1DF9" w:rsidP="00FD1DF9">
            <w:pPr>
              <w:jc w:val="right"/>
            </w:pPr>
            <w:r>
              <w:t>1</w:t>
            </w:r>
          </w:p>
        </w:tc>
      </w:tr>
      <w:tr w:rsidR="00971C58" w14:paraId="5764B561" w14:textId="77777777" w:rsidTr="00FD1DF9">
        <w:tc>
          <w:tcPr>
            <w:tcW w:w="2965" w:type="dxa"/>
          </w:tcPr>
          <w:p w14:paraId="0319167F" w14:textId="7896AA1F" w:rsidR="00971C58" w:rsidRDefault="00971C58" w:rsidP="005E762F">
            <w:proofErr w:type="spellStart"/>
            <w:r>
              <w:t>Account_Bal_History</w:t>
            </w:r>
            <w:proofErr w:type="spellEnd"/>
          </w:p>
        </w:tc>
        <w:tc>
          <w:tcPr>
            <w:tcW w:w="1170" w:type="dxa"/>
          </w:tcPr>
          <w:p w14:paraId="7480B557" w14:textId="73B7EFF5" w:rsidR="00971C58" w:rsidRDefault="00971C58" w:rsidP="00FD1DF9">
            <w:pPr>
              <w:jc w:val="right"/>
            </w:pPr>
            <w:r>
              <w:t>0</w:t>
            </w:r>
          </w:p>
        </w:tc>
        <w:tc>
          <w:tcPr>
            <w:tcW w:w="990" w:type="dxa"/>
          </w:tcPr>
          <w:p w14:paraId="08B9B516" w14:textId="761FC16D" w:rsidR="00971C58" w:rsidRDefault="00FD1DF9" w:rsidP="00FD1DF9">
            <w:pPr>
              <w:jc w:val="right"/>
            </w:pPr>
            <w:r>
              <w:t>1</w:t>
            </w:r>
          </w:p>
        </w:tc>
      </w:tr>
      <w:tr w:rsidR="00971C58" w14:paraId="3909360E" w14:textId="77777777" w:rsidTr="00FD1DF9">
        <w:tc>
          <w:tcPr>
            <w:tcW w:w="2965" w:type="dxa"/>
          </w:tcPr>
          <w:p w14:paraId="4D8F2068" w14:textId="458474AB" w:rsidR="00971C58" w:rsidRDefault="00971C58" w:rsidP="005E762F">
            <w:proofErr w:type="spellStart"/>
            <w:r>
              <w:t>Bank_Transactions</w:t>
            </w:r>
            <w:proofErr w:type="spellEnd"/>
          </w:p>
        </w:tc>
        <w:tc>
          <w:tcPr>
            <w:tcW w:w="1170" w:type="dxa"/>
          </w:tcPr>
          <w:p w14:paraId="06DB0B47" w14:textId="727D7320" w:rsidR="00971C58" w:rsidRDefault="00971C58" w:rsidP="00FD1DF9">
            <w:pPr>
              <w:jc w:val="right"/>
            </w:pPr>
            <w:r>
              <w:t>0</w:t>
            </w:r>
          </w:p>
        </w:tc>
        <w:tc>
          <w:tcPr>
            <w:tcW w:w="990" w:type="dxa"/>
          </w:tcPr>
          <w:p w14:paraId="1C4C5FF0" w14:textId="669D3AF5" w:rsidR="00971C58" w:rsidRDefault="00FD1DF9" w:rsidP="00FD1DF9">
            <w:pPr>
              <w:jc w:val="right"/>
            </w:pPr>
            <w:r>
              <w:t>144</w:t>
            </w:r>
          </w:p>
        </w:tc>
      </w:tr>
    </w:tbl>
    <w:p w14:paraId="0EC3E2B5" w14:textId="77777777" w:rsidR="005E762F" w:rsidRDefault="005E762F" w:rsidP="005E762F"/>
    <w:p w14:paraId="0BDCFDCB" w14:textId="77777777" w:rsidR="005E762F" w:rsidRDefault="005E762F" w:rsidP="005E762F">
      <w:r>
        <w:t>The most likely problems are misspellings of tag or column names in the mapping, and these will not produce an error.  They simply won't store the data as expected.  So, check your .qfx file carefully.  If you see data that you think you mapped but it's not getting stored in the table, check the mapping table entry for typos.</w:t>
      </w:r>
    </w:p>
    <w:p w14:paraId="1A3DC90A" w14:textId="77777777" w:rsidR="005E762F" w:rsidRDefault="005E762F" w:rsidP="00FD1DF9">
      <w:pPr>
        <w:spacing w:after="0"/>
      </w:pPr>
      <w:r>
        <w:t>Once you are satisfied that the mappings are working, it is time to lock down the permissions for limited.  Log into the postgres superuser id and issue the following DDL commands:</w:t>
      </w:r>
    </w:p>
    <w:p w14:paraId="4F563290"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Revoke CREATE On SCHEMA "sandbox" From limited;</w:t>
      </w:r>
    </w:p>
    <w:p w14:paraId="38DEA56A"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Revoke ALL On ALL TABLES IN SCHEMA "sandbox" From limited;</w:t>
      </w:r>
    </w:p>
    <w:p w14:paraId="507CAAF3"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Grant SELECT, INSERT, UPDATE On ALL TABLES IN SCHEMA "sandbox" to limited;</w:t>
      </w:r>
    </w:p>
    <w:p w14:paraId="59B70524" w14:textId="77777777" w:rsidR="005E762F" w:rsidRPr="00FD1DF9" w:rsidRDefault="005E762F" w:rsidP="00FD1DF9">
      <w:pPr>
        <w:pStyle w:val="NoSpacing"/>
        <w:keepNext/>
        <w:shd w:val="clear" w:color="auto" w:fill="D9D9D9" w:themeFill="background1" w:themeFillShade="D9"/>
        <w:ind w:left="540"/>
        <w:rPr>
          <w:rFonts w:ascii="Courier New" w:hAnsi="Courier New" w:cs="Courier New"/>
        </w:rPr>
      </w:pPr>
      <w:r w:rsidRPr="00FD1DF9">
        <w:rPr>
          <w:rFonts w:ascii="Courier New" w:hAnsi="Courier New" w:cs="Courier New"/>
        </w:rPr>
        <w:tab/>
        <w:t>Grant Delete on table "sandbox"."</w:t>
      </w:r>
      <w:proofErr w:type="spellStart"/>
      <w:r w:rsidRPr="00FD1DF9">
        <w:rPr>
          <w:rFonts w:ascii="Courier New" w:hAnsi="Courier New" w:cs="Courier New"/>
        </w:rPr>
        <w:t>OFX_to_Tables</w:t>
      </w:r>
      <w:proofErr w:type="spellEnd"/>
      <w:r w:rsidRPr="00FD1DF9">
        <w:rPr>
          <w:rFonts w:ascii="Courier New" w:hAnsi="Courier New" w:cs="Courier New"/>
        </w:rPr>
        <w:t>"  to limited;</w:t>
      </w:r>
    </w:p>
    <w:p w14:paraId="7B543CAA" w14:textId="72DB1FD9" w:rsidR="005E762F" w:rsidRPr="005E762F" w:rsidRDefault="005E762F" w:rsidP="00FD1DF9">
      <w:pPr>
        <w:spacing w:before="160"/>
      </w:pPr>
      <w:r>
        <w:t>This last Grant is a convenience to allow full data maintenance on the mapping table itself, but you can omit it and maintain it from a superuser session.</w:t>
      </w:r>
    </w:p>
    <w:sectPr w:rsidR="005E762F" w:rsidRPr="005E762F" w:rsidSect="003E7E98">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sto MT">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5CF9"/>
    <w:multiLevelType w:val="hybridMultilevel"/>
    <w:tmpl w:val="A972F8A0"/>
    <w:lvl w:ilvl="0" w:tplc="9BF8236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18A1074C"/>
    <w:multiLevelType w:val="hybridMultilevel"/>
    <w:tmpl w:val="4EAC7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51D1"/>
    <w:multiLevelType w:val="hybridMultilevel"/>
    <w:tmpl w:val="5EC2A3D8"/>
    <w:lvl w:ilvl="0" w:tplc="71125CEC">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3" w15:restartNumberingAfterBreak="0">
    <w:nsid w:val="21C654F6"/>
    <w:multiLevelType w:val="hybridMultilevel"/>
    <w:tmpl w:val="4552ACF0"/>
    <w:lvl w:ilvl="0" w:tplc="9BF82368">
      <w:start w:val="1"/>
      <w:numFmt w:val="decimal"/>
      <w:lvlText w:val="%1."/>
      <w:lvlJc w:val="left"/>
      <w:pPr>
        <w:ind w:left="630" w:hanging="360"/>
      </w:pPr>
      <w:rPr>
        <w:rFonts w:hint="default"/>
      </w:rPr>
    </w:lvl>
    <w:lvl w:ilvl="1" w:tplc="04090019" w:tentative="1">
      <w:start w:val="1"/>
      <w:numFmt w:val="lowerLetter"/>
      <w:lvlText w:val="%2."/>
      <w:lvlJc w:val="left"/>
      <w:pPr>
        <w:ind w:left="945" w:hanging="360"/>
      </w:pPr>
    </w:lvl>
    <w:lvl w:ilvl="2" w:tplc="0409001B" w:tentative="1">
      <w:start w:val="1"/>
      <w:numFmt w:val="lowerRoman"/>
      <w:lvlText w:val="%3."/>
      <w:lvlJc w:val="right"/>
      <w:pPr>
        <w:ind w:left="1665" w:hanging="180"/>
      </w:pPr>
    </w:lvl>
    <w:lvl w:ilvl="3" w:tplc="0409000F" w:tentative="1">
      <w:start w:val="1"/>
      <w:numFmt w:val="decimal"/>
      <w:lvlText w:val="%4."/>
      <w:lvlJc w:val="left"/>
      <w:pPr>
        <w:ind w:left="2385" w:hanging="360"/>
      </w:pPr>
    </w:lvl>
    <w:lvl w:ilvl="4" w:tplc="04090019" w:tentative="1">
      <w:start w:val="1"/>
      <w:numFmt w:val="lowerLetter"/>
      <w:lvlText w:val="%5."/>
      <w:lvlJc w:val="left"/>
      <w:pPr>
        <w:ind w:left="3105" w:hanging="360"/>
      </w:pPr>
    </w:lvl>
    <w:lvl w:ilvl="5" w:tplc="0409001B" w:tentative="1">
      <w:start w:val="1"/>
      <w:numFmt w:val="lowerRoman"/>
      <w:lvlText w:val="%6."/>
      <w:lvlJc w:val="right"/>
      <w:pPr>
        <w:ind w:left="3825" w:hanging="180"/>
      </w:pPr>
    </w:lvl>
    <w:lvl w:ilvl="6" w:tplc="0409000F" w:tentative="1">
      <w:start w:val="1"/>
      <w:numFmt w:val="decimal"/>
      <w:lvlText w:val="%7."/>
      <w:lvlJc w:val="left"/>
      <w:pPr>
        <w:ind w:left="4545" w:hanging="360"/>
      </w:pPr>
    </w:lvl>
    <w:lvl w:ilvl="7" w:tplc="04090019" w:tentative="1">
      <w:start w:val="1"/>
      <w:numFmt w:val="lowerLetter"/>
      <w:lvlText w:val="%8."/>
      <w:lvlJc w:val="left"/>
      <w:pPr>
        <w:ind w:left="5265" w:hanging="360"/>
      </w:pPr>
    </w:lvl>
    <w:lvl w:ilvl="8" w:tplc="0409001B" w:tentative="1">
      <w:start w:val="1"/>
      <w:numFmt w:val="lowerRoman"/>
      <w:lvlText w:val="%9."/>
      <w:lvlJc w:val="right"/>
      <w:pPr>
        <w:ind w:left="5985" w:hanging="180"/>
      </w:pPr>
    </w:lvl>
  </w:abstractNum>
  <w:abstractNum w:abstractNumId="4" w15:restartNumberingAfterBreak="0">
    <w:nsid w:val="4F1A6013"/>
    <w:multiLevelType w:val="hybridMultilevel"/>
    <w:tmpl w:val="AD8C6678"/>
    <w:lvl w:ilvl="0" w:tplc="AC64294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51FE316B"/>
    <w:multiLevelType w:val="hybridMultilevel"/>
    <w:tmpl w:val="715A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40B75"/>
    <w:multiLevelType w:val="hybridMultilevel"/>
    <w:tmpl w:val="684C9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D87FDB"/>
    <w:multiLevelType w:val="hybridMultilevel"/>
    <w:tmpl w:val="A9E2C8FC"/>
    <w:lvl w:ilvl="0" w:tplc="9BF82368">
      <w:start w:val="1"/>
      <w:numFmt w:val="decimal"/>
      <w:lvlText w:val="%1."/>
      <w:lvlJc w:val="left"/>
      <w:pPr>
        <w:ind w:left="11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EA3133"/>
    <w:multiLevelType w:val="hybridMultilevel"/>
    <w:tmpl w:val="FA2400C8"/>
    <w:lvl w:ilvl="0" w:tplc="1730D82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245262300">
    <w:abstractNumId w:val="5"/>
  </w:num>
  <w:num w:numId="2" w16cid:durableId="1620381510">
    <w:abstractNumId w:val="1"/>
  </w:num>
  <w:num w:numId="3" w16cid:durableId="1549730170">
    <w:abstractNumId w:val="6"/>
  </w:num>
  <w:num w:numId="4" w16cid:durableId="2124030747">
    <w:abstractNumId w:val="8"/>
  </w:num>
  <w:num w:numId="5" w16cid:durableId="1463109421">
    <w:abstractNumId w:val="4"/>
  </w:num>
  <w:num w:numId="6" w16cid:durableId="1049769388">
    <w:abstractNumId w:val="0"/>
  </w:num>
  <w:num w:numId="7" w16cid:durableId="2126534408">
    <w:abstractNumId w:val="3"/>
  </w:num>
  <w:num w:numId="8" w16cid:durableId="2141917490">
    <w:abstractNumId w:val="7"/>
  </w:num>
  <w:num w:numId="9" w16cid:durableId="1456102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98"/>
    <w:rsid w:val="00034DC8"/>
    <w:rsid w:val="00047DBA"/>
    <w:rsid w:val="000767E9"/>
    <w:rsid w:val="0009566C"/>
    <w:rsid w:val="000A0864"/>
    <w:rsid w:val="000F79ED"/>
    <w:rsid w:val="00112389"/>
    <w:rsid w:val="00116038"/>
    <w:rsid w:val="001169CD"/>
    <w:rsid w:val="001365C0"/>
    <w:rsid w:val="001A58EF"/>
    <w:rsid w:val="001E762F"/>
    <w:rsid w:val="002059F4"/>
    <w:rsid w:val="00206F89"/>
    <w:rsid w:val="00235CBD"/>
    <w:rsid w:val="002632BA"/>
    <w:rsid w:val="002811C4"/>
    <w:rsid w:val="002C7AAD"/>
    <w:rsid w:val="00306EF7"/>
    <w:rsid w:val="003429D3"/>
    <w:rsid w:val="0039710E"/>
    <w:rsid w:val="003A3EDD"/>
    <w:rsid w:val="003B2849"/>
    <w:rsid w:val="003D0AAB"/>
    <w:rsid w:val="003E7E98"/>
    <w:rsid w:val="003F5DA9"/>
    <w:rsid w:val="00416A06"/>
    <w:rsid w:val="00443584"/>
    <w:rsid w:val="00451120"/>
    <w:rsid w:val="00474EF4"/>
    <w:rsid w:val="004B0DA6"/>
    <w:rsid w:val="004D150F"/>
    <w:rsid w:val="004F1C05"/>
    <w:rsid w:val="00561AB4"/>
    <w:rsid w:val="00587BD2"/>
    <w:rsid w:val="005A2AB8"/>
    <w:rsid w:val="005B7E4B"/>
    <w:rsid w:val="005E762F"/>
    <w:rsid w:val="00603993"/>
    <w:rsid w:val="00615421"/>
    <w:rsid w:val="00625F49"/>
    <w:rsid w:val="0066230E"/>
    <w:rsid w:val="00662471"/>
    <w:rsid w:val="006B1FA0"/>
    <w:rsid w:val="006F02CC"/>
    <w:rsid w:val="00701849"/>
    <w:rsid w:val="00735439"/>
    <w:rsid w:val="007503E8"/>
    <w:rsid w:val="007508D3"/>
    <w:rsid w:val="0079768A"/>
    <w:rsid w:val="007F4F71"/>
    <w:rsid w:val="00806C24"/>
    <w:rsid w:val="008B7C60"/>
    <w:rsid w:val="008D17F7"/>
    <w:rsid w:val="00911C45"/>
    <w:rsid w:val="00933161"/>
    <w:rsid w:val="00945E23"/>
    <w:rsid w:val="009562DC"/>
    <w:rsid w:val="00961BC2"/>
    <w:rsid w:val="00971C58"/>
    <w:rsid w:val="009D4261"/>
    <w:rsid w:val="009E771B"/>
    <w:rsid w:val="009F3170"/>
    <w:rsid w:val="00A1216C"/>
    <w:rsid w:val="00A309F3"/>
    <w:rsid w:val="00AA3F32"/>
    <w:rsid w:val="00AC6CDF"/>
    <w:rsid w:val="00AE6A96"/>
    <w:rsid w:val="00B06F4C"/>
    <w:rsid w:val="00B14E84"/>
    <w:rsid w:val="00B358C2"/>
    <w:rsid w:val="00B41032"/>
    <w:rsid w:val="00B64386"/>
    <w:rsid w:val="00B72441"/>
    <w:rsid w:val="00B741E9"/>
    <w:rsid w:val="00B827BB"/>
    <w:rsid w:val="00BB6985"/>
    <w:rsid w:val="00BC3B4E"/>
    <w:rsid w:val="00BD1088"/>
    <w:rsid w:val="00BF0BC8"/>
    <w:rsid w:val="00C23318"/>
    <w:rsid w:val="00C87331"/>
    <w:rsid w:val="00CB0358"/>
    <w:rsid w:val="00CC138B"/>
    <w:rsid w:val="00CE735D"/>
    <w:rsid w:val="00CF4485"/>
    <w:rsid w:val="00CF733A"/>
    <w:rsid w:val="00D064A9"/>
    <w:rsid w:val="00D350E3"/>
    <w:rsid w:val="00D8273B"/>
    <w:rsid w:val="00DB3B81"/>
    <w:rsid w:val="00DD0421"/>
    <w:rsid w:val="00DD16C4"/>
    <w:rsid w:val="00E40F36"/>
    <w:rsid w:val="00E557FF"/>
    <w:rsid w:val="00E847EF"/>
    <w:rsid w:val="00EA05B2"/>
    <w:rsid w:val="00EC22B9"/>
    <w:rsid w:val="00EC2D01"/>
    <w:rsid w:val="00EC63EB"/>
    <w:rsid w:val="00EC644C"/>
    <w:rsid w:val="00EC7D70"/>
    <w:rsid w:val="00ED363B"/>
    <w:rsid w:val="00EE1236"/>
    <w:rsid w:val="00F41D75"/>
    <w:rsid w:val="00F4226A"/>
    <w:rsid w:val="00F45E10"/>
    <w:rsid w:val="00F50BC7"/>
    <w:rsid w:val="00FD1DF9"/>
    <w:rsid w:val="00FD5578"/>
    <w:rsid w:val="00FF5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93D4"/>
  <w15:chartTrackingRefBased/>
  <w15:docId w15:val="{F1F0EBAF-9AE6-4D2B-9D70-79DFE906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98"/>
    <w:rPr>
      <w:rFonts w:ascii="Times New Roman" w:hAnsi="Times New Roman"/>
    </w:rPr>
  </w:style>
  <w:style w:type="paragraph" w:styleId="Heading1">
    <w:name w:val="heading 1"/>
    <w:basedOn w:val="Normal"/>
    <w:next w:val="Normal"/>
    <w:link w:val="Heading1Char"/>
    <w:uiPriority w:val="9"/>
    <w:qFormat/>
    <w:rsid w:val="003E7E98"/>
    <w:pPr>
      <w:keepNext/>
      <w:keepLines/>
      <w:spacing w:before="240" w:after="12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416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A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E98"/>
    <w:pPr>
      <w:spacing w:after="0" w:line="240" w:lineRule="auto"/>
      <w:contextualSpacing/>
      <w:jc w:val="center"/>
    </w:pPr>
    <w:rPr>
      <w:rFonts w:asciiTheme="majorHAnsi" w:eastAsiaTheme="majorEastAsia" w:hAnsiTheme="majorHAnsi" w:cstheme="majorBidi"/>
      <w:b/>
      <w:color w:val="4472C4" w:themeColor="accent1"/>
      <w:spacing w:val="-10"/>
      <w:kern w:val="28"/>
      <w:sz w:val="56"/>
      <w:szCs w:val="56"/>
    </w:rPr>
  </w:style>
  <w:style w:type="character" w:customStyle="1" w:styleId="TitleChar">
    <w:name w:val="Title Char"/>
    <w:basedOn w:val="DefaultParagraphFont"/>
    <w:link w:val="Title"/>
    <w:uiPriority w:val="10"/>
    <w:rsid w:val="003E7E98"/>
    <w:rPr>
      <w:rFonts w:asciiTheme="majorHAnsi" w:eastAsiaTheme="majorEastAsia" w:hAnsiTheme="majorHAnsi" w:cstheme="majorBidi"/>
      <w:b/>
      <w:color w:val="4472C4" w:themeColor="accent1"/>
      <w:spacing w:val="-10"/>
      <w:kern w:val="28"/>
      <w:sz w:val="56"/>
      <w:szCs w:val="56"/>
    </w:rPr>
  </w:style>
  <w:style w:type="character" w:customStyle="1" w:styleId="Heading1Char">
    <w:name w:val="Heading 1 Char"/>
    <w:basedOn w:val="DefaultParagraphFont"/>
    <w:link w:val="Heading1"/>
    <w:uiPriority w:val="9"/>
    <w:rsid w:val="003E7E98"/>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416A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A0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E6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1C4"/>
    <w:rPr>
      <w:color w:val="0563C1" w:themeColor="hyperlink"/>
      <w:u w:val="single"/>
    </w:rPr>
  </w:style>
  <w:style w:type="character" w:styleId="UnresolvedMention">
    <w:name w:val="Unresolved Mention"/>
    <w:basedOn w:val="DefaultParagraphFont"/>
    <w:uiPriority w:val="99"/>
    <w:semiHidden/>
    <w:unhideWhenUsed/>
    <w:rsid w:val="002811C4"/>
    <w:rPr>
      <w:color w:val="605E5C"/>
      <w:shd w:val="clear" w:color="auto" w:fill="E1DFDD"/>
    </w:rPr>
  </w:style>
  <w:style w:type="character" w:styleId="FollowedHyperlink">
    <w:name w:val="FollowedHyperlink"/>
    <w:basedOn w:val="DefaultParagraphFont"/>
    <w:uiPriority w:val="99"/>
    <w:semiHidden/>
    <w:unhideWhenUsed/>
    <w:rsid w:val="002811C4"/>
    <w:rPr>
      <w:color w:val="954F72" w:themeColor="followedHyperlink"/>
      <w:u w:val="single"/>
    </w:rPr>
  </w:style>
  <w:style w:type="paragraph" w:styleId="NoSpacing">
    <w:name w:val="No Spacing"/>
    <w:uiPriority w:val="1"/>
    <w:qFormat/>
    <w:rsid w:val="00961BC2"/>
    <w:pPr>
      <w:spacing w:after="0" w:line="240" w:lineRule="auto"/>
    </w:pPr>
    <w:rPr>
      <w:rFonts w:ascii="Times New Roman" w:hAnsi="Times New Roman"/>
    </w:rPr>
  </w:style>
  <w:style w:type="paragraph" w:styleId="ListParagraph">
    <w:name w:val="List Paragraph"/>
    <w:basedOn w:val="Normal"/>
    <w:uiPriority w:val="34"/>
    <w:qFormat/>
    <w:rsid w:val="008B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59954">
      <w:bodyDiv w:val="1"/>
      <w:marLeft w:val="0"/>
      <w:marRight w:val="0"/>
      <w:marTop w:val="0"/>
      <w:marBottom w:val="0"/>
      <w:divBdr>
        <w:top w:val="none" w:sz="0" w:space="0" w:color="auto"/>
        <w:left w:val="none" w:sz="0" w:space="0" w:color="auto"/>
        <w:bottom w:val="none" w:sz="0" w:space="0" w:color="auto"/>
        <w:right w:val="none" w:sz="0" w:space="0" w:color="auto"/>
      </w:divBdr>
      <w:divsChild>
        <w:div w:id="233318653">
          <w:marLeft w:val="0"/>
          <w:marRight w:val="0"/>
          <w:marTop w:val="0"/>
          <w:marBottom w:val="0"/>
          <w:divBdr>
            <w:top w:val="none" w:sz="0" w:space="0" w:color="auto"/>
            <w:left w:val="none" w:sz="0" w:space="0" w:color="auto"/>
            <w:bottom w:val="none" w:sz="0" w:space="0" w:color="auto"/>
            <w:right w:val="none" w:sz="0" w:space="0" w:color="auto"/>
          </w:divBdr>
        </w:div>
      </w:divsChild>
    </w:div>
    <w:div w:id="333147597">
      <w:bodyDiv w:val="1"/>
      <w:marLeft w:val="0"/>
      <w:marRight w:val="0"/>
      <w:marTop w:val="0"/>
      <w:marBottom w:val="0"/>
      <w:divBdr>
        <w:top w:val="none" w:sz="0" w:space="0" w:color="auto"/>
        <w:left w:val="none" w:sz="0" w:space="0" w:color="auto"/>
        <w:bottom w:val="none" w:sz="0" w:space="0" w:color="auto"/>
        <w:right w:val="none" w:sz="0" w:space="0" w:color="auto"/>
      </w:divBdr>
      <w:divsChild>
        <w:div w:id="1549805548">
          <w:marLeft w:val="0"/>
          <w:marRight w:val="0"/>
          <w:marTop w:val="0"/>
          <w:marBottom w:val="0"/>
          <w:divBdr>
            <w:top w:val="none" w:sz="0" w:space="0" w:color="auto"/>
            <w:left w:val="none" w:sz="0" w:space="0" w:color="auto"/>
            <w:bottom w:val="none" w:sz="0" w:space="0" w:color="auto"/>
            <w:right w:val="none" w:sz="0" w:space="0" w:color="auto"/>
          </w:divBdr>
        </w:div>
      </w:divsChild>
    </w:div>
    <w:div w:id="7402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financialdataexchange.org/common/Uploaded%20files/OFX%20files/OFX%20Banking%20Specification%20v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xml.etree.elementtree.html" TargetMode="External"/><Relationship Id="rId11" Type="http://schemas.openxmlformats.org/officeDocument/2006/relationships/theme" Target="theme/theme1.xml"/><Relationship Id="rId5" Type="http://schemas.openxmlformats.org/officeDocument/2006/relationships/hyperlink" Target="https://financialdataexchange.org/common/Uploaded%20files/OFX%20files/OFX%20Banking%20Specification%20v2.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PowerPoint_Slide.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9022</TotalTime>
  <Pages>11</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Maurer</dc:creator>
  <cp:keywords/>
  <dc:description/>
  <cp:lastModifiedBy>Christopher Maurer</cp:lastModifiedBy>
  <cp:revision>28</cp:revision>
  <dcterms:created xsi:type="dcterms:W3CDTF">2023-09-24T01:51:00Z</dcterms:created>
  <dcterms:modified xsi:type="dcterms:W3CDTF">2023-10-02T00:54:00Z</dcterms:modified>
</cp:coreProperties>
</file>