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Compêndio do Futhark Antigo</w:t>
      </w:r>
    </w:p>
    <w:p>
      <w:pPr>
        <w:pStyle w:val="Subttulo"/>
      </w:pPr>
      <w:r>
        <w:t xml:space="preserve">Das Origens Cósmicas à Práxis Oracular e Mágica</w:t>
      </w:r>
    </w:p>
    <w:p>
      <w:pPr>
        <w:pStyle w:val="Author"/>
      </w:pPr>
      <w:r>
        <w:t xml:space="preserve">Christopher Nicolas Santa Maria Mauricio</w:t>
      </w:r>
    </w:p>
    <w:p>
      <w:pPr>
        <w:pStyle w:val="Data"/>
      </w:pP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umário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Sumário</w:t>
      </w:r>
    </w:p>
    <w:bookmarkStart w:id="9" w:name="prefacio"/>
    <w:p>
      <w:pPr>
        <w:pStyle w:val="Ttulo3"/>
      </w:pPr>
      <w:r>
        <w:rPr>
          <w:rStyle w:val="SectionNumber"/>
        </w:rPr>
        <w:t xml:space="preserve">0.1.1</w:t>
      </w:r>
      <w:r>
        <w:tab/>
      </w:r>
      <w:r>
        <w:t xml:space="preserve">Prefacio</w:t>
      </w:r>
    </w:p>
    <w:bookmarkEnd w:id="9"/>
    <w:bookmarkStart w:id="11" w:name="prólogo"/>
    <w:p>
      <w:pPr>
        <w:pStyle w:val="Ttulo3"/>
      </w:pPr>
      <w:r>
        <w:rPr>
          <w:rStyle w:val="SectionNumber"/>
        </w:rPr>
        <w:t xml:space="preserve">0.1.2</w:t>
      </w:r>
      <w:r>
        <w:tab/>
      </w:r>
      <w:r>
        <w:t xml:space="preserve">Prólogo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 Mundo que Forjou as Runas</w:t>
        </w:r>
      </w:hyperlink>
    </w:p>
    <w:p>
      <w:pPr>
        <w:pStyle w:val="Compact"/>
        <w:numPr>
          <w:ilvl w:val="1"/>
          <w:numId w:val="1002"/>
        </w:numPr>
      </w:pPr>
      <w:r>
        <w:t xml:space="preserve">As Terras do Norte e o Espírito Nórdico</w:t>
      </w:r>
    </w:p>
    <w:p>
      <w:pPr>
        <w:pStyle w:val="Compact"/>
        <w:numPr>
          <w:ilvl w:val="1"/>
          <w:numId w:val="1002"/>
        </w:numPr>
      </w:pPr>
      <w:r>
        <w:t xml:space="preserve">Quem Eram os Nórdicos?</w:t>
      </w:r>
    </w:p>
    <w:p>
      <w:pPr>
        <w:pStyle w:val="Compact"/>
        <w:numPr>
          <w:ilvl w:val="1"/>
          <w:numId w:val="1002"/>
        </w:numPr>
      </w:pPr>
      <w:r>
        <w:t xml:space="preserve">Os Pilares da Tradição: Eddas e Sagas</w:t>
      </w:r>
    </w:p>
    <w:p>
      <w:pPr>
        <w:pStyle w:val="Compact"/>
        <w:numPr>
          <w:ilvl w:val="1"/>
          <w:numId w:val="1002"/>
        </w:numPr>
      </w:pPr>
      <w:r>
        <w:t xml:space="preserve">As Runas no Contexto Deste Mundo</w:t>
      </w:r>
    </w:p>
    <w:bookmarkEnd w:id="11"/>
    <w:bookmarkStart w:id="13" w:name="X66714130fff2e7b05f18b821fe1bc7924ede377"/>
    <w:p>
      <w:pPr>
        <w:pStyle w:val="Ttulo3"/>
      </w:pPr>
      <w:r>
        <w:rPr>
          <w:rStyle w:val="SectionNumber"/>
        </w:rPr>
        <w:t xml:space="preserve">0.1.3</w:t>
      </w:r>
      <w:r>
        <w:tab/>
      </w:r>
      <w:r>
        <w:t xml:space="preserve">Parte I: Os Fundamentos Cósmicos e Iniciáticos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Capítulo 1: O Segredo do Cosmos: Da Gênese ao Domínio da Força Rúnica</w:t>
        </w:r>
      </w:hyperlink>
    </w:p>
    <w:p>
      <w:pPr>
        <w:pStyle w:val="Compact"/>
        <w:numPr>
          <w:ilvl w:val="1"/>
          <w:numId w:val="1004"/>
        </w:numPr>
      </w:pPr>
      <w:r>
        <w:t xml:space="preserve">1.1 Introdução: O Futhark Antigo como Anatomia do Real</w:t>
      </w:r>
    </w:p>
    <w:p>
      <w:pPr>
        <w:pStyle w:val="Compact"/>
        <w:numPr>
          <w:ilvl w:val="1"/>
          <w:numId w:val="1004"/>
        </w:numPr>
      </w:pPr>
      <w:r>
        <w:t xml:space="preserve">1.2 Cosmogonia Nórdica: O Caos Criativo e o Som Fundador</w:t>
      </w:r>
    </w:p>
    <w:p>
      <w:pPr>
        <w:pStyle w:val="Compact"/>
        <w:numPr>
          <w:ilvl w:val="1"/>
          <w:numId w:val="1004"/>
        </w:numPr>
      </w:pPr>
      <w:r>
        <w:t xml:space="preserve">1.3 O Galdr Primordial e a Ordenação do Cosmos</w:t>
      </w:r>
    </w:p>
    <w:p>
      <w:pPr>
        <w:pStyle w:val="Compact"/>
        <w:numPr>
          <w:ilvl w:val="1"/>
          <w:numId w:val="1004"/>
        </w:numPr>
      </w:pPr>
      <w:r>
        <w:t xml:space="preserve">1.4 O Arquétipo da Iniciação: A Auto-Imolação de Óðinn</w:t>
      </w:r>
    </w:p>
    <w:p>
      <w:pPr>
        <w:pStyle w:val="Compact"/>
        <w:numPr>
          <w:ilvl w:val="1"/>
          <w:numId w:val="1004"/>
        </w:numPr>
      </w:pPr>
      <w:r>
        <w:t xml:space="preserve">1.5 Hávamál 144: A Técnica da Teurgia – As Oito Proficiências</w:t>
      </w:r>
    </w:p>
    <w:p>
      <w:pPr>
        <w:pStyle w:val="Compact"/>
        <w:numPr>
          <w:ilvl w:val="1"/>
          <w:numId w:val="1004"/>
        </w:numPr>
      </w:pPr>
      <w:r>
        <w:t xml:space="preserve">1.6 Da Teoria à Práxis: Forjando o Vínculo – A Criação do Conjunto Rúnico</w:t>
      </w:r>
    </w:p>
    <w:bookmarkEnd w:id="13"/>
    <w:bookmarkStart w:id="17" w:name="Xafc306e835e870eb6fda78033079431325971bb"/>
    <w:p>
      <w:pPr>
        <w:pStyle w:val="Ttulo3"/>
      </w:pPr>
      <w:r>
        <w:rPr>
          <w:rStyle w:val="SectionNumber"/>
        </w:rPr>
        <w:t xml:space="preserve">0.1.4</w:t>
      </w:r>
      <w:r>
        <w:tab/>
      </w:r>
      <w:r>
        <w:t xml:space="preserve">Parte II: O Futhark Antigo: As 24 Forças Arquetípicas</w:t>
      </w:r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Capítulo 2: O Primeiro Ætt de Freyr e Freyja – O Ciclo da Vida Manifesta</w:t>
        </w:r>
      </w:hyperlink>
    </w:p>
    <w:p>
      <w:pPr>
        <w:pStyle w:val="Compact"/>
        <w:numPr>
          <w:ilvl w:val="1"/>
          <w:numId w:val="1006"/>
        </w:numPr>
      </w:pPr>
      <w:r>
        <w:t xml:space="preserve">2.1 A Estrutura Tripartida: Os Três Pilares do Cosmos Rúnico</w:t>
      </w:r>
    </w:p>
    <w:p>
      <w:pPr>
        <w:pStyle w:val="Compact"/>
        <w:numPr>
          <w:ilvl w:val="1"/>
          <w:numId w:val="1006"/>
        </w:numPr>
      </w:pPr>
      <w:r>
        <w:t xml:space="preserve">2.2 Os Regentes Vanir: Freyr e Freyja – Os Senhores da Fertilidade e da Fecundidade</w:t>
      </w:r>
    </w:p>
    <w:p>
      <w:pPr>
        <w:pStyle w:val="Compact"/>
        <w:numPr>
          <w:ilvl w:val="1"/>
          <w:numId w:val="1006"/>
        </w:numPr>
      </w:pPr>
      <w:r>
        <w:t xml:space="preserve">2.3 ᚠ</w:t>
      </w:r>
      <w:r>
        <w:t xml:space="preserve"> </w:t>
      </w:r>
      <w:r>
        <w:rPr>
          <w:b/>
          <w:bCs/>
        </w:rPr>
        <w:t xml:space="preserve">Fehu</w:t>
      </w:r>
      <w:r>
        <w:t xml:space="preserve">: O Gado, o Fogo do Mar e a Ética do Fluxo</w:t>
      </w:r>
    </w:p>
    <w:p>
      <w:pPr>
        <w:pStyle w:val="Compact"/>
        <w:numPr>
          <w:ilvl w:val="1"/>
          <w:numId w:val="1006"/>
        </w:numPr>
      </w:pPr>
      <w:r>
        <w:t xml:space="preserve">2.4 ᚢ</w:t>
      </w:r>
      <w:r>
        <w:t xml:space="preserve"> </w:t>
      </w:r>
      <w:r>
        <w:rPr>
          <w:b/>
          <w:bCs/>
        </w:rPr>
        <w:t xml:space="preserve">Uruz</w:t>
      </w:r>
      <w:r>
        <w:t xml:space="preserve">: O Auroque, a Força Ancestral e a Saúde da Terra</w:t>
      </w:r>
    </w:p>
    <w:p>
      <w:pPr>
        <w:pStyle w:val="Compact"/>
        <w:numPr>
          <w:ilvl w:val="1"/>
          <w:numId w:val="1006"/>
        </w:numPr>
      </w:pPr>
      <w:r>
        <w:t xml:space="preserve">2.5 ᚦ</w:t>
      </w:r>
      <w:r>
        <w:t xml:space="preserve"> </w:t>
      </w:r>
      <w:r>
        <w:rPr>
          <w:b/>
          <w:bCs/>
        </w:rPr>
        <w:t xml:space="preserve">Thurisaz</w:t>
      </w:r>
      <w:r>
        <w:t xml:space="preserve">: O Gigante, o Espinho e a Força do Limiar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(As runas Ansuz, Raidho, Kenaz, Gebo e Wunjo serão desenvolvidas em versões futuras)</w:t>
      </w:r>
    </w:p>
    <w:p>
      <w:pPr>
        <w:pStyle w:val="Compact"/>
        <w:numPr>
          <w:ilvl w:val="1"/>
          <w:numId w:val="1006"/>
        </w:numPr>
      </w:pPr>
      <w:r>
        <w:t xml:space="preserve">2.10 Síntese do Primeiro Ætt: A Espiral da Manifestação Vital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Capítulo 3: O Segundo Ætt de Heimdallr – A Ordem do Tempo e do Destino</w:t>
        </w:r>
      </w:hyperlink>
    </w:p>
    <w:p>
      <w:pPr>
        <w:pStyle w:val="Compact"/>
        <w:numPr>
          <w:ilvl w:val="1"/>
          <w:numId w:val="1007"/>
        </w:numPr>
      </w:pPr>
      <w:r>
        <w:t xml:space="preserve">3.1 A Transição Cósmica: Do Mundo Manifesto ao Mundo da Lei</w:t>
      </w:r>
    </w:p>
    <w:p>
      <w:pPr>
        <w:pStyle w:val="Compact"/>
        <w:numPr>
          <w:ilvl w:val="1"/>
          <w:numId w:val="1007"/>
        </w:numPr>
      </w:pPr>
      <w:r>
        <w:t xml:space="preserve">3.2 O Regente Vigilante: Heimdallr, Aquele que Vê e Ouve</w:t>
      </w:r>
    </w:p>
    <w:p>
      <w:pPr>
        <w:pStyle w:val="Compact"/>
        <w:numPr>
          <w:ilvl w:val="1"/>
          <w:numId w:val="1007"/>
        </w:numPr>
      </w:pPr>
      <w:r>
        <w:t xml:space="preserve">3.3 ᚺ</w:t>
      </w:r>
      <w:r>
        <w:t xml:space="preserve"> </w:t>
      </w:r>
      <w:r>
        <w:rPr>
          <w:b/>
          <w:bCs/>
        </w:rPr>
        <w:t xml:space="preserve">Hagalaz</w:t>
      </w:r>
      <w:r>
        <w:t xml:space="preserve">: A Semente de Gelo e a Estrutura do Caos</w:t>
      </w:r>
    </w:p>
    <w:p>
      <w:pPr>
        <w:pStyle w:val="Compact"/>
        <w:numPr>
          <w:ilvl w:val="1"/>
          <w:numId w:val="1007"/>
        </w:numPr>
      </w:pPr>
      <w:r>
        <w:t xml:space="preserve">3.4 ᚾ</w:t>
      </w:r>
      <w:r>
        <w:t xml:space="preserve"> </w:t>
      </w:r>
      <w:r>
        <w:rPr>
          <w:b/>
          <w:bCs/>
        </w:rPr>
        <w:t xml:space="preserve">Nauthiz</w:t>
      </w:r>
      <w:r>
        <w:t xml:space="preserve">: O Atrito do Wyrd e o Fogo da Vontade</w:t>
      </w:r>
    </w:p>
    <w:p>
      <w:pPr>
        <w:pStyle w:val="Compact"/>
        <w:numPr>
          <w:ilvl w:val="1"/>
          <w:numId w:val="1007"/>
        </w:numPr>
      </w:pPr>
      <w:r>
        <w:t xml:space="preserve">3.5 ᛁ</w:t>
      </w:r>
      <w:r>
        <w:t xml:space="preserve"> </w:t>
      </w:r>
      <w:r>
        <w:rPr>
          <w:b/>
          <w:bCs/>
        </w:rPr>
        <w:t xml:space="preserve">Isa</w:t>
      </w:r>
      <w:r>
        <w:t xml:space="preserve">: O Silêncio do Gelo e a Pausa Cósmica</w:t>
      </w:r>
    </w:p>
    <w:p>
      <w:pPr>
        <w:pStyle w:val="Compact"/>
        <w:numPr>
          <w:ilvl w:val="1"/>
          <w:numId w:val="1007"/>
        </w:numPr>
      </w:pPr>
      <w:r>
        <w:t xml:space="preserve">3.6 ᛃ</w:t>
      </w:r>
      <w:r>
        <w:t xml:space="preserve"> </w:t>
      </w:r>
      <w:r>
        <w:rPr>
          <w:b/>
          <w:bCs/>
        </w:rPr>
        <w:t xml:space="preserve">Jera</w:t>
      </w:r>
      <w:r>
        <w:t xml:space="preserve">: O Ano que Gira e a Lei da Colheita</w:t>
      </w:r>
    </w:p>
    <w:p>
      <w:pPr>
        <w:pStyle w:val="Compact"/>
        <w:numPr>
          <w:ilvl w:val="1"/>
          <w:numId w:val="1007"/>
        </w:numPr>
      </w:pPr>
      <w:r>
        <w:t xml:space="preserve">3.7 ᛇ</w:t>
      </w:r>
      <w:r>
        <w:t xml:space="preserve"> </w:t>
      </w:r>
      <w:r>
        <w:rPr>
          <w:b/>
          <w:bCs/>
        </w:rPr>
        <w:t xml:space="preserve">Eihwaz</w:t>
      </w:r>
      <w:r>
        <w:t xml:space="preserve">: O Eixo do Mundo, o Teixo e a Ponte dos Mortos</w:t>
      </w:r>
    </w:p>
    <w:p>
      <w:pPr>
        <w:pStyle w:val="Compact"/>
        <w:numPr>
          <w:ilvl w:val="1"/>
          <w:numId w:val="1007"/>
        </w:numPr>
      </w:pPr>
      <w:r>
        <w:t xml:space="preserve">3.8 ᛈ</w:t>
      </w:r>
      <w:r>
        <w:t xml:space="preserve"> </w:t>
      </w:r>
      <w:r>
        <w:rPr>
          <w:b/>
          <w:bCs/>
        </w:rPr>
        <w:t xml:space="preserve">Perthro</w:t>
      </w:r>
      <w:r>
        <w:t xml:space="preserve">: O Poço do Destino e o Lançar dos Dados</w:t>
      </w:r>
    </w:p>
    <w:p>
      <w:pPr>
        <w:pStyle w:val="Compact"/>
        <w:numPr>
          <w:ilvl w:val="1"/>
          <w:numId w:val="1007"/>
        </w:numPr>
      </w:pPr>
      <w:r>
        <w:t xml:space="preserve">3.9 ᛉ</w:t>
      </w:r>
      <w:r>
        <w:t xml:space="preserve"> </w:t>
      </w:r>
      <w:r>
        <w:rPr>
          <w:b/>
          <w:bCs/>
        </w:rPr>
        <w:t xml:space="preserve">Algiz</w:t>
      </w:r>
      <w:r>
        <w:t xml:space="preserve">: A Mão do Deus e a Defesa do Limiar</w:t>
      </w:r>
    </w:p>
    <w:p>
      <w:pPr>
        <w:pStyle w:val="Compact"/>
        <w:numPr>
          <w:ilvl w:val="1"/>
          <w:numId w:val="1007"/>
        </w:numPr>
      </w:pPr>
      <w:r>
        <w:t xml:space="preserve">3.10 ᛋ</w:t>
      </w:r>
      <w:r>
        <w:t xml:space="preserve"> </w:t>
      </w:r>
      <w:r>
        <w:rPr>
          <w:b/>
          <w:bCs/>
        </w:rPr>
        <w:t xml:space="preserve">Sowilo</w:t>
      </w:r>
      <w:r>
        <w:t xml:space="preserve">: A Roda Solar e a Vitória da Totalidade</w:t>
      </w:r>
    </w:p>
    <w:p>
      <w:pPr>
        <w:pStyle w:val="Compact"/>
        <w:numPr>
          <w:ilvl w:val="1"/>
          <w:numId w:val="1007"/>
        </w:numPr>
      </w:pPr>
      <w:r>
        <w:t xml:space="preserve">3.11 Síntese do Segundo Ætt: A Iniciação na Ordem do Cosmos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Capítulo 4: O Terceiro Ætt de Týr – A Soberania do Espírito e o Legado Eterno</w:t>
        </w:r>
      </w:hyperlink>
    </w:p>
    <w:p>
      <w:pPr>
        <w:pStyle w:val="Compact"/>
        <w:numPr>
          <w:ilvl w:val="1"/>
          <w:numId w:val="1008"/>
        </w:numPr>
      </w:pPr>
      <w:r>
        <w:t xml:space="preserve">4.0 O Ápice da Jornada: Da Matéria ao Espírito, do Eu ao Cosmos</w:t>
      </w:r>
    </w:p>
    <w:p>
      <w:pPr>
        <w:pStyle w:val="Compact"/>
        <w:numPr>
          <w:ilvl w:val="1"/>
          <w:numId w:val="1008"/>
        </w:numPr>
      </w:pPr>
      <w:r>
        <w:t xml:space="preserve">4.1 O Arquétipo do Sacrifício Soberano: Týr, a Mão que Garante a Ordem</w:t>
      </w:r>
    </w:p>
    <w:p>
      <w:pPr>
        <w:pStyle w:val="Compact"/>
        <w:numPr>
          <w:ilvl w:val="1"/>
          <w:numId w:val="1008"/>
        </w:numPr>
      </w:pPr>
      <w:r>
        <w:t xml:space="preserve">4.2 ᛏ</w:t>
      </w:r>
      <w:r>
        <w:t xml:space="preserve"> </w:t>
      </w:r>
      <w:r>
        <w:rPr>
          <w:b/>
          <w:bCs/>
        </w:rPr>
        <w:t xml:space="preserve">Tiwaz</w:t>
      </w:r>
      <w:r>
        <w:t xml:space="preserve">: A Lança da Justiça e o Fogo do Dever</w:t>
      </w:r>
    </w:p>
    <w:p>
      <w:pPr>
        <w:pStyle w:val="Compact"/>
        <w:numPr>
          <w:ilvl w:val="1"/>
          <w:numId w:val="1008"/>
        </w:numPr>
      </w:pPr>
      <w:r>
        <w:t xml:space="preserve">4.3 ᛒ</w:t>
      </w:r>
      <w:r>
        <w:t xml:space="preserve"> </w:t>
      </w:r>
      <w:r>
        <w:rPr>
          <w:b/>
          <w:bCs/>
        </w:rPr>
        <w:t xml:space="preserve">Berkana</w:t>
      </w:r>
      <w:r>
        <w:t xml:space="preserve">: A Bétula, o Ventre do Mundo e a Força que Nutre</w:t>
      </w:r>
    </w:p>
    <w:p>
      <w:pPr>
        <w:pStyle w:val="Compact"/>
        <w:numPr>
          <w:ilvl w:val="1"/>
          <w:numId w:val="1008"/>
        </w:numPr>
      </w:pPr>
      <w:r>
        <w:t xml:space="preserve">4.4 ᛖ</w:t>
      </w:r>
      <w:r>
        <w:t xml:space="preserve"> </w:t>
      </w:r>
      <w:r>
        <w:rPr>
          <w:b/>
          <w:bCs/>
        </w:rPr>
        <w:t xml:space="preserve">Ehwaz</w:t>
      </w:r>
      <w:r>
        <w:t xml:space="preserve">: A Parceria, o Cavalo e a Jornada Compartilhada</w:t>
      </w:r>
    </w:p>
    <w:p>
      <w:pPr>
        <w:pStyle w:val="Compact"/>
        <w:numPr>
          <w:ilvl w:val="1"/>
          <w:numId w:val="1008"/>
        </w:numPr>
      </w:pPr>
      <w:r>
        <w:t xml:space="preserve">4.5 ᛗ</w:t>
      </w:r>
      <w:r>
        <w:t xml:space="preserve"> </w:t>
      </w:r>
      <w:r>
        <w:rPr>
          <w:b/>
          <w:bCs/>
        </w:rPr>
        <w:t xml:space="preserve">Mannaz</w:t>
      </w:r>
      <w:r>
        <w:t xml:space="preserve">: A Humanidade, o Espelho e a Teia Social</w:t>
      </w:r>
    </w:p>
    <w:p>
      <w:pPr>
        <w:pStyle w:val="Compact"/>
        <w:numPr>
          <w:ilvl w:val="1"/>
          <w:numId w:val="1008"/>
        </w:numPr>
      </w:pPr>
      <w:r>
        <w:t xml:space="preserve">4.6 ᛚ</w:t>
      </w:r>
      <w:r>
        <w:t xml:space="preserve"> </w:t>
      </w:r>
      <w:r>
        <w:rPr>
          <w:b/>
          <w:bCs/>
        </w:rPr>
        <w:t xml:space="preserve">Laguz</w:t>
      </w:r>
      <w:r>
        <w:t xml:space="preserve">: O Fluxo da Vida, a Intuição e o Poço do Inconsciente</w:t>
      </w:r>
    </w:p>
    <w:p>
      <w:pPr>
        <w:pStyle w:val="Compact"/>
        <w:numPr>
          <w:ilvl w:val="1"/>
          <w:numId w:val="1008"/>
        </w:numPr>
      </w:pPr>
      <w:r>
        <w:t xml:space="preserve">4.7 ᛜ</w:t>
      </w:r>
      <w:r>
        <w:t xml:space="preserve"> </w:t>
      </w:r>
      <w:r>
        <w:rPr>
          <w:b/>
          <w:bCs/>
        </w:rPr>
        <w:t xml:space="preserve">Ingwaz</w:t>
      </w:r>
      <w:r>
        <w:t xml:space="preserve">: O Deus Ing, a Semente e a Conclusão Fértil</w:t>
      </w:r>
    </w:p>
    <w:p>
      <w:pPr>
        <w:pStyle w:val="Compact"/>
        <w:numPr>
          <w:ilvl w:val="1"/>
          <w:numId w:val="1008"/>
        </w:numPr>
      </w:pPr>
      <w:r>
        <w:t xml:space="preserve">4.8 ᛟ</w:t>
      </w:r>
      <w:r>
        <w:t xml:space="preserve"> </w:t>
      </w:r>
      <w:r>
        <w:rPr>
          <w:b/>
          <w:bCs/>
        </w:rPr>
        <w:t xml:space="preserve">Othala</w:t>
      </w:r>
      <w:r>
        <w:t xml:space="preserve">: A Herança, o Lar Ancestral e o Círculo Sagrado</w:t>
      </w:r>
    </w:p>
    <w:p>
      <w:pPr>
        <w:pStyle w:val="Compact"/>
        <w:numPr>
          <w:ilvl w:val="1"/>
          <w:numId w:val="1008"/>
        </w:numPr>
      </w:pPr>
      <w:r>
        <w:t xml:space="preserve">4.9 ᛞ</w:t>
      </w:r>
      <w:r>
        <w:t xml:space="preserve"> </w:t>
      </w:r>
      <w:r>
        <w:rPr>
          <w:b/>
          <w:bCs/>
        </w:rPr>
        <w:t xml:space="preserve">Dagaz</w:t>
      </w:r>
      <w:r>
        <w:t xml:space="preserve">: O Amanhecer, a Transformação Radical e a Totalidade</w:t>
      </w:r>
    </w:p>
    <w:p>
      <w:pPr>
        <w:pStyle w:val="Compact"/>
        <w:numPr>
          <w:ilvl w:val="1"/>
          <w:numId w:val="1008"/>
        </w:numPr>
      </w:pPr>
      <w:r>
        <w:t xml:space="preserve">4.10 Síntese do Terceiro Ætt: A Ascensão Ética e a Iluminação Final</w:t>
      </w:r>
    </w:p>
    <w:bookmarkEnd w:id="17"/>
    <w:bookmarkStart w:id="22" w:name="X79aa55fd1fe70da54cfead879dfc38e6010952a"/>
    <w:p>
      <w:pPr>
        <w:pStyle w:val="Ttulo3"/>
      </w:pPr>
      <w:r>
        <w:rPr>
          <w:rStyle w:val="SectionNumber"/>
        </w:rPr>
        <w:t xml:space="preserve">0.1.5</w:t>
      </w:r>
      <w:r>
        <w:tab/>
      </w:r>
      <w:r>
        <w:t xml:space="preserve">Parte III: A Prática Integrada: Magia, Oráculo e Ética</w:t>
      </w:r>
    </w:p>
    <w:p>
      <w:pPr>
        <w:pStyle w:val="Compact"/>
        <w:numPr>
          <w:ilvl w:val="0"/>
          <w:numId w:val="1009"/>
        </w:numPr>
      </w:pPr>
      <w:hyperlink r:id="rId18">
        <w:r>
          <w:rPr>
            <w:rStyle w:val="Hyperlink"/>
          </w:rPr>
          <w:t xml:space="preserve">Capítulo 5: O Galdr – A Arquitetura do Som Primordial e a Vibroturgia do Destino</w:t>
        </w:r>
      </w:hyperlink>
    </w:p>
    <w:p>
      <w:pPr>
        <w:pStyle w:val="Compact"/>
        <w:numPr>
          <w:ilvl w:val="1"/>
          <w:numId w:val="1010"/>
        </w:numPr>
      </w:pPr>
      <w:r>
        <w:t xml:space="preserve">5.1 Do Caos ao Cosmos: A Gênese Vibracional e o Primeiro Galdr</w:t>
      </w:r>
    </w:p>
    <w:p>
      <w:pPr>
        <w:pStyle w:val="Compact"/>
        <w:numPr>
          <w:ilvl w:val="1"/>
          <w:numId w:val="1010"/>
        </w:numPr>
      </w:pPr>
      <w:r>
        <w:t xml:space="preserve">5.2 Vibroturgia: A Engenharia da Teia do Wyrd</w:t>
      </w:r>
    </w:p>
    <w:p>
      <w:pPr>
        <w:pStyle w:val="Compact"/>
        <w:numPr>
          <w:ilvl w:val="1"/>
          <w:numId w:val="1010"/>
        </w:numPr>
      </w:pPr>
      <w:r>
        <w:t xml:space="preserve">5.3 Evidência Histórica: Os Manuscritos como Manuais Técnicos</w:t>
      </w:r>
    </w:p>
    <w:p>
      <w:pPr>
        <w:pStyle w:val="Compact"/>
        <w:numPr>
          <w:ilvl w:val="1"/>
          <w:numId w:val="1010"/>
        </w:numPr>
      </w:pPr>
      <w:r>
        <w:t xml:space="preserve">5.4 O Protocolo Galdr: Anatomia de um Pacote de Energia Mágica (P.E.M.)</w:t>
      </w:r>
    </w:p>
    <w:p>
      <w:pPr>
        <w:pStyle w:val="Compact"/>
        <w:numPr>
          <w:ilvl w:val="1"/>
          <w:numId w:val="1010"/>
        </w:numPr>
      </w:pPr>
      <w:r>
        <w:t xml:space="preserve">5.5 Práxis Vibrotúrgica: O Ciclo de Execução do Galdr</w:t>
      </w:r>
    </w:p>
    <w:p>
      <w:pPr>
        <w:pStyle w:val="Compact"/>
        <w:numPr>
          <w:ilvl w:val="1"/>
          <w:numId w:val="1010"/>
        </w:numPr>
      </w:pPr>
      <w:r>
        <w:t xml:space="preserve">5.6 Otimização do Sinal: Os Fatores Críticos de Eficácia</w:t>
      </w:r>
    </w:p>
    <w:p>
      <w:pPr>
        <w:pStyle w:val="Compact"/>
        <w:numPr>
          <w:ilvl w:val="0"/>
          <w:numId w:val="1009"/>
        </w:numPr>
      </w:pPr>
      <w:hyperlink r:id="rId19">
        <w:r>
          <w:rPr>
            <w:rStyle w:val="Hyperlink"/>
          </w:rPr>
          <w:t xml:space="preserve">Capítulo 6: As Bindrunes – A Sinergia Geométrica e a Arquitetura do Destino</w:t>
        </w:r>
      </w:hyperlink>
    </w:p>
    <w:p>
      <w:pPr>
        <w:pStyle w:val="Compact"/>
        <w:numPr>
          <w:ilvl w:val="1"/>
          <w:numId w:val="1011"/>
        </w:numPr>
      </w:pPr>
      <w:r>
        <w:t xml:space="preserve">6.1 Da Letra à Fórmula: A Alquimia dos Símbolos</w:t>
      </w:r>
    </w:p>
    <w:p>
      <w:pPr>
        <w:pStyle w:val="Compact"/>
        <w:numPr>
          <w:ilvl w:val="1"/>
          <w:numId w:val="1011"/>
        </w:numPr>
      </w:pPr>
      <w:r>
        <w:t xml:space="preserve">6.2 A Engenharia do Símbolo: Metodologia em Cinco Fases</w:t>
      </w:r>
    </w:p>
    <w:p>
      <w:pPr>
        <w:pStyle w:val="Compact"/>
        <w:numPr>
          <w:ilvl w:val="1"/>
          <w:numId w:val="1011"/>
        </w:numPr>
      </w:pPr>
      <w:r>
        <w:t xml:space="preserve">6.3 Casos de Estudo: Anatomia de Fórmulas Práticas</w:t>
      </w:r>
    </w:p>
    <w:p>
      <w:pPr>
        <w:pStyle w:val="Compact"/>
        <w:numPr>
          <w:ilvl w:val="1"/>
          <w:numId w:val="1011"/>
        </w:numPr>
      </w:pPr>
      <w:r>
        <w:t xml:space="preserve">6.4 Práxis Avançada: Galdrastafir e o Ægishjálmr</w:t>
      </w:r>
    </w:p>
    <w:p>
      <w:pPr>
        <w:pStyle w:val="Compact"/>
        <w:numPr>
          <w:ilvl w:val="1"/>
          <w:numId w:val="1011"/>
        </w:numPr>
      </w:pPr>
      <w:r>
        <w:t xml:space="preserve">6.5 Bindrunes, Wyrd e Ørlög: Tecendo o Próprio Fio</w:t>
      </w:r>
    </w:p>
    <w:p>
      <w:pPr>
        <w:pStyle w:val="Compact"/>
        <w:numPr>
          <w:ilvl w:val="1"/>
          <w:numId w:val="1011"/>
        </w:numPr>
      </w:pPr>
      <w:r>
        <w:t xml:space="preserve">Conclusão do Capítulo: O Artífice do Real</w:t>
      </w:r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Capítulo 7: A Arte Oracular e a Ética do Wyrd – Do Espelho à Tecelagem</w:t>
        </w:r>
      </w:hyperlink>
    </w:p>
    <w:p>
      <w:pPr>
        <w:pStyle w:val="Compact"/>
        <w:numPr>
          <w:ilvl w:val="1"/>
          <w:numId w:val="1012"/>
        </w:numPr>
      </w:pPr>
      <w:r>
        <w:t xml:space="preserve">7.1 Oráculo como Espelho Dinâmico: A Leitura do</w:t>
      </w:r>
      <w:r>
        <w:t xml:space="preserve"> </w:t>
      </w:r>
      <w:r>
        <w:rPr>
          <w:i/>
          <w:iCs/>
        </w:rPr>
        <w:t xml:space="preserve">Verðr</w:t>
      </w:r>
      <w:r>
        <w:t xml:space="preserve"> </w:t>
      </w:r>
      <w:r>
        <w:t xml:space="preserve">(O Tornar-Se)</w:t>
      </w:r>
    </w:p>
    <w:p>
      <w:pPr>
        <w:pStyle w:val="Compact"/>
        <w:numPr>
          <w:ilvl w:val="1"/>
          <w:numId w:val="1012"/>
        </w:numPr>
      </w:pPr>
      <w:r>
        <w:t xml:space="preserve">7.2 Wyrd e Örlög: A Teia, a Lei e a Liberdade Ética</w:t>
      </w:r>
    </w:p>
    <w:p>
      <w:pPr>
        <w:pStyle w:val="Compact"/>
        <w:numPr>
          <w:ilvl w:val="1"/>
          <w:numId w:val="1012"/>
        </w:numPr>
      </w:pPr>
      <w:r>
        <w:t xml:space="preserve">7.3 Metodologia Avançada: Lendo o Campo de Forças</w:t>
      </w:r>
    </w:p>
    <w:p>
      <w:pPr>
        <w:pStyle w:val="Compact"/>
        <w:numPr>
          <w:ilvl w:val="1"/>
          <w:numId w:val="1012"/>
        </w:numPr>
      </w:pPr>
      <w:r>
        <w:t xml:space="preserve">7.4 Ritualística Oracular: Do Véu à Gratidão</w:t>
      </w:r>
    </w:p>
    <w:p>
      <w:pPr>
        <w:pStyle w:val="Compact"/>
        <w:numPr>
          <w:ilvl w:val="1"/>
          <w:numId w:val="1012"/>
        </w:numPr>
      </w:pPr>
      <w:r>
        <w:t xml:space="preserve">7.5 Conclusão: Do Leitor ao Tecelão Consciente</w:t>
      </w:r>
    </w:p>
    <w:p>
      <w:pPr>
        <w:pStyle w:val="Compact"/>
        <w:numPr>
          <w:ilvl w:val="0"/>
          <w:numId w:val="1009"/>
        </w:numPr>
      </w:pPr>
      <w:hyperlink r:id="rId21">
        <w:r>
          <w:rPr>
            <w:rStyle w:val="Hyperlink"/>
          </w:rPr>
          <w:t xml:space="preserve">Capítulo 8: O Corpo como Altar – Sintonia Somática, Jornada do Mago e a Ética do Wyrd</w:t>
        </w:r>
      </w:hyperlink>
    </w:p>
    <w:p>
      <w:pPr>
        <w:pStyle w:val="Compact"/>
        <w:numPr>
          <w:ilvl w:val="1"/>
          <w:numId w:val="1013"/>
        </w:numPr>
      </w:pPr>
      <w:r>
        <w:t xml:space="preserve">8.1 O Microcosmo Rúnico: O Corpo como Mapa da Realidade Cósmica</w:t>
      </w:r>
    </w:p>
    <w:p>
      <w:pPr>
        <w:pStyle w:val="Compact"/>
        <w:numPr>
          <w:ilvl w:val="1"/>
          <w:numId w:val="1013"/>
        </w:numPr>
      </w:pPr>
      <w:r>
        <w:t xml:space="preserve">8.2 Cartografia Vibracional Completa: As Runas na Anatomia Sutil</w:t>
      </w:r>
    </w:p>
    <w:p>
      <w:pPr>
        <w:pStyle w:val="Compact"/>
        <w:numPr>
          <w:ilvl w:val="1"/>
          <w:numId w:val="1013"/>
        </w:numPr>
      </w:pPr>
      <w:r>
        <w:t xml:space="preserve">8.3 Protocolos de Práxis Somática: Da Teoria à Transformação Corpórea</w:t>
      </w:r>
    </w:p>
    <w:p>
      <w:pPr>
        <w:pStyle w:val="Compact"/>
        <w:numPr>
          <w:ilvl w:val="1"/>
          <w:numId w:val="1013"/>
        </w:numPr>
      </w:pPr>
      <w:r>
        <w:t xml:space="preserve">8.4 Advertências e Ética Somática: Os Limites do Corpo-Templo</w:t>
      </w:r>
    </w:p>
    <w:p>
      <w:pPr>
        <w:pStyle w:val="Compact"/>
        <w:numPr>
          <w:ilvl w:val="1"/>
          <w:numId w:val="1013"/>
        </w:numPr>
      </w:pPr>
      <w:r>
        <w:t xml:space="preserve">8.5 A Jornada do Mago Rúnico: Dos Níveis de Práxis à Maestria Integrada</w:t>
      </w:r>
    </w:p>
    <w:p>
      <w:pPr>
        <w:pStyle w:val="Compact"/>
        <w:numPr>
          <w:ilvl w:val="1"/>
          <w:numId w:val="1013"/>
        </w:numPr>
      </w:pPr>
      <w:r>
        <w:t xml:space="preserve">8.6 O Legado e o Chamado Final: Vivendo como Altar</w:t>
      </w:r>
    </w:p>
    <w:bookmarkEnd w:id="22"/>
    <w:bookmarkStart w:id="25" w:name="parte-iv-conclusão-e-perspectivas"/>
    <w:p>
      <w:pPr>
        <w:pStyle w:val="Ttulo3"/>
      </w:pPr>
      <w:r>
        <w:rPr>
          <w:rStyle w:val="SectionNumber"/>
        </w:rPr>
        <w:t xml:space="preserve">0.1.6</w:t>
      </w:r>
      <w:r>
        <w:tab/>
      </w:r>
      <w:r>
        <w:t xml:space="preserve">Parte IV: Conclusão e Perspectivas</w:t>
      </w:r>
    </w:p>
    <w:p>
      <w:pPr>
        <w:numPr>
          <w:ilvl w:val="0"/>
          <w:numId w:val="1014"/>
        </w:numPr>
      </w:pPr>
      <w:hyperlink r:id="rId23">
        <w:r>
          <w:rPr>
            <w:rStyle w:val="Hyperlink"/>
          </w:rPr>
          <w:t xml:space="preserve">Capítulo 9: Síntese e Continuação da Jornada</w:t>
        </w:r>
      </w:hyperlink>
    </w:p>
    <w:p>
      <w:pPr>
        <w:numPr>
          <w:ilvl w:val="0"/>
          <w:numId w:val="1014"/>
        </w:numPr>
      </w:pPr>
      <w:hyperlink r:id="rId24">
        <w:r>
          <w:rPr>
            <w:rStyle w:val="Hyperlink"/>
          </w:rPr>
          <w:t xml:space="preserve">Bibliografia Comentada e Recursos para Aprofundamento</w:t>
        </w:r>
      </w:hyperlink>
    </w:p>
    <w:bookmarkEnd w:id="25"/>
    <w:bookmarkStart w:id="32" w:name="apêndices-e-recursos"/>
    <w:p>
      <w:pPr>
        <w:pStyle w:val="Ttulo3"/>
      </w:pPr>
      <w:r>
        <w:rPr>
          <w:rStyle w:val="SectionNumber"/>
        </w:rPr>
        <w:t xml:space="preserve">0.1.7</w:t>
      </w:r>
      <w:r>
        <w:tab/>
      </w:r>
      <w:r>
        <w:t xml:space="preserve">Apêndices e Recursos</w:t>
      </w:r>
    </w:p>
    <w:p>
      <w:pPr>
        <w:pStyle w:val="Compact"/>
        <w:numPr>
          <w:ilvl w:val="0"/>
          <w:numId w:val="1015"/>
        </w:numPr>
      </w:pPr>
      <w:hyperlink r:id="rId26">
        <w:r>
          <w:rPr>
            <w:rStyle w:val="Hyperlink"/>
          </w:rPr>
          <w:t xml:space="preserve">Apêndice A: Glossário de Termos Nórdicos e Rúnicos</w:t>
        </w:r>
      </w:hyperlink>
    </w:p>
    <w:p>
      <w:pPr>
        <w:pStyle w:val="Compact"/>
        <w:numPr>
          <w:ilvl w:val="0"/>
          <w:numId w:val="1015"/>
        </w:numPr>
      </w:pPr>
      <w:hyperlink r:id="rId27">
        <w:r>
          <w:rPr>
            <w:rStyle w:val="Hyperlink"/>
          </w:rPr>
          <w:t xml:space="preserve">Apêndice B: Tabelas de Referência Rápida (Fonemas, Valores, Ideogramas)</w:t>
        </w:r>
      </w:hyperlink>
    </w:p>
    <w:p>
      <w:pPr>
        <w:pStyle w:val="Compact"/>
        <w:numPr>
          <w:ilvl w:val="0"/>
          <w:numId w:val="1015"/>
        </w:numPr>
      </w:pPr>
      <w:hyperlink r:id="rId28">
        <w:r>
          <w:rPr>
            <w:rStyle w:val="Hyperlink"/>
          </w:rPr>
          <w:t xml:space="preserve">Apêndice C: Guia de Pronúncia do Nórdico Antigo para o Galdr</w:t>
        </w:r>
      </w:hyperlink>
    </w:p>
    <w:p>
      <w:pPr>
        <w:pStyle w:val="Compact"/>
        <w:numPr>
          <w:ilvl w:val="0"/>
          <w:numId w:val="1015"/>
        </w:numPr>
      </w:pPr>
      <w:hyperlink r:id="rId29">
        <w:r>
          <w:rPr>
            <w:rStyle w:val="Hyperlink"/>
          </w:rPr>
          <w:t xml:space="preserve">Apêndice D: Fichas de Exercício Somático para as 24 Runas</w:t>
        </w:r>
      </w:hyperlink>
    </w:p>
    <w:p>
      <w:pPr>
        <w:pStyle w:val="Compact"/>
        <w:numPr>
          <w:ilvl w:val="0"/>
          <w:numId w:val="1015"/>
        </w:numPr>
      </w:pPr>
      <w:hyperlink r:id="rId30">
        <w:r>
          <w:rPr>
            <w:rStyle w:val="Hyperlink"/>
          </w:rPr>
          <w:t xml:space="preserve">Apêndice E: Protocolos de Segurança e Emergência</w:t>
        </w:r>
      </w:hyperlink>
    </w:p>
    <w:p>
      <w:pPr>
        <w:pStyle w:val="Compact"/>
        <w:numPr>
          <w:ilvl w:val="0"/>
          <w:numId w:val="1015"/>
        </w:numPr>
      </w:pPr>
      <w:hyperlink r:id="rId31">
        <w:r>
          <w:rPr>
            <w:rStyle w:val="Hyperlink"/>
          </w:rPr>
          <w:t xml:space="preserve">Apêndice F: Glossário Completo Norrænt-Português com Citações</w:t>
        </w:r>
      </w:hyperlink>
    </w:p>
    <w:bookmarkEnd w:id="32"/>
    <w:bookmarkStart w:id="38" w:name="índices-e-navegação"/>
    <w:p>
      <w:pPr>
        <w:pStyle w:val="Ttulo3"/>
      </w:pPr>
      <w:r>
        <w:rPr>
          <w:rStyle w:val="SectionNumber"/>
        </w:rPr>
        <w:t xml:space="preserve">0.1.8</w:t>
      </w:r>
      <w:r>
        <w:tab/>
      </w:r>
      <w:r>
        <w:t xml:space="preserve">Índices e Navegação</w:t>
      </w:r>
    </w:p>
    <w:p>
      <w:pPr>
        <w:pStyle w:val="Compact"/>
        <w:numPr>
          <w:ilvl w:val="0"/>
          <w:numId w:val="1016"/>
        </w:numPr>
      </w:pPr>
      <w:hyperlink r:id="rId33">
        <w:r>
          <w:rPr>
            <w:rStyle w:val="Hyperlink"/>
          </w:rPr>
          <w:t xml:space="preserve">Índice Remissivo</w:t>
        </w:r>
      </w:hyperlink>
      <w:r>
        <w:t xml:space="preserve"> </w:t>
      </w:r>
      <w:r>
        <w:t xml:space="preserve">- Navegação rápida por termos, conceitos, nomes próprios e palavras técnicas</w:t>
      </w:r>
    </w:p>
    <w:p>
      <w:r>
        <w:pict>
          <v:rect style="width:0;height:1.5pt" o:hralign="center" o:hrstd="t" o:hr="t"/>
        </w:pict>
      </w:r>
    </w:p>
    <w:bookmarkStart w:id="34" w:name="como-navegar-por-este-livro"/>
    <w:p>
      <w:pPr>
        <w:pStyle w:val="Heading4"/>
      </w:pPr>
      <w:r>
        <w:rPr>
          <w:rStyle w:val="SectionNumber"/>
        </w:rPr>
        <w:t xml:space="preserve">0.1.8.1</w:t>
      </w:r>
      <w:r>
        <w:tab/>
      </w:r>
      <w:r>
        <w:t xml:space="preserve">Como Navegar por Este Livro</w:t>
      </w:r>
    </w:p>
    <w:p>
      <w:pPr>
        <w:pStyle w:val="FirstParagraph"/>
      </w:pPr>
      <w:r>
        <w:t xml:space="preserve">Este livro foi estruturado para ser estudado sequencialmente, mas cada capítulo também funciona como uma referência autônoma. Recomenda-se: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Iniciantes:</w:t>
      </w:r>
      <w:r>
        <w:t xml:space="preserve"> </w:t>
      </w:r>
      <w:r>
        <w:t xml:space="preserve">Comece pelo</w:t>
      </w:r>
      <w:r>
        <w:t xml:space="preserve"> </w:t>
      </w:r>
      <w:r>
        <w:rPr>
          <w:b/>
          <w:bCs/>
        </w:rPr>
        <w:t xml:space="preserve">Prólogo</w:t>
      </w:r>
      <w:r>
        <w:t xml:space="preserve"> </w:t>
      </w:r>
      <w:r>
        <w:t xml:space="preserve">e pelo</w:t>
      </w:r>
      <w:r>
        <w:t xml:space="preserve"> </w:t>
      </w:r>
      <w:r>
        <w:rPr>
          <w:b/>
          <w:bCs/>
        </w:rPr>
        <w:t xml:space="preserve">Capítulo 1</w:t>
      </w:r>
      <w:r>
        <w:t xml:space="preserve"> </w:t>
      </w:r>
      <w:r>
        <w:t xml:space="preserve">para construir a base cosmológica e iniciática essencial.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Estudantes das Runas: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Capítulos 2, 3 e 4</w:t>
      </w:r>
      <w:r>
        <w:t xml:space="preserve"> </w:t>
      </w:r>
      <w:r>
        <w:t xml:space="preserve">são o núcleo do sistema, apresentando cada runa com profundidade.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Praticantes: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Capítulos 5, 6, 7, 8 e 9</w:t>
      </w:r>
      <w:r>
        <w:t xml:space="preserve"> </w:t>
      </w:r>
      <w:r>
        <w:t xml:space="preserve">oferecem a aplicação prática, mágica e ética do conhecimento.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Consulta Rápida:</w:t>
      </w:r>
      <w:r>
        <w:t xml:space="preserve"> </w:t>
      </w:r>
      <w:r>
        <w:t xml:space="preserve">Utilize os</w:t>
      </w:r>
      <w:r>
        <w:t xml:space="preserve"> </w:t>
      </w:r>
      <w:r>
        <w:rPr>
          <w:b/>
          <w:bCs/>
        </w:rPr>
        <w:t xml:space="preserve">Apêndices</w:t>
      </w:r>
      <w:r>
        <w:t xml:space="preserve"> </w:t>
      </w:r>
      <w:r>
        <w:t xml:space="preserve">para revisão e referência durante sua prática.</w:t>
      </w:r>
    </w:p>
    <w:p>
      <w:r>
        <w:pict>
          <v:rect style="width:0;height:1.5pt" o:hralign="center" o:hrstd="t" o:hr="t"/>
        </w:pict>
      </w:r>
    </w:p>
    <w:bookmarkEnd w:id="34"/>
    <w:bookmarkStart w:id="37" w:name="convenções-tipográficas"/>
    <w:p>
      <w:pPr>
        <w:pStyle w:val="Heading4"/>
      </w:pPr>
      <w:r>
        <w:rPr>
          <w:rStyle w:val="SectionNumber"/>
        </w:rPr>
        <w:t xml:space="preserve">0.1.8.2</w:t>
      </w:r>
      <w:r>
        <w:tab/>
      </w:r>
      <w:r>
        <w:t xml:space="preserve">Convenções Tipográficas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Termos em nórdico antigo:</w:t>
      </w:r>
      <w:r>
        <w:t xml:space="preserve"> </w:t>
      </w:r>
      <w:r>
        <w:rPr>
          <w:i/>
          <w:iCs/>
        </w:rPr>
        <w:t xml:space="preserve">itálico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Glifos rúnicos:</w:t>
      </w:r>
      <w:r>
        <w:t xml:space="preserve"> </w:t>
      </w:r>
      <w:r>
        <w:t xml:space="preserve">ᚠ ᚢ ᚦ (utilize uma fonte que suporte Unicode Rúnico)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Trechos poéticos:</w:t>
      </w:r>
      <w:r>
        <w:t xml:space="preserve"> </w:t>
      </w:r>
      <w:r>
        <w:t xml:space="preserve">Citados em blocos, com tradução livre abaixo.</w:t>
      </w:r>
    </w:p>
    <w:p>
      <w:pPr>
        <w:pStyle w:val="Heading2"/>
        <w:numPr>
          <w:ilvl w:val="0"/>
          <w:numId w:val="1018"/>
        </w:numPr>
      </w:pPr>
      <w:bookmarkStart w:id="35" w:name="X8b8545397bddbe66c514983fa71f3619fd15fd6"/>
      <w:r>
        <w:rPr>
          <w:b/>
          <w:bCs/>
        </w:rPr>
        <w:t xml:space="preserve">Instruções práticas:</w:t>
      </w:r>
      <w:r>
        <w:t xml:space="preserve"> </w:t>
      </w:r>
      <w:r>
        <w:t xml:space="preserve">Listadas em tópicos numerados.</w:t>
      </w:r>
      <w:bookmarkEnd w:id="35"/>
    </w:p>
    <w:p>
      <w:pPr>
        <w:pStyle w:val="Heading4"/>
        <w:numPr>
          <w:ilvl w:val="0"/>
          <w:numId w:val="1000"/>
        </w:numPr>
      </w:pPr>
      <w:bookmarkStart w:id="36" w:name="sobre-o-autor-e-a-obra"/>
      <w:r>
        <w:t xml:space="preserve">Sobre o Autor e a Obra</w:t>
      </w:r>
      <w:bookmarkEnd w:id="36"/>
    </w:p>
    <w:p>
      <w:pPr>
        <w:pStyle w:val="FirstParagraph"/>
      </w:pPr>
      <w:r>
        <w:rPr>
          <w:i/>
          <w:iCs/>
        </w:rPr>
        <w:t xml:space="preserve">Compêndio do Futhark Antigo</w:t>
      </w:r>
      <w:r>
        <w:t xml:space="preserve"> </w:t>
      </w:r>
      <w:r>
        <w:t xml:space="preserve">é fruto de anos de pesquisa acadêmica e prática dedicada às tradições nórdicas.</w:t>
      </w:r>
      <w:r>
        <w:t xml:space="preserve"> </w:t>
      </w:r>
      <w:r>
        <w:t xml:space="preserve">Busca equilibrar o rigor histórico e filológico com uma hermenêutica esotérica responsável, sempre com respeito às fontes e à cultura que originou este conhecimento. Este não é um livro de</w:t>
      </w:r>
      <w:r>
        <w:t xml:space="preserve"> </w:t>
      </w:r>
      <w:r>
        <w:t xml:space="preserve">“fórmulas mágicas rápidas”</w:t>
      </w:r>
      <w:r>
        <w:t xml:space="preserve">, mas um convite a uma</w:t>
      </w:r>
      <w:r>
        <w:t xml:space="preserve"> </w:t>
      </w:r>
      <w:r>
        <w:rPr>
          <w:b/>
          <w:bCs/>
        </w:rPr>
        <w:t xml:space="preserve">jornada de transformação pessoal</w:t>
      </w:r>
      <w:r>
        <w:t xml:space="preserve"> </w:t>
      </w:r>
      <w:r>
        <w:t xml:space="preserve">através do entendimento e da aplicação sábia das forças arquetípicas que as runas representam.</w:t>
      </w:r>
    </w:p>
    <w:p>
      <w:pPr>
        <w:pStyle w:val="Corpodetexto"/>
      </w:pPr>
      <w:r>
        <w:rPr>
          <w:b/>
          <w:bCs/>
        </w:rPr>
        <w:t xml:space="preserve">Que sua jornada seja iluminada pela tocha de Kenaz e guiada pela sabedoria de Óðinn.</w:t>
      </w:r>
    </w:p>
    <w:p>
      <w:r>
        <w:pict>
          <v:rect style="width:0;height:1.5pt" o:hralign="center" o:hrstd="t" o:hr="t"/>
        </w:pict>
      </w:r>
    </w:p>
    <w:p>
      <w:pPr>
        <w:pStyle w:val="Textoembloco"/>
      </w:pPr>
      <w:r>
        <w:rPr>
          <w:i/>
          <w:iCs/>
        </w:rPr>
        <w:t xml:space="preserve">“Sábio parece aquele que consegue perguntar e também responder.”</w:t>
      </w:r>
      <w:r>
        <w:br/>
      </w:r>
      <w:r>
        <w:t xml:space="preserve">— Hávamál, Estrofe 27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prefácio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Prefácio</w:t>
      </w:r>
    </w:p>
    <w:p>
      <w:pPr>
        <w:pStyle w:val="FirstParagraph"/>
      </w:pPr>
      <w:r>
        <w:rPr>
          <w:b/>
          <w:bCs/>
        </w:rPr>
        <w:t xml:space="preserve">A Sabedoria em Gotas: Um Compêndio para o Ritmo do Agora</w:t>
      </w:r>
    </w:p>
    <w:p>
      <w:pPr>
        <w:pStyle w:val="Corpodetexto"/>
      </w:pPr>
      <w:r>
        <w:t xml:space="preserve">Vivemos na era do fluxo contínuo. O tempo, outrora uma corrente larga e previsível, fragmentou-se em incontáveis riachos digitais, cada um exigindo um pedaço de nossa atenção. A paciência para mergulhos profundos em tomos extensos tornou-se, para muitos, um luxo raro.</w:t>
      </w:r>
      <w:r>
        <w:t xml:space="preserve"> </w:t>
      </w:r>
      <w:r>
        <w:t xml:space="preserve">A mente, bombardeada por estímulos, anseia por clareza, por essência, por conhecimento que se ofereça de forma não como um mar a ser atravessado a nado, mas como uma série de fontes refrescantes ao longo do caminho.</w:t>
      </w:r>
    </w:p>
    <w:p>
      <w:pPr>
        <w:pStyle w:val="Corpodetexto"/>
      </w:pPr>
      <w:r>
        <w:t xml:space="preserve">Reconhecer essa transformação não é render-se à superficialidade. É, antes, um ato de sabedoria prática e de respeito pelo buscador moderno. As grandes verdades, os sistemas cósmicos e as artes ancestrais não perderam sua profundidade ou seu poder; mas a via de acesso a eles pode – e deve – ser repensada para encontrar eco no coração de uma nova era.</w:t>
      </w:r>
    </w:p>
    <w:p>
      <w:pPr>
        <w:pStyle w:val="Corpodetexto"/>
      </w:pPr>
      <w:r>
        <w:t xml:space="preserve">É com este entendimento que nasce</w:t>
      </w:r>
      <w:r>
        <w:t xml:space="preserve"> </w:t>
      </w:r>
      <w:r>
        <w:rPr>
          <w:b/>
          <w:bCs/>
        </w:rPr>
        <w:t xml:space="preserve">“Futhark Antigo: Das Origens Cósmicas à Práxis Oracular e Mágica”</w:t>
      </w:r>
      <w:r>
        <w:t xml:space="preserve">.</w:t>
      </w:r>
    </w:p>
    <w:p>
      <w:pPr>
        <w:pStyle w:val="Corpodetexto"/>
      </w:pPr>
      <w:r>
        <w:t xml:space="preserve">Este compêndio foi conscientemente arquitetado não como um tratado monolítico, mas como um</w:t>
      </w:r>
      <w:r>
        <w:t xml:space="preserve"> </w:t>
      </w:r>
      <w:r>
        <w:rPr>
          <w:b/>
          <w:bCs/>
        </w:rPr>
        <w:t xml:space="preserve">jardim de insights</w:t>
      </w:r>
      <w:r>
        <w:t xml:space="preserve">. Cada capítulo se desdobra em itens concisos, focados e autossuficientes – como</w:t>
      </w:r>
      <w:r>
        <w:t xml:space="preserve"> </w:t>
      </w:r>
      <w:r>
        <w:rPr>
          <w:i/>
          <w:iCs/>
        </w:rPr>
        <w:t xml:space="preserve">drops</w:t>
      </w:r>
      <w:r>
        <w:t xml:space="preserve"> </w:t>
      </w:r>
      <w:r>
        <w:t xml:space="preserve">de conhecimento. Essas breves seções são portais individuais. Você pode saborear uma por dia, como uma prática contemplativa. Pode consultar uma específica, como quem busca uma ferramenta precisa. Ou pode, é claro, percorrê-las em sequência, descobrindo a narrativa maior que elas compõem quando unidas.</w:t>
      </w:r>
    </w:p>
    <w:p>
      <w:pPr>
        <w:pStyle w:val="Corpodetexto"/>
      </w:pPr>
      <w:r>
        <w:t xml:space="preserve">Esta estrutura atende a um duplo propósito: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Respeita o Seu Ritmo:</w:t>
      </w:r>
      <w:r>
        <w:t xml:space="preserve"> </w:t>
      </w:r>
      <w:r>
        <w:t xml:space="preserve">Ela se adapta à sua vida, e não o contrário. Cinco minutos entre compromissos tornam-se uma oportunidade para refletir sobre um</w:t>
      </w:r>
      <w:r>
        <w:t xml:space="preserve"> </w:t>
      </w:r>
      <w:r>
        <w:rPr>
          <w:i/>
          <w:iCs/>
        </w:rPr>
        <w:t xml:space="preserve">ættir</w:t>
      </w:r>
      <w:r>
        <w:t xml:space="preserve">. Uma pausa no fim do dia permite a assimilação de um princípio de</w:t>
      </w:r>
      <w:r>
        <w:t xml:space="preserve"> </w:t>
      </w:r>
      <w:r>
        <w:rPr>
          <w:i/>
          <w:iCs/>
        </w:rPr>
        <w:t xml:space="preserve">galdr</w:t>
      </w:r>
      <w:r>
        <w:t xml:space="preserve">. O conhecimento profundo deixa de ser uma meta distante e transforma-se em um companheiro diário, acessível e generoso.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Estimula a Aprendizagem Ativa:</w:t>
      </w:r>
      <w:r>
        <w:t xml:space="preserve"> </w:t>
      </w:r>
      <w:r>
        <w:t xml:space="preserve">A mente humana retém e integra melhor a informação quando esta é oferecida em módulos digeríveis, seguidas de momentos de pausa e reflexão. Cada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é uma semente plantada. O espaço entre eles é o solo onde suas próprias conexões, intuições e perguntas podem brotar, criando uma compreensão verdadeiramente</w:t>
      </w:r>
      <w:r>
        <w:t xml:space="preserve"> </w:t>
      </w:r>
      <w:r>
        <w:rPr>
          <w:i/>
          <w:iCs/>
        </w:rPr>
        <w:t xml:space="preserve">sua</w:t>
      </w:r>
      <w:r>
        <w:t xml:space="preserve"> </w:t>
      </w:r>
      <w:r>
        <w:t xml:space="preserve">e orgânica.</w:t>
      </w:r>
    </w:p>
    <w:p>
      <w:pPr>
        <w:pStyle w:val="FirstParagraph"/>
      </w:pPr>
      <w:r>
        <w:t xml:space="preserve">Não se engane: a forma é ágil, mas o conteúdo permanece denso, rigoroso e desafiador. Aqui, você não encontrará simplificações enganosas ou reduções da complexa tapeçaria da tradição rúnica nórdica. Encontrará, sim, essa tapeçaria cuidadosamente desfiada em seus fios constituintes, para que você possa apreciar a beleza de cada um antes de compreender o poder do tecido completo.</w:t>
      </w:r>
    </w:p>
    <w:p>
      <w:pPr>
        <w:pStyle w:val="Corpodetexto"/>
      </w:pPr>
      <w:r>
        <w:t xml:space="preserve">Este livro é uma ponte. Uma ponte entre a sabedoria ancestral, que se construía em longas narrativas ao redor do fogo, e a consciência contemporânea, que navega na velocidade da luz. Uma ponte entre a profundidade que sua alma busca e o tempo que sua realidade cotidiana impõe.</w:t>
      </w:r>
    </w:p>
    <w:p>
      <w:pPr>
        <w:pStyle w:val="Corpodetexto"/>
      </w:pPr>
      <w:r>
        <w:t xml:space="preserve">Convidamos você a cruzar essa ponte. A percorrer estes</w:t>
      </w:r>
      <w:r>
        <w:t xml:space="preserve"> </w:t>
      </w:r>
      <w:r>
        <w:rPr>
          <w:i/>
          <w:iCs/>
        </w:rPr>
        <w:t xml:space="preserve">drops</w:t>
      </w:r>
      <w:r>
        <w:t xml:space="preserve"> </w:t>
      </w:r>
      <w:r>
        <w:t xml:space="preserve">não com a pressa do consumo, mas com a curiosidade do explorador. Que cada fragmento de conhecimento seja como uma runa que você tira do saco: um símbolo completo em si mesmo, carregado de significado, e que, ao mesmo tempo, aponta para um mistério maior, pronto para ser desvendado na próxima jogada, na próxima página, no próximo insight.</w:t>
      </w:r>
    </w:p>
    <w:p>
      <w:pPr>
        <w:pStyle w:val="Corpodetexto"/>
      </w:pPr>
      <w:r>
        <w:t xml:space="preserve">A jornada começa com um único passo.</w:t>
      </w:r>
      <w:r>
        <w:t xml:space="preserve"> </w:t>
      </w:r>
      <w:r>
        <w:t xml:space="preserve">Ou, neste caso, com uma única gota.</w:t>
      </w:r>
      <w:r>
        <w:t xml:space="preserve"> </w:t>
      </w:r>
      <w:r>
        <w:t xml:space="preserve">Beba com atenção.</w:t>
      </w:r>
      <w:r>
        <w:t xml:space="preserve"> </w:t>
      </w:r>
      <w:r>
        <w:t xml:space="preserve">A fonte é ancestral, e sua sede por significado é o que a mantém viva.</w:t>
      </w:r>
    </w:p>
    <w:p>
      <w:pPr>
        <w:pStyle w:val="Corpodetexto"/>
      </w:pPr>
      <w:r>
        <w:rPr>
          <w:i/>
          <w:iCs/>
        </w:rPr>
        <w:t xml:space="preserve">Que as Nornas teçam a compreensão em seu caminho.</w:t>
      </w:r>
    </w:p>
    <w:bookmarkEnd w:id="40"/>
    <w:bookmarkStart w:id="45" w:name="prólogo-o-mundo-que-forjou-as-runas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Prólogo: O Mundo que Forjou as Runas</w:t>
      </w:r>
    </w:p>
    <w:bookmarkStart w:id="41" w:name="as-terras-do-norte-e-o-espírito-nórdico"/>
    <w:p>
      <w:pPr>
        <w:pStyle w:val="Ttulo3"/>
      </w:pPr>
      <w:r>
        <w:rPr>
          <w:rStyle w:val="SectionNumber"/>
        </w:rPr>
        <w:t xml:space="preserve">0.3.1</w:t>
      </w:r>
      <w:r>
        <w:tab/>
      </w:r>
      <w:r>
        <w:t xml:space="preserve">As Terras do Norte e o Espírito Nórdico</w:t>
      </w:r>
    </w:p>
    <w:p>
      <w:pPr>
        <w:pStyle w:val="FirstParagraph"/>
      </w:pPr>
      <w:r>
        <w:t xml:space="preserve">Antes de mergulharmos nos mistérios das runas e da cosmologia que lhes deu origem, é necessário situar o palco onde este drama cósmico foi concebido e vivido. Este livro não trata de uma abstração desenraizada, mas do patrimônio espiritual de um povo concreto: os povos germânicos setentrionais, a quem comumente nos referimos como</w:t>
      </w:r>
      <w:r>
        <w:t xml:space="preserve"> </w:t>
      </w:r>
      <w:r>
        <w:rPr>
          <w:b/>
          <w:bCs/>
        </w:rPr>
        <w:t xml:space="preserve">vikings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nórdicos</w:t>
      </w:r>
      <w:r>
        <w:t xml:space="preserve">. Porém, estes termos são portas de entrada, não definições finais.</w:t>
      </w:r>
    </w:p>
    <w:p>
      <w:pPr>
        <w:pStyle w:val="Corpodetexto"/>
      </w:pPr>
      <w:r>
        <w:t xml:space="preserve">A</w:t>
      </w:r>
      <w:r>
        <w:t xml:space="preserve"> </w:t>
      </w:r>
      <w:r>
        <w:rPr>
          <w:b/>
          <w:bCs/>
        </w:rPr>
        <w:t xml:space="preserve">Era Viking</w:t>
      </w:r>
      <w:r>
        <w:t xml:space="preserve"> </w:t>
      </w:r>
      <w:r>
        <w:t xml:space="preserve">(aproximadamente 793-1066 d.C.) representa o ápice da visibilidade histórica dessas sociedades, mas sua cultura, língua e crenças têm raízes muito mais profundas, remontando à Idade do Ferro Nórdica e a um ancestral comum com outros povos germânicos. Eles habitavam a</w:t>
      </w:r>
      <w:r>
        <w:t xml:space="preserve"> </w:t>
      </w:r>
      <w:r>
        <w:rPr>
          <w:b/>
          <w:bCs/>
        </w:rPr>
        <w:t xml:space="preserve">Escandinávia</w:t>
      </w:r>
      <w:r>
        <w:t xml:space="preserve"> </w:t>
      </w:r>
      <w:r>
        <w:t xml:space="preserve">– as modernas Noruega, Suécia e Dinamarca –, uma região moldada por contrastes extremos. Fiordes profundos e escarpados cortavam a costa, florestas densas e intermináveis cobriam o interior, e invernos longos e escuros eram seguidos por verões breves e luminosos. Este ambiente não foi um simples cenário, mas um</w:t>
      </w:r>
      <w:r>
        <w:t xml:space="preserve"> </w:t>
      </w:r>
      <w:r>
        <w:rPr>
          <w:b/>
          <w:bCs/>
        </w:rPr>
        <w:t xml:space="preserve">mestre severo</w:t>
      </w:r>
      <w:r>
        <w:t xml:space="preserve">. Ele forjou um ethos baseado em</w:t>
      </w:r>
      <w:r>
        <w:t xml:space="preserve"> </w:t>
      </w:r>
      <w:r>
        <w:rPr>
          <w:b/>
          <w:bCs/>
        </w:rPr>
        <w:t xml:space="preserve">resiliência</w:t>
      </w:r>
      <w:r>
        <w:t xml:space="preserve">,</w:t>
      </w:r>
      <w:r>
        <w:t xml:space="preserve"> </w:t>
      </w:r>
      <w:r>
        <w:rPr>
          <w:b/>
          <w:bCs/>
        </w:rPr>
        <w:t xml:space="preserve">autossuficiência</w:t>
      </w:r>
      <w:r>
        <w:t xml:space="preserve">,</w:t>
      </w:r>
      <w:r>
        <w:t xml:space="preserve"> </w:t>
      </w:r>
      <w:r>
        <w:rPr>
          <w:b/>
          <w:bCs/>
        </w:rPr>
        <w:t xml:space="preserve">honra prática</w:t>
      </w:r>
      <w:r>
        <w:t xml:space="preserve"> </w:t>
      </w:r>
      <w:r>
        <w:t xml:space="preserve">e uma profunda conexão com os ciclos implacáveis da natureza. A vida era uma negociação constante com forças poderosas: o mar, o frio, a terra magra. Não surpreende que sua espiritualidade refletisse essa realidade, personificando essas forças em deuses, gigantes e espíritos.</w:t>
      </w:r>
    </w:p>
    <w:bookmarkEnd w:id="41"/>
    <w:bookmarkStart w:id="42" w:name="quem-eram-os-nórdicos"/>
    <w:p>
      <w:pPr>
        <w:pStyle w:val="Ttulo3"/>
      </w:pPr>
      <w:r>
        <w:rPr>
          <w:rStyle w:val="SectionNumber"/>
        </w:rPr>
        <w:t xml:space="preserve">0.3.2</w:t>
      </w:r>
      <w:r>
        <w:tab/>
      </w:r>
      <w:r>
        <w:t xml:space="preserve">Quem Eram os Nórdicos?</w:t>
      </w:r>
    </w:p>
    <w:p>
      <w:pPr>
        <w:pStyle w:val="FirstParagraph"/>
      </w:pPr>
      <w:r>
        <w:t xml:space="preserve">Longe do estereótipo unidimensional de meros</w:t>
      </w:r>
      <w:r>
        <w:t xml:space="preserve"> </w:t>
      </w:r>
      <w:r>
        <w:t xml:space="preserve">“bárbaros saqueadores”</w:t>
      </w:r>
      <w:r>
        <w:t xml:space="preserve">, a sociedade nórdica era complexa e estratificada. Eram</w:t>
      </w:r>
      <w:r>
        <w:t xml:space="preserve"> </w:t>
      </w:r>
      <w:r>
        <w:rPr>
          <w:b/>
          <w:bCs/>
        </w:rPr>
        <w:t xml:space="preserve">agricultores</w:t>
      </w:r>
      <w:r>
        <w:t xml:space="preserve"> </w:t>
      </w:r>
      <w:r>
        <w:t xml:space="preserve">habilidosos,</w:t>
      </w:r>
      <w:r>
        <w:t xml:space="preserve"> </w:t>
      </w:r>
      <w:r>
        <w:rPr>
          <w:b/>
          <w:bCs/>
        </w:rPr>
        <w:t xml:space="preserve">comerciantes</w:t>
      </w:r>
      <w:r>
        <w:t xml:space="preserve"> </w:t>
      </w:r>
      <w:r>
        <w:t xml:space="preserve">de longo alcance (cujas rotas se estendiam de Bagdá à América do Norte),</w:t>
      </w:r>
      <w:r>
        <w:t xml:space="preserve"> </w:t>
      </w:r>
      <w:r>
        <w:rPr>
          <w:b/>
          <w:bCs/>
        </w:rPr>
        <w:t xml:space="preserve">artesãos</w:t>
      </w:r>
      <w:r>
        <w:t xml:space="preserve"> </w:t>
      </w:r>
      <w:r>
        <w:t xml:space="preserve">exímios em metalurgia e carpintaria,</w:t>
      </w:r>
      <w:r>
        <w:t xml:space="preserve"> </w:t>
      </w:r>
      <w:r>
        <w:rPr>
          <w:b/>
          <w:bCs/>
        </w:rPr>
        <w:t xml:space="preserve">exploradores</w:t>
      </w:r>
      <w:r>
        <w:t xml:space="preserve"> </w:t>
      </w:r>
      <w:r>
        <w:t xml:space="preserve">ousados e</w:t>
      </w:r>
      <w:r>
        <w:t xml:space="preserve"> </w:t>
      </w:r>
      <w:r>
        <w:rPr>
          <w:b/>
          <w:bCs/>
        </w:rPr>
        <w:t xml:space="preserve">poetas</w:t>
      </w:r>
      <w:r>
        <w:t xml:space="preserve"> </w:t>
      </w:r>
      <w:r>
        <w:t xml:space="preserve">(os</w:t>
      </w:r>
      <w:r>
        <w:t xml:space="preserve"> </w:t>
      </w:r>
      <w:r>
        <w:rPr>
          <w:i/>
          <w:iCs/>
        </w:rPr>
        <w:t xml:space="preserve">skalds</w:t>
      </w:r>
      <w:r>
        <w:t xml:space="preserve">) que preservavam a história e a linhagem em versos intrincados. O núcleo social era a</w:t>
      </w:r>
      <w:r>
        <w:t xml:space="preserve"> </w:t>
      </w:r>
      <w:r>
        <w:rPr>
          <w:b/>
          <w:bCs/>
        </w:rPr>
        <w:t xml:space="preserve">família estendida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clã</w:t>
      </w:r>
      <w:r>
        <w:t xml:space="preserve">, cuja honra coletiva (</w:t>
      </w:r>
      <w:r>
        <w:rPr>
          <w:i/>
          <w:iCs/>
        </w:rPr>
        <w:t xml:space="preserve">drengskapr</w:t>
      </w:r>
      <w:r>
        <w:t xml:space="preserve">) era o bem mais precioso. A lei era soberana, discutida nas</w:t>
      </w:r>
      <w:r>
        <w:t xml:space="preserve"> </w:t>
      </w:r>
      <w:r>
        <w:rPr>
          <w:b/>
          <w:bCs/>
        </w:rPr>
        <w:t xml:space="preserve">assembleias</w:t>
      </w:r>
      <w:r>
        <w:t xml:space="preserve"> </w:t>
      </w:r>
      <w:r>
        <w:t xml:space="preserve">(</w:t>
      </w:r>
      <w:r>
        <w:rPr>
          <w:i/>
          <w:iCs/>
        </w:rPr>
        <w:t xml:space="preserve">Þing</w:t>
      </w:r>
      <w:r>
        <w:t xml:space="preserve">), onde homens livres decidiam os rumos da comunidade.</w:t>
      </w:r>
    </w:p>
    <w:p>
      <w:pPr>
        <w:pStyle w:val="Corpodetexto"/>
      </w:pPr>
      <w:r>
        <w:t xml:space="preserve">Sua visão de mundo era trágica, heroica e profundamente realista. Eles não acreditavam em um paraíso eterno de felicidade passiva. Acreditavam no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(</w:t>
      </w:r>
      <w:r>
        <w:rPr>
          <w:i/>
          <w:iCs/>
        </w:rPr>
        <w:t xml:space="preserve">örlög</w:t>
      </w:r>
      <w:r>
        <w:t xml:space="preserve">), um fio tecido pelas Nornas, mas também no poder da</w:t>
      </w:r>
      <w:r>
        <w:t xml:space="preserve"> </w:t>
      </w:r>
      <w:r>
        <w:rPr>
          <w:b/>
          <w:bCs/>
        </w:rPr>
        <w:t xml:space="preserve">ação corajosa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vontade indomável</w:t>
      </w:r>
      <w:r>
        <w:t xml:space="preserve"> </w:t>
      </w:r>
      <w:r>
        <w:t xml:space="preserve">para dar dignidade ao caminho traçado. O ideal máximo era viver com coragem, cumprir com a palavra dada e enfrentar o fim – seja em batalha, seja pela velhice – de cabeça erguida, para que o nome próprio sobrevivesse na memória dos vivos. A morte não era o fim absoluto, mas uma passagem para outros existires nos salões dos deuses ou nos reinos sombrios.</w:t>
      </w:r>
    </w:p>
    <w:bookmarkEnd w:id="42"/>
    <w:bookmarkStart w:id="43" w:name="os-pilares-da-tradição-eddas-e-sagas"/>
    <w:p>
      <w:pPr>
        <w:pStyle w:val="Ttulo3"/>
      </w:pPr>
      <w:r>
        <w:rPr>
          <w:rStyle w:val="SectionNumber"/>
        </w:rPr>
        <w:t xml:space="preserve">0.3.3</w:t>
      </w:r>
      <w:r>
        <w:tab/>
      </w:r>
      <w:r>
        <w:t xml:space="preserve">Os Pilares da Tradição: Eddas e Sagas</w:t>
      </w:r>
    </w:p>
    <w:p>
      <w:pPr>
        <w:pStyle w:val="FirstParagraph"/>
      </w:pPr>
      <w:r>
        <w:t xml:space="preserve">Todo o conhecimento que temos sobre sua mitologia e, por extensão, sobre o contexto das runas, vem de fontes escritas posteriores à cristianização, mas que preservaram a tradição oral ancestral. As duas fontes principais são: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Edda Poética</w:t>
      </w:r>
      <w:r>
        <w:rPr>
          <w:b/>
          <w:bCs/>
        </w:rPr>
        <w:t xml:space="preserve"> </w:t>
      </w:r>
      <w:r>
        <w:rPr>
          <w:b/>
          <w:bCs/>
        </w:rPr>
        <w:t xml:space="preserve">(ou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Edda em Verso</w:t>
      </w:r>
      <w:r>
        <w:rPr>
          <w:b/>
          <w:bCs/>
        </w:rPr>
        <w:t xml:space="preserve">):</w:t>
      </w:r>
      <w:r>
        <w:t xml:space="preserve"> </w:t>
      </w:r>
      <w:r>
        <w:t xml:space="preserve">Uma coletânea de poemas anônimos compilados no século XIII, mas de composição muito mais antiga. É a fonte mais pura e arcaica. Aqui, em cantos como o</w:t>
      </w:r>
      <w:r>
        <w:t xml:space="preserve"> </w:t>
      </w:r>
      <w:r>
        <w:rPr>
          <w:b/>
          <w:bCs/>
        </w:rPr>
        <w:t xml:space="preserve">Völuspá</w:t>
      </w:r>
      <w:r>
        <w:t xml:space="preserve"> </w:t>
      </w:r>
      <w:r>
        <w:t xml:space="preserve">(A Profecia da Vidente) e o</w:t>
      </w:r>
      <w:r>
        <w:t xml:space="preserve"> </w:t>
      </w:r>
      <w:r>
        <w:rPr>
          <w:b/>
          <w:bCs/>
        </w:rPr>
        <w:t xml:space="preserve">Hávamál</w:t>
      </w:r>
      <w:r>
        <w:t xml:space="preserve"> </w:t>
      </w:r>
      <w:r>
        <w:t xml:space="preserve">(Os Ditos do Altíssimo), ouvimos a voz direta da cosmologia, da ética e da magia nórdicas. O Hávamál, em especial, será nosso guia constante.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Edda em Prosa</w:t>
      </w:r>
      <w:r>
        <w:rPr>
          <w:b/>
          <w:bCs/>
        </w:rPr>
        <w:t xml:space="preserve">:</w:t>
      </w:r>
      <w:r>
        <w:t xml:space="preserve"> </w:t>
      </w:r>
      <w:r>
        <w:t xml:space="preserve">Escrita por</w:t>
      </w:r>
      <w:r>
        <w:t xml:space="preserve"> </w:t>
      </w:r>
      <w:r>
        <w:rPr>
          <w:b/>
          <w:bCs/>
        </w:rPr>
        <w:t xml:space="preserve">Snorri Sturluson</w:t>
      </w:r>
      <w:r>
        <w:t xml:space="preserve">, um historiador e poeta islandês do século XIII. Snorri compilou e sistematizou os mitos pagãos, possivelmente com o intuito de preservá-los como ferramenta poética para os</w:t>
      </w:r>
      <w:r>
        <w:t xml:space="preserve"> </w:t>
      </w:r>
      <w:r>
        <w:rPr>
          <w:i/>
          <w:iCs/>
        </w:rPr>
        <w:t xml:space="preserve">skalds</w:t>
      </w:r>
      <w:r>
        <w:t xml:space="preserve"> </w:t>
      </w:r>
      <w:r>
        <w:t xml:space="preserve">de uma Islândia já cristianizada. Sua obra, especialmente o</w:t>
      </w:r>
      <w:r>
        <w:t xml:space="preserve"> </w:t>
      </w:r>
      <w:r>
        <w:rPr>
          <w:b/>
          <w:bCs/>
        </w:rPr>
        <w:t xml:space="preserve">Gylfaginning</w:t>
      </w:r>
      <w:r>
        <w:t xml:space="preserve"> </w:t>
      </w:r>
      <w:r>
        <w:t xml:space="preserve">(A Ilusão de Gylfi), é uma narrativa acessível e coerente da criação do mundo, dos deuses e do Ragnarök. É nossa principal janela para a cosmogonia.</w:t>
      </w:r>
    </w:p>
    <w:p>
      <w:pPr>
        <w:pStyle w:val="FirstParagraph"/>
      </w:pPr>
      <w:r>
        <w:t xml:space="preserve">É crucial entender: estas não são</w:t>
      </w:r>
      <w:r>
        <w:t xml:space="preserve"> </w:t>
      </w:r>
      <w:r>
        <w:t xml:space="preserve">“escrituras sagradas”</w:t>
      </w:r>
      <w:r>
        <w:t xml:space="preserve"> </w:t>
      </w:r>
      <w:r>
        <w:t xml:space="preserve">no sentido dogmático de outras religiões. São</w:t>
      </w:r>
      <w:r>
        <w:t xml:space="preserve"> </w:t>
      </w:r>
      <w:r>
        <w:rPr>
          <w:b/>
          <w:bCs/>
        </w:rPr>
        <w:t xml:space="preserve">registros literários de uma tradição viva</w:t>
      </w:r>
      <w:r>
        <w:t xml:space="preserve">, poética e ritualística. Trabalhar com elas exige tanto respeito filológico quanto discernimento hermenêutico, separando o núcleo arcaico das possíveis camadas de interpretação cristã ou literária posteriores.</w:t>
      </w:r>
    </w:p>
    <w:bookmarkEnd w:id="43"/>
    <w:bookmarkStart w:id="44" w:name="as-runas-no-contexto-deste-mundo"/>
    <w:p>
      <w:pPr>
        <w:pStyle w:val="Ttulo3"/>
      </w:pPr>
      <w:r>
        <w:rPr>
          <w:rStyle w:val="SectionNumber"/>
        </w:rPr>
        <w:t xml:space="preserve">0.3.4</w:t>
      </w:r>
      <w:r>
        <w:tab/>
      </w:r>
      <w:r>
        <w:t xml:space="preserve">As Runas no Contexto Deste Mundo</w:t>
      </w:r>
    </w:p>
    <w:p>
      <w:pPr>
        <w:pStyle w:val="FirstParagraph"/>
      </w:pPr>
      <w:r>
        <w:t xml:space="preserve">É neste caldeirão cultural – um mundo de honra familiar, leis comunitárias, negociação com a natureza hostil e uma poesia que era tanto arte como veículo de memória e poder – que o sistema rúnico floresceu. As runas não eram um passatempo esotérico para poucos iluminados. Elas eram parte do tecido da vida prática e espiritual.</w:t>
      </w:r>
    </w:p>
    <w:p>
      <w:pPr>
        <w:pStyle w:val="Corpodetexto"/>
      </w:pPr>
      <w:r>
        <w:t xml:space="preserve">Foram encontradas inscritas em</w:t>
      </w:r>
      <w:r>
        <w:t xml:space="preserve"> </w:t>
      </w:r>
      <w:r>
        <w:rPr>
          <w:b/>
          <w:bCs/>
        </w:rPr>
        <w:t xml:space="preserve">pedras rúnicas</w:t>
      </w:r>
      <w:r>
        <w:t xml:space="preserve"> </w:t>
      </w:r>
      <w:r>
        <w:t xml:space="preserve">erguidas como monumentos aos mortos, marcando heranças e feitos heroicos. Foram gravadas em</w:t>
      </w:r>
      <w:r>
        <w:t xml:space="preserve"> </w:t>
      </w:r>
      <w:r>
        <w:rPr>
          <w:b/>
          <w:bCs/>
        </w:rPr>
        <w:t xml:space="preserve">ferramentas</w:t>
      </w:r>
      <w:r>
        <w:t xml:space="preserve">,</w:t>
      </w:r>
      <w:r>
        <w:t xml:space="preserve"> </w:t>
      </w:r>
      <w:r>
        <w:rPr>
          <w:b/>
          <w:bCs/>
        </w:rPr>
        <w:t xml:space="preserve">armas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joias</w:t>
      </w:r>
      <w:r>
        <w:t xml:space="preserve"> </w:t>
      </w:r>
      <w:r>
        <w:t xml:space="preserve">para lhes conferir poder, proteção ou sorte. Foram talhadas em</w:t>
      </w:r>
      <w:r>
        <w:t xml:space="preserve"> </w:t>
      </w:r>
      <w:r>
        <w:rPr>
          <w:b/>
          <w:bCs/>
        </w:rPr>
        <w:t xml:space="preserve">paus</w:t>
      </w:r>
      <w:r>
        <w:t xml:space="preserve"> </w:t>
      </w:r>
      <w:r>
        <w:t xml:space="preserve">para auxiliar em memória e comunicação. E, em um nível mais profundo, eram o instrumento dos que buscavam transcender os limites do ordinário: dos</w:t>
      </w:r>
      <w:r>
        <w:t xml:space="preserve"> </w:t>
      </w:r>
      <w:r>
        <w:rPr>
          <w:i/>
          <w:iCs/>
        </w:rPr>
        <w:t xml:space="preserve">vitkis</w:t>
      </w:r>
      <w:r>
        <w:t xml:space="preserve"> </w:t>
      </w:r>
      <w:r>
        <w:t xml:space="preserve">(homens sábios) e</w:t>
      </w:r>
      <w:r>
        <w:t xml:space="preserve"> </w:t>
      </w:r>
      <w:r>
        <w:rPr>
          <w:i/>
          <w:iCs/>
        </w:rPr>
        <w:t xml:space="preserve">völvas</w:t>
      </w:r>
      <w:r>
        <w:t xml:space="preserve"> </w:t>
      </w:r>
      <w:r>
        <w:t xml:space="preserve">(profetisas) que, como Óðinn, estavam dispostos a pagar o preço pelo conhecimento que atravessa os mundos.</w:t>
      </w:r>
    </w:p>
    <w:p>
      <w:pPr>
        <w:pStyle w:val="Corpodetexto"/>
      </w:pPr>
      <w:r>
        <w:t xml:space="preserve">Este livro é uma viagem a esse mundo. Partiremos de sua concepção do universo (a Cosmogonia) para entender como as runas são forças fundamentais dessa estrutura. Acompanharemos o sacrifício extremo de Óðinn para conquistá-las (o Mito de Iniciação). Decifraremos as instruções que ele próprio deixou para seu uso (as Oito Proficiências). E, finalmente, aprenderemos a forjar nosso próprio vínculo com esse alfabeto do cosmos.</w:t>
      </w:r>
    </w:p>
    <w:p>
      <w:pPr>
        <w:pStyle w:val="Corpodetexto"/>
      </w:pPr>
      <w:r>
        <w:t xml:space="preserve">Você não precisa ser um historiador nem um nórdico renascido. Precisa apenas de curiosidade, respeito e a coragem de olhar para o mundo com os olhos de quem vê não apenas matéria, mas padrões de força, som e significado entrelaçados – que é, no fim, a essência da visão rúnica.</w:t>
      </w:r>
    </w:p>
    <w:p>
      <w:pPr>
        <w:pStyle w:val="Corpodetexto"/>
      </w:pPr>
      <w:r>
        <w:t xml:space="preserve">Que esta jornada comece.</w:t>
      </w:r>
    </w:p>
    <w:bookmarkEnd w:id="44"/>
    <w:bookmarkEnd w:id="45"/>
    <w:bookmarkStart w:id="57" w:name="capítulo-i"/>
    <w:p>
      <w:pPr>
        <w:pStyle w:val="Ttulo1"/>
      </w:pPr>
      <w:r>
        <w:rPr>
          <w:rStyle w:val="SectionNumber"/>
        </w:rPr>
        <w:t xml:space="preserve">1</w:t>
      </w:r>
      <w:r>
        <w:tab/>
      </w:r>
      <w:r>
        <w:t xml:space="preserve">Capítulo I:</w:t>
      </w:r>
    </w:p>
    <w:bookmarkStart w:id="46" w:name="Xb51542168ec4369cc677c4bd90b0b35dfa61557"/>
    <w:p>
      <w:pPr>
        <w:pStyle w:val="Heading5"/>
      </w:pPr>
      <w:r>
        <w:rPr>
          <w:rStyle w:val="SectionNumber"/>
        </w:rPr>
        <w:t xml:space="preserve">1.0.0.0.1</w:t>
      </w:r>
      <w:r>
        <w:tab/>
      </w:r>
      <w:r>
        <w:t xml:space="preserve">O Segredo do Cosmos: Da Gênese ao Domínio da Força Rúnica</w:t>
      </w:r>
    </w:p>
    <w:bookmarkEnd w:id="46"/>
    <w:bookmarkStart w:id="47" w:name="o-futhark-antigo-como-anatomia-do-rea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 Futhark Antigo como Anatomia do Real</w:t>
      </w:r>
    </w:p>
    <w:p>
      <w:pPr>
        <w:pStyle w:val="FirstParagraph"/>
      </w:pPr>
      <w:r>
        <w:t xml:space="preserve">A abordagem deste tratado rejeita a visão reducionista que confina o</w:t>
      </w:r>
      <w:r>
        <w:t xml:space="preserve"> </w:t>
      </w:r>
      <w:r>
        <w:rPr>
          <w:b/>
          <w:bCs/>
        </w:rPr>
        <w:t xml:space="preserve">Futhark Antigo</w:t>
      </w:r>
      <w:r>
        <w:t xml:space="preserve"> </w:t>
      </w:r>
      <w:r>
        <w:t xml:space="preserve">(ou</w:t>
      </w:r>
      <w:r>
        <w:t xml:space="preserve"> </w:t>
      </w:r>
      <w:r>
        <w:rPr>
          <w:i/>
          <w:iCs/>
        </w:rPr>
        <w:t xml:space="preserve">Elder Futhark</w:t>
      </w:r>
      <w:r>
        <w:t xml:space="preserve">) ao papel de mero antepassado paleográfico dos alfabetos nórdicos. Na</w:t>
      </w:r>
      <w:r>
        <w:t xml:space="preserve"> </w:t>
      </w:r>
      <w:r>
        <w:rPr>
          <w:i/>
          <w:iCs/>
        </w:rPr>
        <w:t xml:space="preserve">heill</w:t>
      </w:r>
      <w:r>
        <w:t xml:space="preserve"> </w:t>
      </w:r>
      <w:r>
        <w:t xml:space="preserve">(visão de mundo integrada) germânica pré-cristã, a raiz linguística</w:t>
      </w:r>
      <w:r>
        <w:t xml:space="preserve"> </w:t>
      </w:r>
      <w:r>
        <w:rPr>
          <w:b/>
          <w:bCs/>
        </w:rPr>
        <w:t xml:space="preserve">rūn-</w:t>
      </w:r>
      <w:r>
        <w:t xml:space="preserve"> </w:t>
      </w:r>
      <w:r>
        <w:t xml:space="preserve">desdobra-se num espectro semântico denso:</w:t>
      </w:r>
      <w:r>
        <w:t xml:space="preserve"> </w:t>
      </w:r>
      <w:r>
        <w:rPr>
          <w:i/>
          <w:iCs/>
        </w:rPr>
        <w:t xml:space="preserve">segredo</w:t>
      </w:r>
      <w:r>
        <w:t xml:space="preserve">,</w:t>
      </w:r>
      <w:r>
        <w:t xml:space="preserve"> </w:t>
      </w:r>
      <w:r>
        <w:rPr>
          <w:i/>
          <w:iCs/>
        </w:rPr>
        <w:t xml:space="preserve">sussurro confidencial</w:t>
      </w:r>
      <w:r>
        <w:t xml:space="preserve">,</w:t>
      </w:r>
      <w:r>
        <w:t xml:space="preserve"> </w:t>
      </w:r>
      <w:r>
        <w:rPr>
          <w:i/>
          <w:iCs/>
        </w:rPr>
        <w:t xml:space="preserve">conselho oculto</w:t>
      </w:r>
      <w:r>
        <w:t xml:space="preserve">,</w:t>
      </w:r>
      <w:r>
        <w:t xml:space="preserve"> </w:t>
      </w:r>
      <w:r>
        <w:rPr>
          <w:i/>
          <w:iCs/>
        </w:rPr>
        <w:t xml:space="preserve">mistério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cifra</w:t>
      </w:r>
      <w:r>
        <w:t xml:space="preserve">. Um</w:t>
      </w:r>
      <w:r>
        <w:t xml:space="preserve"> </w:t>
      </w:r>
      <w:r>
        <w:rPr>
          <w:i/>
          <w:iCs/>
        </w:rPr>
        <w:t xml:space="preserve">stafr</w:t>
      </w:r>
      <w:r>
        <w:t xml:space="preserve"> </w:t>
      </w:r>
      <w:r>
        <w:t xml:space="preserve">(estave, glifo) rúnico não é, portanto, uma letra, mas uma</w:t>
      </w:r>
      <w:r>
        <w:t xml:space="preserve"> </w:t>
      </w:r>
      <w:r>
        <w:rPr>
          <w:b/>
          <w:bCs/>
        </w:rPr>
        <w:t xml:space="preserve">entidade energética cristalizada</w:t>
      </w:r>
      <w:r>
        <w:t xml:space="preserve">, um arquétipo primordial ativo que estrutura a realidade perceptível e imperceptível. Sua natureza é trifuncional: serve à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(função paleográfica), ao</w:t>
      </w:r>
      <w:r>
        <w:t xml:space="preserve"> </w:t>
      </w:r>
      <w:r>
        <w:rPr>
          <w:b/>
          <w:bCs/>
        </w:rPr>
        <w:t xml:space="preserve">encantamento</w:t>
      </w:r>
      <w:r>
        <w:t xml:space="preserve"> </w:t>
      </w:r>
      <w:r>
        <w:t xml:space="preserve">(função mágico-esotérica) e à</w:t>
      </w:r>
      <w:r>
        <w:t xml:space="preserve"> </w:t>
      </w:r>
      <w:r>
        <w:rPr>
          <w:b/>
          <w:bCs/>
        </w:rPr>
        <w:t xml:space="preserve">revelação da estrutura cósmica</w:t>
      </w:r>
      <w:r>
        <w:t xml:space="preserve"> </w:t>
      </w:r>
      <w:r>
        <w:t xml:space="preserve">(função cosmogônica).</w:t>
      </w:r>
    </w:p>
    <w:p>
      <w:pPr>
        <w:pStyle w:val="Corpodetexto"/>
      </w:pPr>
      <w:r>
        <w:t xml:space="preserve">Trabalhar com o Futhark Antigo é engajar-se numa</w:t>
      </w:r>
      <w:r>
        <w:t xml:space="preserve"> </w:t>
      </w:r>
      <w:r>
        <w:rPr>
          <w:b/>
          <w:bCs/>
        </w:rPr>
        <w:t xml:space="preserve">teurgia</w:t>
      </w:r>
      <w:r>
        <w:t xml:space="preserve"> </w:t>
      </w:r>
      <w:r>
        <w:t xml:space="preserve">– um trabalho (</w:t>
      </w:r>
      <w:r>
        <w:rPr>
          <w:i/>
          <w:iCs/>
        </w:rPr>
        <w:t xml:space="preserve">ergon</w:t>
      </w:r>
      <w:r>
        <w:t xml:space="preserve">) com o divino (</w:t>
      </w:r>
      <w:r>
        <w:rPr>
          <w:i/>
          <w:iCs/>
        </w:rPr>
        <w:t xml:space="preserve">theos</w:t>
      </w:r>
      <w:r>
        <w:t xml:space="preserve">) – que visa interagir com a própria ossatura do real. Esta obra posiciona-se na intersecção entre a</w:t>
      </w:r>
      <w:r>
        <w:t xml:space="preserve"> </w:t>
      </w:r>
      <w:r>
        <w:rPr>
          <w:b/>
          <w:bCs/>
        </w:rPr>
        <w:t xml:space="preserve">filologia rigorosa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hermenêutica esotérica</w:t>
      </w:r>
      <w:r>
        <w:t xml:space="preserve">, defendendo que a prática rúnica autêntica só floresce quando enraizada no solo fértil da narrativa cosmogônica e no arquétipo do sacrifício iniciático, equilibrando</w:t>
      </w:r>
      <w:r>
        <w:t xml:space="preserve"> </w:t>
      </w:r>
      <w:r>
        <w:rPr>
          <w:b/>
          <w:bCs/>
        </w:rPr>
        <w:t xml:space="preserve">vit</w:t>
      </w:r>
      <w:r>
        <w:t xml:space="preserve"> </w:t>
      </w:r>
      <w:r>
        <w:t xml:space="preserve">(conhecimento intelectual) com</w:t>
      </w:r>
      <w:r>
        <w:t xml:space="preserve"> </w:t>
      </w:r>
      <w:r>
        <w:rPr>
          <w:b/>
          <w:bCs/>
        </w:rPr>
        <w:t xml:space="preserve">máttr</w:t>
      </w:r>
      <w:r>
        <w:t xml:space="preserve"> </w:t>
      </w:r>
      <w:r>
        <w:t xml:space="preserve">(poder prático).</w:t>
      </w:r>
    </w:p>
    <w:bookmarkEnd w:id="47"/>
    <w:bookmarkStart w:id="48" w:name="o-caos-criativo-e-o-som-fundado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 Caos Criativo e o Som Fundador</w:t>
      </w:r>
    </w:p>
    <w:p>
      <w:pPr>
        <w:pStyle w:val="FirstParagraph"/>
      </w:pPr>
      <w:r>
        <w:t xml:space="preserve">A origem das runas é inextricável da narrativa da origem de tudo. Antes da ordenação dos Nove Mundos, existia apenas o</w:t>
      </w:r>
      <w:r>
        <w:t xml:space="preserve"> </w:t>
      </w:r>
      <w:r>
        <w:rPr>
          <w:b/>
          <w:bCs/>
        </w:rPr>
        <w:t xml:space="preserve">Ginnungagap</w:t>
      </w:r>
      <w:r>
        <w:t xml:space="preserve"> </w:t>
      </w:r>
      <w:r>
        <w:t xml:space="preserve">– “Vazio Atroz” ou “Abismo Bocejante”. Este não era mera ausência, mas uma</w:t>
      </w:r>
      <w:r>
        <w:t xml:space="preserve"> </w:t>
      </w:r>
      <w:r>
        <w:rPr>
          <w:b/>
          <w:bCs/>
        </w:rPr>
        <w:t xml:space="preserve">potência latente indiferenciada</w:t>
      </w:r>
      <w:r>
        <w:t xml:space="preserve">, uma matriz de possibilidade infinita, tensionada por dois princípios antitéticos: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Muspellheimr:</w:t>
      </w:r>
      <w:r>
        <w:t xml:space="preserve"> </w:t>
      </w:r>
      <w:r>
        <w:t xml:space="preserve">Ao sul, o reino do</w:t>
      </w:r>
      <w:r>
        <w:t xml:space="preserve"> </w:t>
      </w:r>
      <w:r>
        <w:rPr>
          <w:b/>
          <w:bCs/>
        </w:rPr>
        <w:t xml:space="preserve">fogo primordial</w:t>
      </w:r>
      <w:r>
        <w:t xml:space="preserve">, da energia pura, expansiva e indomável, guardado pelo gigante</w:t>
      </w:r>
      <w:r>
        <w:t xml:space="preserve"> </w:t>
      </w:r>
      <w:r>
        <w:rPr>
          <w:i/>
          <w:iCs/>
        </w:rPr>
        <w:t xml:space="preserve">Surtr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Niflheimr:</w:t>
      </w:r>
      <w:r>
        <w:t xml:space="preserve"> </w:t>
      </w:r>
      <w:r>
        <w:t xml:space="preserve">Ao norte, o domínio do</w:t>
      </w:r>
      <w:r>
        <w:t xml:space="preserve"> </w:t>
      </w:r>
      <w:r>
        <w:rPr>
          <w:b/>
          <w:bCs/>
        </w:rPr>
        <w:t xml:space="preserve">gelo primordial</w:t>
      </w:r>
      <w:r>
        <w:t xml:space="preserve">, da estase, da potencialidade congelada e da matéria inerte, fonte dos rios venenosos</w:t>
      </w:r>
      <w:r>
        <w:t xml:space="preserve"> </w:t>
      </w:r>
      <w:r>
        <w:rPr>
          <w:i/>
          <w:iCs/>
        </w:rPr>
        <w:t xml:space="preserve">Élivágar</w:t>
      </w:r>
      <w:r>
        <w:t xml:space="preserve">.</w:t>
      </w:r>
    </w:p>
    <w:p>
      <w:pPr>
        <w:pStyle w:val="FirstParagraph"/>
      </w:pPr>
      <w:r>
        <w:t xml:space="preserve">A vida surge do</w:t>
      </w:r>
      <w:r>
        <w:t xml:space="preserve"> </w:t>
      </w:r>
      <w:r>
        <w:rPr>
          <w:b/>
          <w:bCs/>
        </w:rPr>
        <w:t xml:space="preserve">encontro catastrófico e criativo</w:t>
      </w:r>
      <w:r>
        <w:t xml:space="preserve"> </w:t>
      </w:r>
      <w:r>
        <w:t xml:space="preserve">entre estes princípios. No seio do Ginnungagap, as centelhas de Muspell encontraram as geadas de Niflheim, resultando em um processo de</w:t>
      </w:r>
      <w:r>
        <w:t xml:space="preserve"> </w:t>
      </w:r>
      <w:r>
        <w:rPr>
          <w:b/>
          <w:bCs/>
        </w:rPr>
        <w:t xml:space="preserve">coagulatio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fusio</w:t>
      </w:r>
      <w:r>
        <w:t xml:space="preserve">. Desse</w:t>
      </w:r>
      <w:r>
        <w:t xml:space="preserve"> </w:t>
      </w:r>
      <w:r>
        <w:rPr>
          <w:i/>
          <w:iCs/>
        </w:rPr>
        <w:t xml:space="preserve">chaos</w:t>
      </w:r>
      <w:r>
        <w:t xml:space="preserve"> </w:t>
      </w:r>
      <w:r>
        <w:t xml:space="preserve">organizador nasceram: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Ymir (Aurljóðr):</w:t>
      </w:r>
      <w:r>
        <w:t xml:space="preserve"> </w:t>
      </w:r>
      <w:r>
        <w:t xml:space="preserve">O gigante hermafrodita primordial, formado do gelo derretido e aquecido (o</w:t>
      </w:r>
      <w:r>
        <w:t xml:space="preserve"> </w:t>
      </w:r>
      <w:r>
        <w:rPr>
          <w:i/>
          <w:iCs/>
        </w:rPr>
        <w:t xml:space="preserve">Eitr</w:t>
      </w:r>
      <w:r>
        <w:t xml:space="preserve">, veneno criativo). Personifica a</w:t>
      </w:r>
      <w:r>
        <w:t xml:space="preserve"> </w:t>
      </w:r>
      <w:r>
        <w:rPr>
          <w:b/>
          <w:bCs/>
        </w:rPr>
        <w:t xml:space="preserve">matéria-prima indiferenciada e caótica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Auðhumbla:</w:t>
      </w:r>
      <w:r>
        <w:t xml:space="preserve"> </w:t>
      </w:r>
      <w:r>
        <w:t xml:space="preserve">A vaca cósmica. Ao lamber os blocos de gelo salgados, libera</w:t>
      </w:r>
      <w:r>
        <w:t xml:space="preserve"> </w:t>
      </w:r>
      <w:r>
        <w:rPr>
          <w:b/>
          <w:bCs/>
        </w:rPr>
        <w:t xml:space="preserve">Búri</w:t>
      </w:r>
      <w:r>
        <w:t xml:space="preserve">, o primeiro dos Æsir. Personifica a</w:t>
      </w:r>
      <w:r>
        <w:t xml:space="preserve"> </w:t>
      </w:r>
      <w:r>
        <w:rPr>
          <w:b/>
          <w:bCs/>
        </w:rPr>
        <w:t xml:space="preserve">força nutridora, paciente e reveladora</w:t>
      </w:r>
      <w:r>
        <w:t xml:space="preserve"> </w:t>
      </w:r>
      <w:r>
        <w:t xml:space="preserve">que extrai a ordem do caos.</w:t>
      </w:r>
    </w:p>
    <w:bookmarkEnd w:id="48"/>
    <w:bookmarkStart w:id="49" w:name="Xe1cede895848bf0b9abe1e14e77026e9ca465a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 Galdr Primordial e a Ordenação do Cosmos</w:t>
      </w:r>
    </w:p>
    <w:p>
      <w:pPr>
        <w:pStyle w:val="FirstParagraph"/>
      </w:pPr>
      <w:r>
        <w:t xml:space="preserve">Esta narrativa física possui um correlato metafísico fundamental. A colisão entre fogo e gelo gerou uma</w:t>
      </w:r>
      <w:r>
        <w:t xml:space="preserve"> </w:t>
      </w:r>
      <w:r>
        <w:rPr>
          <w:b/>
          <w:bCs/>
        </w:rPr>
        <w:t xml:space="preserve">vibração primordial</w:t>
      </w:r>
      <w:r>
        <w:t xml:space="preserve">, um</w:t>
      </w:r>
      <w:r>
        <w:t xml:space="preserve"> </w:t>
      </w:r>
      <w:r>
        <w:rPr>
          <w:b/>
          <w:bCs/>
        </w:rPr>
        <w:t xml:space="preserve">som fundador</w:t>
      </w:r>
      <w:r>
        <w:t xml:space="preserve"> </w:t>
      </w:r>
      <w:r>
        <w:t xml:space="preserve">que reverberou através do Ginnungagap. Este som é a primeira manifestação do</w:t>
      </w:r>
      <w:r>
        <w:t xml:space="preserve"> </w:t>
      </w:r>
      <w:r>
        <w:rPr>
          <w:b/>
          <w:bCs/>
        </w:rPr>
        <w:t xml:space="preserve">Galdr</w:t>
      </w:r>
      <w:r>
        <w:t xml:space="preserve"> </w:t>
      </w:r>
      <w:r>
        <w:t xml:space="preserve">– o canto de poder que modela a realidade. É deste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nórdico que as runas, como</w:t>
      </w:r>
      <w:r>
        <w:t xml:space="preserve"> </w:t>
      </w:r>
      <w:r>
        <w:rPr>
          <w:b/>
          <w:bCs/>
        </w:rPr>
        <w:t xml:space="preserve">padrões vibratórios e ideacionais estáveis</w:t>
      </w:r>
      <w:r>
        <w:t xml:space="preserve">, emergem. Elas são os</w:t>
      </w:r>
      <w:r>
        <w:t xml:space="preserve"> </w:t>
      </w:r>
      <w:r>
        <w:rPr>
          <w:b/>
          <w:bCs/>
        </w:rPr>
        <w:t xml:space="preserve">fonemas do cosmos</w:t>
      </w:r>
      <w:r>
        <w:t xml:space="preserve">, as unidades de significado que compõem a linguagem com a qual se dialoga com o destino (</w:t>
      </w:r>
      <w:r>
        <w:rPr>
          <w:i/>
          <w:iCs/>
        </w:rPr>
        <w:t xml:space="preserve">Örlög</w:t>
      </w:r>
      <w:r>
        <w:t xml:space="preserve">). A runa é, assim, a</w:t>
      </w:r>
      <w:r>
        <w:t xml:space="preserve"> </w:t>
      </w:r>
      <w:r>
        <w:rPr>
          <w:b/>
          <w:bCs/>
        </w:rPr>
        <w:t xml:space="preserve">forma gráfica de uma frequência sonora específica</w:t>
      </w:r>
      <w:r>
        <w:t xml:space="preserve">.</w:t>
      </w:r>
    </w:p>
    <w:p>
      <w:pPr>
        <w:pStyle w:val="Corpodetexto"/>
      </w:pPr>
      <w:r>
        <w:t xml:space="preserve">Os descendentes de Búri, os deuses</w:t>
      </w:r>
      <w:r>
        <w:t xml:space="preserve"> </w:t>
      </w:r>
      <w:r>
        <w:rPr>
          <w:b/>
          <w:bCs/>
        </w:rPr>
        <w:t xml:space="preserve">Óðinn, Vili e Vé</w:t>
      </w:r>
      <w:r>
        <w:t xml:space="preserve">, personificaram a consciência ordenadora. Após vencerem Ymir, utilizaram seu corpo para forjar o mundo conhecido (</w:t>
      </w:r>
      <w:r>
        <w:rPr>
          <w:b/>
          <w:bCs/>
        </w:rPr>
        <w:t xml:space="preserve">Midgard</w:t>
      </w:r>
      <w:r>
        <w:t xml:space="preserve">): sua carne tornou-se a terra, seu sangue os mares, seus ossos as montanhas, seu crânio o céu. No centro deste cosmos ergue-se</w:t>
      </w:r>
      <w:r>
        <w:t xml:space="preserve"> </w:t>
      </w:r>
      <w:r>
        <w:rPr>
          <w:b/>
          <w:bCs/>
        </w:rPr>
        <w:t xml:space="preserve">Yggdrasil</w:t>
      </w:r>
      <w:r>
        <w:t xml:space="preserve">, o Freixo do Mundo, eixo (</w:t>
      </w:r>
      <w:r>
        <w:rPr>
          <w:i/>
          <w:iCs/>
        </w:rPr>
        <w:t xml:space="preserve">axis mundi</w:t>
      </w:r>
      <w:r>
        <w:t xml:space="preserve">) que conecta e sustenta todos os</w:t>
      </w:r>
      <w:r>
        <w:t xml:space="preserve"> </w:t>
      </w:r>
      <w:r>
        <w:rPr>
          <w:b/>
          <w:bCs/>
        </w:rPr>
        <w:t xml:space="preserve">Nove Reinos</w:t>
      </w:r>
      <w:r>
        <w:t xml:space="preserve">. Junto às suas raízes, no</w:t>
      </w:r>
      <w:r>
        <w:t xml:space="preserve"> </w:t>
      </w:r>
      <w:r>
        <w:rPr>
          <w:b/>
          <w:bCs/>
        </w:rPr>
        <w:t xml:space="preserve">Poço de Urdr</w:t>
      </w:r>
      <w:r>
        <w:t xml:space="preserve">, as três</w:t>
      </w:r>
      <w:r>
        <w:t xml:space="preserve"> </w:t>
      </w:r>
      <w:r>
        <w:rPr>
          <w:b/>
          <w:bCs/>
        </w:rPr>
        <w:t xml:space="preserve">Nornas</w:t>
      </w:r>
      <w:r>
        <w:t xml:space="preserve"> </w:t>
      </w:r>
      <w:r>
        <w:t xml:space="preserve">(Urdr, Verðandi, Skuld) tecem os fios do destino de todos os seres.</w:t>
      </w:r>
    </w:p>
    <w:bookmarkEnd w:id="49"/>
    <w:bookmarkStart w:id="56" w:name="a-auto-imolação-de-óðin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 Auto-Imolação de Óðinn</w:t>
      </w:r>
    </w:p>
    <w:p>
      <w:pPr>
        <w:pStyle w:val="FirstParagraph"/>
      </w:pPr>
      <w:r>
        <w:t xml:space="preserve">Se as runas são os constituintes do real, seu acesso consciente não é trivial. O mito de sua conquista é um arquétipo universal de iniciação, narrado no</w:t>
      </w:r>
      <w:r>
        <w:t xml:space="preserve"> </w:t>
      </w:r>
      <w:r>
        <w:rPr>
          <w:b/>
          <w:bCs/>
        </w:rPr>
        <w:t xml:space="preserve">Hávamál</w:t>
      </w:r>
      <w:r>
        <w:t xml:space="preserve"> </w:t>
      </w:r>
      <w:r>
        <w:t xml:space="preserve">(estrofes 138-141).</w:t>
      </w:r>
      <w:r>
        <w:t xml:space="preserve"> </w:t>
      </w:r>
      <w:r>
        <w:rPr>
          <w:b/>
          <w:bCs/>
        </w:rPr>
        <w:t xml:space="preserve">Óðinn</w:t>
      </w:r>
      <w:r>
        <w:t xml:space="preserve">, o</w:t>
      </w:r>
      <w:r>
        <w:t xml:space="preserve"> </w:t>
      </w:r>
      <w:r>
        <w:rPr>
          <w:i/>
          <w:iCs/>
        </w:rPr>
        <w:t xml:space="preserve">Allföðr</w:t>
      </w:r>
      <w:r>
        <w:t xml:space="preserve">, em sua busca por</w:t>
      </w:r>
      <w:r>
        <w:t xml:space="preserve"> </w:t>
      </w:r>
      <w:r>
        <w:rPr>
          <w:i/>
          <w:iCs/>
        </w:rPr>
        <w:t xml:space="preserve">vit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máttr</w:t>
      </w:r>
      <w:r>
        <w:t xml:space="preserve">, submete-se a um rito extremo:</w:t>
      </w:r>
    </w:p>
    <w:p>
      <w:pPr>
        <w:pStyle w:val="Textoembloco"/>
      </w:pPr>
      <w:r>
        <w:rPr>
          <w:i/>
          <w:iCs/>
        </w:rPr>
        <w:t xml:space="preserve">“Veit ek, at ek hekk vindga meiði á nætr allar níu, geiri undaðr ok gefinn Óðni, sjálfr sjálfum mér…”</w:t>
      </w:r>
      <w:r>
        <w:t xml:space="preserve"> </w:t>
      </w:r>
      <w:r>
        <w:t xml:space="preserve">(“Sei que pendurei na árvore batida pelo vento, nove noites inteiras, ferido pela lança e dedicado a Óðinn, eu a mim mesmo…”)</w:t>
      </w:r>
    </w:p>
    <w:bookmarkStart w:id="50" w:name="análise-simbólica-do-rito"/>
    <w:p>
      <w:pPr>
        <w:pStyle w:val="Ttulo3"/>
      </w:pPr>
      <w:r>
        <w:rPr>
          <w:rStyle w:val="SectionNumber"/>
        </w:rPr>
        <w:t xml:space="preserve">1.4.1</w:t>
      </w:r>
      <w:r>
        <w:tab/>
      </w:r>
      <w:r>
        <w:t xml:space="preserve">Análise Simbólica do Rito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Local:</w:t>
      </w:r>
      <w:r>
        <w:t xml:space="preserve"> </w:t>
      </w:r>
      <w:r>
        <w:rPr>
          <w:b/>
          <w:bCs/>
        </w:rPr>
        <w:t xml:space="preserve">Yggdrasill</w:t>
      </w:r>
      <w:r>
        <w:t xml:space="preserve">. Pendurar-se nela é posicionar-se no</w:t>
      </w:r>
      <w:r>
        <w:t xml:space="preserve"> </w:t>
      </w:r>
      <w:r>
        <w:rPr>
          <w:b/>
          <w:bCs/>
        </w:rPr>
        <w:t xml:space="preserve">centro do cosmos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Instrumento:</w:t>
      </w:r>
      <w:r>
        <w:t xml:space="preserve"> </w:t>
      </w:r>
      <w:r>
        <w:t xml:space="preserve">Sua lança</w:t>
      </w:r>
      <w:r>
        <w:t xml:space="preserve"> </w:t>
      </w:r>
      <w:r>
        <w:rPr>
          <w:b/>
          <w:bCs/>
        </w:rPr>
        <w:t xml:space="preserve">Gungnir</w:t>
      </w:r>
      <w:r>
        <w:t xml:space="preserve">. A ferida autoinfligida é um ato de</w:t>
      </w:r>
      <w:r>
        <w:t xml:space="preserve"> </w:t>
      </w:r>
      <w:r>
        <w:rPr>
          <w:b/>
          <w:bCs/>
        </w:rPr>
        <w:t xml:space="preserve">vontade soberana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Tempo:</w:t>
      </w:r>
      <w:r>
        <w:t xml:space="preserve"> </w:t>
      </w:r>
      <w:r>
        <w:rPr>
          <w:b/>
          <w:bCs/>
        </w:rPr>
        <w:t xml:space="preserve">Nove noites</w:t>
      </w:r>
      <w:r>
        <w:t xml:space="preserve">, um ciclo completo de gestação no útero do mistério.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Condição:</w:t>
      </w:r>
      <w:r>
        <w:t xml:space="preserve"> </w:t>
      </w:r>
      <w:r>
        <w:t xml:space="preserve">Jejum total, uma</w:t>
      </w:r>
      <w:r>
        <w:t xml:space="preserve"> </w:t>
      </w:r>
      <w:r>
        <w:rPr>
          <w:b/>
          <w:bCs/>
        </w:rPr>
        <w:t xml:space="preserve">fome visionária</w:t>
      </w:r>
      <w:r>
        <w:t xml:space="preserve"> </w:t>
      </w:r>
      <w:r>
        <w:t xml:space="preserve">que força a transição de consciência.</w:t>
      </w:r>
    </w:p>
    <w:p>
      <w:pPr>
        <w:pStyle w:val="FirstParagraph"/>
      </w:pPr>
      <w:r>
        <w:t xml:space="preserve">No ápice deste sofrimento, no silêncio entre os mundos, ocorre a revelação:</w:t>
      </w:r>
    </w:p>
    <w:p>
      <w:pPr>
        <w:pStyle w:val="Textoembloco"/>
      </w:pPr>
      <w:r>
        <w:rPr>
          <w:i/>
          <w:iCs/>
        </w:rPr>
        <w:t xml:space="preserve">“Niðr nam ek falla, nám ek af rúnum, œpandi nam…”</w:t>
      </w:r>
      <w:r>
        <w:t xml:space="preserve"> </w:t>
      </w:r>
      <w:r>
        <w:t xml:space="preserve">(“Para baixo eu caí,</w:t>
      </w:r>
      <w:r>
        <w:t xml:space="preserve"> </w:t>
      </w:r>
      <w:r>
        <w:rPr>
          <w:b/>
          <w:bCs/>
        </w:rPr>
        <w:t xml:space="preserve">tomei posse</w:t>
      </w:r>
      <w:r>
        <w:t xml:space="preserve"> </w:t>
      </w:r>
      <w:r>
        <w:t xml:space="preserve">das runas,</w:t>
      </w:r>
      <w:r>
        <w:t xml:space="preserve"> </w:t>
      </w:r>
      <w:r>
        <w:rPr>
          <w:b/>
          <w:bCs/>
        </w:rPr>
        <w:t xml:space="preserve">gritando</w:t>
      </w:r>
      <w:r>
        <w:t xml:space="preserve"> </w:t>
      </w:r>
      <w:r>
        <w:t xml:space="preserve">as tomei…”)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conquista</w:t>
      </w:r>
      <w:r>
        <w:t xml:space="preserve"> </w:t>
      </w:r>
      <w:r>
        <w:t xml:space="preserve">(</w:t>
      </w:r>
      <w:r>
        <w:rPr>
          <w:i/>
          <w:iCs/>
        </w:rPr>
        <w:t xml:space="preserve">ná</w:t>
      </w:r>
      <w:r>
        <w:t xml:space="preserve">) é ativa e violenta. As runas são</w:t>
      </w:r>
      <w:r>
        <w:t xml:space="preserve"> </w:t>
      </w:r>
      <w:r>
        <w:rPr>
          <w:b/>
          <w:bCs/>
        </w:rPr>
        <w:t xml:space="preserve">arrancadas</w:t>
      </w:r>
      <w:r>
        <w:t xml:space="preserve"> </w:t>
      </w:r>
      <w:r>
        <w:t xml:space="preserve">do abismo do inconsciente cósmico. O grito é o primeiro</w:t>
      </w:r>
      <w:r>
        <w:t xml:space="preserve"> </w:t>
      </w:r>
      <w:r>
        <w:rPr>
          <w:i/>
          <w:iCs/>
        </w:rPr>
        <w:t xml:space="preserve">Galdr</w:t>
      </w:r>
      <w:r>
        <w:t xml:space="preserve"> </w:t>
      </w:r>
      <w:r>
        <w:t xml:space="preserve">pós-descoberta. Óðinn retorna transformado no</w:t>
      </w:r>
      <w:r>
        <w:t xml:space="preserve"> </w:t>
      </w:r>
      <w:r>
        <w:rPr>
          <w:b/>
          <w:bCs/>
        </w:rPr>
        <w:t xml:space="preserve">Rúnatýr</w:t>
      </w:r>
      <w:r>
        <w:t xml:space="preserve"> </w:t>
      </w:r>
      <w:r>
        <w:t xml:space="preserve">(Deus das Runas). Este mito estabelece que o conhecimento rúnico é adquirido através de um</w:t>
      </w:r>
      <w:r>
        <w:t xml:space="preserve"> </w:t>
      </w:r>
      <w:r>
        <w:rPr>
          <w:b/>
          <w:bCs/>
        </w:rPr>
        <w:t xml:space="preserve">processo de morte e renascimento da consciência</w:t>
      </w:r>
      <w:r>
        <w:t xml:space="preserve">.</w:t>
      </w:r>
    </w:p>
    <w:bookmarkEnd w:id="50"/>
    <w:bookmarkStart w:id="51" w:name="as-oito-proficiências"/>
    <w:p>
      <w:pPr>
        <w:pStyle w:val="Ttulo3"/>
      </w:pPr>
      <w:r>
        <w:rPr>
          <w:rStyle w:val="SectionNumber"/>
        </w:rPr>
        <w:t xml:space="preserve">1.4.2</w:t>
      </w:r>
      <w:r>
        <w:tab/>
      </w:r>
      <w:r>
        <w:t xml:space="preserve">As Oito Proficiências</w:t>
      </w:r>
    </w:p>
    <w:p>
      <w:pPr>
        <w:pStyle w:val="FirstParagraph"/>
      </w:pPr>
      <w:r>
        <w:t xml:space="preserve">O mito fornece a autoridade; a estrofe 144 do Hávamál fornece a</w:t>
      </w:r>
      <w:r>
        <w:t xml:space="preserve"> </w:t>
      </w:r>
      <w:r>
        <w:rPr>
          <w:b/>
          <w:bCs/>
        </w:rPr>
        <w:t xml:space="preserve">metodologia operativa</w:t>
      </w:r>
      <w:r>
        <w:t xml:space="preserve">: as</w:t>
      </w:r>
      <w:r>
        <w:t xml:space="preserve"> </w:t>
      </w:r>
      <w:r>
        <w:rPr>
          <w:i/>
          <w:iCs/>
        </w:rPr>
        <w:t xml:space="preserve">Átta Skil Óðins</w:t>
      </w:r>
      <w:r>
        <w:t xml:space="preserve"> </w:t>
      </w:r>
      <w:r>
        <w:t xml:space="preserve">(Oito Proficiências). O imperativo</w:t>
      </w:r>
      <w:r>
        <w:t xml:space="preserve"> </w:t>
      </w:r>
      <w:r>
        <w:rPr>
          <w:b/>
          <w:bCs/>
        </w:rPr>
        <w:t xml:space="preserve">“Veistu hvé skal?”</w:t>
      </w:r>
      <w:r>
        <w:t xml:space="preserve"> </w:t>
      </w:r>
      <w:r>
        <w:t xml:space="preserve">(“Sabes tu como se deve?”) estabelece o</w:t>
      </w:r>
      <w:r>
        <w:t xml:space="preserve"> </w:t>
      </w:r>
      <w:r>
        <w:rPr>
          <w:b/>
          <w:bCs/>
        </w:rPr>
        <w:t xml:space="preserve">rito correto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obrigação sagrada</w:t>
      </w:r>
      <w:r>
        <w:t xml:space="preserve"> </w:t>
      </w:r>
      <w:r>
        <w:t xml:space="preserve">como pré-condições.</w:t>
      </w:r>
    </w:p>
    <w:p>
      <w:pPr>
        <w:pStyle w:val="Corpodetexto"/>
      </w:pPr>
      <w:r>
        <w:t xml:space="preserve">As proficiências formam um</w:t>
      </w:r>
      <w:r>
        <w:t xml:space="preserve"> </w:t>
      </w:r>
      <w:r>
        <w:rPr>
          <w:b/>
          <w:bCs/>
        </w:rPr>
        <w:t xml:space="preserve">ciclo operativo completo e não-linear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Nuclear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no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Esotérica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Rísta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Entalhar, gravar.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Materialização.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Ligar o arquétipo espiritual à matéria. Ação fundadora.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Fáa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Pintar, colorir.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Vitalização.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Infundir</w:t>
            </w:r>
            <w:r>
              <w:t xml:space="preserve"> </w:t>
            </w:r>
            <w:r>
              <w:rPr>
                <w:i/>
                <w:iCs/>
              </w:rPr>
              <w:t xml:space="preserve">hamingja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/>
                <w:iCs/>
              </w:rPr>
              <w:t xml:space="preserve">blót</w:t>
            </w:r>
            <w:r>
              <w:t xml:space="preserve"> </w:t>
            </w:r>
            <w:r>
              <w:t xml:space="preserve">(força vital) no símbolo, tipicamente com vermelho.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Enviar, expedir.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a energia rúnica para cumprir seu intento (via</w:t>
            </w:r>
            <w:r>
              <w:t xml:space="preserve"> </w:t>
            </w:r>
            <w:r>
              <w:rPr>
                <w:i/>
                <w:iCs/>
              </w:rPr>
              <w:t xml:space="preserve">galdr</w:t>
            </w:r>
            <w:r>
              <w:t xml:space="preserve">, sopro).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Ráða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Interpretar, decifrar.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Hermenêutica.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Compreensão do significado oculto; base da adivinhação (</w:t>
            </w:r>
            <w:r>
              <w:rPr>
                <w:i/>
                <w:iCs/>
              </w:rPr>
              <w:t xml:space="preserve">spá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Testar, provar.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Experimentação.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prática, construindo</w:t>
            </w:r>
            <w:r>
              <w:t xml:space="preserve"> </w:t>
            </w:r>
            <w:r>
              <w:rPr>
                <w:i/>
                <w:iCs/>
              </w:rPr>
              <w:t xml:space="preserve">gnosis</w:t>
            </w:r>
            <w:r>
              <w:t xml:space="preserve"> </w:t>
            </w:r>
            <w:r>
              <w:t xml:space="preserve">(conhecimento direto).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Biðja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Pedir, suplicar.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Petição.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Estabelecer diálogo com forças maiores (deuses, ancestrais).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Blóta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Sacrificar, ofertar.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Oferenda.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sagrada (</w:t>
            </w:r>
            <w:r>
              <w:rPr>
                <w:i/>
                <w:iCs/>
              </w:rPr>
              <w:t xml:space="preserve">do ut des</w:t>
            </w:r>
            <w:r>
              <w:t xml:space="preserve">); honrar o vínculo através da dádiva.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Dissolver, revogar.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Dissolução.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 do ciclo, desfazimento de laços energéticos.</w:t>
            </w:r>
          </w:p>
        </w:tc>
      </w:tr>
    </w:tbl>
    <w:p>
      <w:pPr>
        <w:pStyle w:val="Corpodetexto"/>
      </w:pPr>
      <w:r>
        <w:t xml:space="preserve">Este ciclo garante que a magia rúnica seja um processo</w:t>
      </w:r>
      <w:r>
        <w:t xml:space="preserve"> </w:t>
      </w:r>
      <w:r>
        <w:rPr>
          <w:b/>
          <w:bCs/>
        </w:rPr>
        <w:t xml:space="preserve">integral e responsável</w:t>
      </w:r>
      <w:r>
        <w:t xml:space="preserve">.</w:t>
      </w:r>
    </w:p>
    <w:bookmarkEnd w:id="51"/>
    <w:bookmarkStart w:id="55" w:name="a-criação-do-conjunto-rúnico"/>
    <w:p>
      <w:pPr>
        <w:pStyle w:val="Ttulo3"/>
      </w:pPr>
      <w:r>
        <w:rPr>
          <w:rStyle w:val="SectionNumber"/>
        </w:rPr>
        <w:t xml:space="preserve">1.4.3</w:t>
      </w:r>
      <w:r>
        <w:tab/>
      </w:r>
      <w:r>
        <w:t xml:space="preserve">A Criação do Conjunto Rúnico</w:t>
      </w:r>
    </w:p>
    <w:p>
      <w:pPr>
        <w:pStyle w:val="FirstParagraph"/>
      </w:pPr>
      <w:r>
        <w:t xml:space="preserve">A confecção do próprio conjunto é um</w:t>
      </w:r>
      <w:r>
        <w:t xml:space="preserve"> </w:t>
      </w:r>
      <w:r>
        <w:rPr>
          <w:i/>
          <w:iCs/>
        </w:rPr>
        <w:t xml:space="preserve">ritual de incorporação</w:t>
      </w:r>
      <w:r>
        <w:t xml:space="preserve">, um</w:t>
      </w:r>
      <w:r>
        <w:t xml:space="preserve"> </w:t>
      </w:r>
      <w:r>
        <w:rPr>
          <w:b/>
          <w:bCs/>
        </w:rPr>
        <w:t xml:space="preserve">mini-Ragnarök interior</w:t>
      </w:r>
      <w:r>
        <w:t xml:space="preserve"> </w:t>
      </w:r>
      <w:r>
        <w:t xml:space="preserve">que destrói a ignorância para construir um instrumento de sabedoria.</w:t>
      </w:r>
    </w:p>
    <w:bookmarkStart w:id="52" w:name="a.-a-escolha-da-matéria-prima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A. A Escolha da Matéria-Prima</w:t>
      </w:r>
    </w:p>
    <w:p>
      <w:pPr>
        <w:pStyle w:val="FirstParagraph"/>
      </w:pPr>
      <w:r>
        <w:t xml:space="preserve">Materiais</w:t>
      </w:r>
      <w:r>
        <w:t xml:space="preserve"> </w:t>
      </w:r>
      <w:r>
        <w:rPr>
          <w:i/>
          <w:iCs/>
        </w:rPr>
        <w:t xml:space="preserve">órlög-trofðir</w:t>
      </w:r>
      <w:r>
        <w:t xml:space="preserve"> </w:t>
      </w:r>
      <w:r>
        <w:t xml:space="preserve">(carregados de destino):</w:t>
      </w:r>
      <w:r>
        <w:t xml:space="preserve"> </w:t>
      </w:r>
      <w:r>
        <w:rPr>
          <w:b/>
          <w:bCs/>
        </w:rPr>
        <w:t xml:space="preserve">Madeira</w:t>
      </w:r>
      <w:r>
        <w:t xml:space="preserve"> </w:t>
      </w:r>
      <w:r>
        <w:t xml:space="preserve">(Freixo, Carvalho, Teixo – o corte deve ser ritualizado),</w:t>
      </w:r>
      <w:r>
        <w:t xml:space="preserve"> </w:t>
      </w:r>
      <w:r>
        <w:rPr>
          <w:b/>
          <w:bCs/>
        </w:rPr>
        <w:t xml:space="preserve">Pedra</w:t>
      </w:r>
      <w:r>
        <w:t xml:space="preserve"> </w:t>
      </w:r>
      <w:r>
        <w:t xml:space="preserve">de rio,</w:t>
      </w:r>
      <w:r>
        <w:t xml:space="preserve"> </w:t>
      </w:r>
      <w:r>
        <w:rPr>
          <w:b/>
          <w:bCs/>
        </w:rPr>
        <w:t xml:space="preserve">Osso</w:t>
      </w:r>
      <w:r>
        <w:t xml:space="preserve"> </w:t>
      </w:r>
      <w:r>
        <w:t xml:space="preserve">(obtido respeitosamente) ou</w:t>
      </w:r>
      <w:r>
        <w:t xml:space="preserve"> </w:t>
      </w:r>
      <w:r>
        <w:rPr>
          <w:b/>
          <w:bCs/>
        </w:rPr>
        <w:t xml:space="preserve">Metal</w:t>
      </w:r>
      <w:r>
        <w:t xml:space="preserve"> </w:t>
      </w:r>
      <w:r>
        <w:t xml:space="preserve">(associado ao Ferreiro Divino).</w:t>
      </w:r>
    </w:p>
    <w:bookmarkEnd w:id="52"/>
    <w:bookmarkStart w:id="53" w:name="Xe8d6b08c3dd3fe17550274bb7a6de83b34218da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B. O Ritual de Conformação: Rísta e Fáa em Ação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Preparação:</w:t>
      </w:r>
      <w:r>
        <w:t xml:space="preserve"> </w:t>
      </w:r>
      <w:r>
        <w:t xml:space="preserve">Criar um</w:t>
      </w:r>
      <w:r>
        <w:t xml:space="preserve"> </w:t>
      </w:r>
      <w:r>
        <w:rPr>
          <w:i/>
          <w:iCs/>
        </w:rPr>
        <w:t xml:space="preserve">vé</w:t>
      </w:r>
      <w:r>
        <w:t xml:space="preserve"> </w:t>
      </w:r>
      <w:r>
        <w:t xml:space="preserve">(espaço sagrado), purificado com fumo de ervas.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 Entalhe (Rísta):</w:t>
      </w:r>
      <w:r>
        <w:t xml:space="preserve"> </w:t>
      </w:r>
      <w:r>
        <w:t xml:space="preserve">Para cada runa, meditar em sua essência, entoar seu</w:t>
      </w:r>
      <w:r>
        <w:t xml:space="preserve"> </w:t>
      </w:r>
      <w:r>
        <w:rPr>
          <w:b/>
          <w:bCs/>
        </w:rPr>
        <w:t xml:space="preserve">Galdr</w:t>
      </w:r>
      <w:r>
        <w:t xml:space="preserve"> </w:t>
      </w:r>
      <w:r>
        <w:t xml:space="preserve">(som vibratório gutural) e riscar o símbolo, sincronizando traço, expiração e vocalização.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 Coloração (Fáa):</w:t>
      </w:r>
      <w:r>
        <w:t xml:space="preserve"> </w:t>
      </w:r>
      <w:r>
        <w:t xml:space="preserve">Aplicar pigmento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(ocre, tintura vegetal) no entalhe, visualizando a runa acendendo-se como uma brasa. Este ato</w:t>
      </w:r>
      <w:r>
        <w:t xml:space="preserve"> </w:t>
      </w:r>
      <w:r>
        <w:rPr>
          <w:b/>
          <w:bCs/>
        </w:rPr>
        <w:t xml:space="preserve">sela</w:t>
      </w:r>
      <w:r>
        <w:t xml:space="preserve"> </w:t>
      </w:r>
      <w:r>
        <w:t xml:space="preserve">a força vital no glifo.</w:t>
      </w:r>
    </w:p>
    <w:bookmarkEnd w:id="53"/>
    <w:bookmarkStart w:id="54" w:name="c.-a-consagração-final-senda-e-o-pacto"/>
    <w:p>
      <w:pPr>
        <w:pStyle w:val="Heading4"/>
      </w:pPr>
      <w:r>
        <w:rPr>
          <w:rStyle w:val="SectionNumber"/>
        </w:rPr>
        <w:t xml:space="preserve">1.4.3.3</w:t>
      </w:r>
      <w:r>
        <w:tab/>
      </w:r>
      <w:r>
        <w:t xml:space="preserve">C. A Consagração Final (Senda) e o Pacto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Energização Individual:</w:t>
      </w:r>
      <w:r>
        <w:t xml:space="preserve"> </w:t>
      </w:r>
      <w:r>
        <w:t xml:space="preserve">Soprar (</w:t>
      </w:r>
      <w:r>
        <w:rPr>
          <w:i/>
          <w:iCs/>
        </w:rPr>
        <w:t xml:space="preserve">önd</w:t>
      </w:r>
      <w:r>
        <w:t xml:space="preserve">) sobre cada runa, sussurrando seu nome e intento.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Consagração pelos Elementos:</w:t>
      </w:r>
      <w:r>
        <w:t xml:space="preserve"> </w:t>
      </w:r>
      <w:r>
        <w:t xml:space="preserve">Expor o conjunto à</w:t>
      </w:r>
      <w:r>
        <w:t xml:space="preserve"> </w:t>
      </w:r>
      <w:r>
        <w:rPr>
          <w:b/>
          <w:bCs/>
        </w:rPr>
        <w:t xml:space="preserve">fumaça</w:t>
      </w:r>
      <w:r>
        <w:t xml:space="preserve"> </w:t>
      </w:r>
      <w:r>
        <w:t xml:space="preserve">(Ar/Fogo),</w:t>
      </w:r>
      <w:r>
        <w:t xml:space="preserve"> </w:t>
      </w:r>
      <w:r>
        <w:rPr>
          <w:b/>
          <w:bCs/>
        </w:rPr>
        <w:t xml:space="preserve">água salgada</w:t>
      </w:r>
      <w:r>
        <w:t xml:space="preserve"> </w:t>
      </w:r>
      <w:r>
        <w:t xml:space="preserve">(Água) e</w:t>
      </w:r>
      <w:r>
        <w:t xml:space="preserve"> </w:t>
      </w:r>
      <w:r>
        <w:rPr>
          <w:b/>
          <w:bCs/>
        </w:rPr>
        <w:t xml:space="preserve">terra</w:t>
      </w:r>
      <w:r>
        <w:t xml:space="preserve"> </w:t>
      </w:r>
      <w:r>
        <w:t xml:space="preserve">(Terra).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Alojamento Sagrado:</w:t>
      </w:r>
      <w:r>
        <w:t xml:space="preserve"> </w:t>
      </w:r>
      <w:r>
        <w:t xml:space="preserve">Guardar as runas em um</w:t>
      </w:r>
      <w:r>
        <w:t xml:space="preserve"> </w:t>
      </w:r>
      <w:r>
        <w:rPr>
          <w:b/>
          <w:bCs/>
        </w:rPr>
        <w:t xml:space="preserve">saculum</w:t>
      </w:r>
      <w:r>
        <w:t xml:space="preserve"> </w:t>
      </w:r>
      <w:r>
        <w:t xml:space="preserve">(saco de tecido natural), um</w:t>
      </w:r>
      <w:r>
        <w:t xml:space="preserve"> </w:t>
      </w:r>
      <w:r>
        <w:rPr>
          <w:i/>
          <w:iCs/>
        </w:rPr>
        <w:t xml:space="preserve">útfararkista</w:t>
      </w:r>
      <w:r>
        <w:t xml:space="preserve"> </w:t>
      </w:r>
      <w:r>
        <w:t xml:space="preserve">(cofre de poder) pessoal.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 Primeira Tiragem (Ráða &amp; Freista):</w:t>
      </w:r>
      <w:r>
        <w:t xml:space="preserve"> </w:t>
      </w:r>
      <w:r>
        <w:t xml:space="preserve">Tirar uma única runa em estado meditativo. Esta não é uma previsão, mas a</w:t>
      </w:r>
      <w:r>
        <w:t xml:space="preserve"> </w:t>
      </w:r>
      <w:r>
        <w:rPr>
          <w:b/>
          <w:bCs/>
        </w:rPr>
        <w:t xml:space="preserve">apresentação do espírito-guia rúnico</w:t>
      </w:r>
      <w:r>
        <w:t xml:space="preserve"> </w:t>
      </w:r>
      <w:r>
        <w:t xml:space="preserve">que regerá a jornada inicial do praticante. Meditar sobre ela e observar sua manifestação na vida quotidiana.</w:t>
      </w:r>
    </w:p>
    <w:p>
      <w:pPr>
        <w:pStyle w:val="FirstParagraph"/>
      </w:pPr>
      <w:r>
        <w:t xml:space="preserve">A jornada com as Runas principia no Vazio criativo (Ginnungagap) e é acessada através do Sacrifício (Óðinn).</w:t>
      </w:r>
      <w:r>
        <w:t xml:space="preserve"> </w:t>
      </w:r>
      <w:r>
        <w:t xml:space="preserve">A cosmogonia é o</w:t>
      </w:r>
      <w:r>
        <w:t xml:space="preserve"> </w:t>
      </w:r>
      <w:r>
        <w:rPr>
          <w:b/>
          <w:bCs/>
        </w:rPr>
        <w:t xml:space="preserve">mapa da origem do poder</w:t>
      </w:r>
      <w:r>
        <w:t xml:space="preserve">; as Oito Proficiências são as</w:t>
      </w:r>
      <w:r>
        <w:t xml:space="preserve"> </w:t>
      </w:r>
      <w:r>
        <w:rPr>
          <w:b/>
          <w:bCs/>
        </w:rPr>
        <w:t xml:space="preserve">ferramentas de navegação</w:t>
      </w:r>
      <w:r>
        <w:t xml:space="preserve">; e a criação do conjunto é o</w:t>
      </w:r>
      <w:r>
        <w:t xml:space="preserve"> </w:t>
      </w:r>
      <w:r>
        <w:rPr>
          <w:b/>
          <w:bCs/>
        </w:rPr>
        <w:t xml:space="preserve">rito de passagem</w:t>
      </w:r>
      <w:r>
        <w:t xml:space="preserve"> </w:t>
      </w:r>
      <w:r>
        <w:t xml:space="preserve">que transforma o estudante em um</w:t>
      </w:r>
      <w:r>
        <w:t xml:space="preserve"> </w:t>
      </w:r>
      <w:r>
        <w:rPr>
          <w:i/>
          <w:iCs/>
        </w:rPr>
        <w:t xml:space="preserve">garðr</w:t>
      </w:r>
      <w:r>
        <w:t xml:space="preserve"> </w:t>
      </w:r>
      <w:r>
        <w:t xml:space="preserve">(recinto vivo) para as forças rúnicas.</w:t>
      </w:r>
      <w:r>
        <w:t xml:space="preserve"> </w:t>
      </w:r>
      <w:r>
        <w:t xml:space="preserve">O conjunto pessoal torna-se, assim, um microcosmo do universo, um reflexo de Yggdrasil e um testemunho do sacrifício iniciático do praticante.</w:t>
      </w:r>
    </w:p>
    <w:bookmarkEnd w:id="54"/>
    <w:bookmarkEnd w:id="55"/>
    <w:bookmarkEnd w:id="56"/>
    <w:bookmarkEnd w:id="57"/>
    <w:sectPr w:rsidR="001E1D5E" w:rsidRPr="00E5335B" w:rsidSect="00741F61">
      <w:footnotePr>
        <w:numRestart w:val="eachSect"/>
      </w:footnotePr>
      <w:pgSz w:h="15840" w:w="12240"/>
      <w:pgMar w:bottom="1418" w:footer="720" w:gutter="0" w:header="720" w:left="1418" w:right="1418" w:top="1418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adian Runes">
    <w:panose1 w:val="00000000000000000000"/>
    <w:charset w:val="00"/>
    <w:family w:val="auto"/>
    <w:pitch w:val="variable"/>
    <w:sig w:usb0="80000007" w:usb1="1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98608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576382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5B6"/>
    <w:rsid w:val="000C6DE0"/>
    <w:rsid w:val="000D46DB"/>
    <w:rsid w:val="00116EAC"/>
    <w:rsid w:val="001E1D5E"/>
    <w:rsid w:val="0027570D"/>
    <w:rsid w:val="002905B6"/>
    <w:rsid w:val="002A66E1"/>
    <w:rsid w:val="00335196"/>
    <w:rsid w:val="003A5630"/>
    <w:rsid w:val="004650CC"/>
    <w:rsid w:val="005710EF"/>
    <w:rsid w:val="0064011B"/>
    <w:rsid w:val="006A4B2F"/>
    <w:rsid w:val="006B1A16"/>
    <w:rsid w:val="00741F61"/>
    <w:rsid w:val="00821759"/>
    <w:rsid w:val="0082719E"/>
    <w:rsid w:val="008A33B8"/>
    <w:rsid w:val="009A64DA"/>
    <w:rsid w:val="009E7188"/>
    <w:rsid w:val="00A238DE"/>
    <w:rsid w:val="00A53826"/>
    <w:rsid w:val="00AF34BC"/>
    <w:rsid w:val="00B25875"/>
    <w:rsid w:val="00CC0182"/>
    <w:rsid w:val="00D735E8"/>
    <w:rsid w:val="00E5335B"/>
    <w:rsid w:val="00ED3336"/>
    <w:rsid w:val="00F73ED7"/>
    <w:rsid w:val="00FB6741"/>
    <w:rsid w:val="00FC167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16EAC"/>
    <w:pPr>
      <w:jc w:val="both"/>
    </w:pPr>
    <w:rPr>
      <w:rFonts w:ascii="Calibri" w:hAnsi="Calibri"/>
      <w:spacing w:val="8"/>
    </w:rPr>
  </w:style>
  <w:style w:styleId="Ttulo1" w:type="paragraph">
    <w:name w:val="heading 1"/>
    <w:aliases w:val="Heading 1"/>
    <w:basedOn w:val="Normal"/>
    <w:next w:val="Corpodetexto"/>
    <w:link w:val="Ttulo1Char"/>
    <w:uiPriority w:val="9"/>
    <w:qFormat/>
    <w:rsid w:val="00D735E8"/>
    <w:pPr>
      <w:keepNext/>
      <w:keepLines/>
      <w:spacing w:after="80" w:before="360"/>
      <w:jc w:val="center"/>
      <w:outlineLvl w:val="0"/>
    </w:pPr>
    <w:rPr>
      <w:rFonts w:ascii="Acadian Runes" w:cstheme="majorBidi" w:eastAsiaTheme="majorEastAsia" w:hAnsi="Acadian Runes"/>
      <w:color w:themeColor="text1" w:themeTint="F2" w:val="0D0D0D"/>
      <w:sz w:val="48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aliases w:val="Heading 3"/>
    <w:basedOn w:val="Normal"/>
    <w:next w:val="Corpodetexto"/>
    <w:link w:val="Ttulo3Char"/>
    <w:uiPriority w:val="9"/>
    <w:unhideWhenUsed/>
    <w:qFormat/>
    <w:rsid w:val="00D735E8"/>
    <w:pPr>
      <w:keepNext/>
      <w:keepLines/>
      <w:spacing w:before="280"/>
      <w:outlineLvl w:val="2"/>
    </w:pPr>
    <w:rPr>
      <w:rFonts w:ascii="Caveat" w:cstheme="majorBidi" w:eastAsiaTheme="majorEastAsia" w:hAnsi="Caveat"/>
      <w:color w:themeColor="text1" w:themeTint="BF" w:val="404040"/>
      <w:sz w:val="36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rsid w:val="009A64DA"/>
    <w:pPr>
      <w:spacing w:after="80"/>
      <w:contextualSpacing/>
      <w:jc w:val="center"/>
    </w:pPr>
    <w:rPr>
      <w:rFonts w:ascii="Acadian Runes" w:cstheme="majorBidi" w:eastAsiaTheme="majorEastAsia" w:hAnsi="Acadian Runes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9A64DA"/>
    <w:rPr>
      <w:rFonts w:ascii="Acadian Runes" w:cstheme="majorBidi" w:eastAsiaTheme="majorEastAsia" w:hAnsi="Acadian Runes"/>
      <w:spacing w:val="8"/>
      <w:sz w:val="56"/>
      <w:szCs w:val="56"/>
    </w:rPr>
  </w:style>
  <w:style w:styleId="Subttulo" w:type="paragraph">
    <w:name w:val="Subtitle"/>
    <w:basedOn w:val="Ttulo"/>
    <w:next w:val="Corpodetexto"/>
    <w:link w:val="SubttuloChar"/>
    <w:uiPriority w:val="11"/>
    <w:rsid w:val="00AF34BC"/>
    <w:pPr>
      <w:numPr>
        <w:ilvl w:val="1"/>
      </w:numPr>
    </w:pPr>
    <w:rPr>
      <w:rFonts w:ascii="Caveat" w:hAnsi="Caveat"/>
      <w:i/>
      <w:color w:themeColor="background2" w:themeShade="80" w:val="747474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F34BC"/>
    <w:rPr>
      <w:rFonts w:ascii="Caveat" w:cstheme="majorBidi" w:eastAsiaTheme="majorEastAsia" w:hAnsi="Caveat"/>
      <w:i/>
      <w:color w:themeColor="background2" w:themeShade="80" w:val="747474"/>
      <w:spacing w:val="15"/>
      <w:sz w:val="28"/>
      <w:szCs w:val="28"/>
    </w:rPr>
  </w:style>
  <w:style w:customStyle="1" w:styleId="Author" w:type="paragraph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styleId="Data" w:type="paragraph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aliases w:val="Heading 1 Char2"/>
    <w:basedOn w:val="Fontepargpadro"/>
    <w:link w:val="Ttulo1"/>
    <w:uiPriority w:val="9"/>
    <w:rsid w:val="00D735E8"/>
    <w:rPr>
      <w:rFonts w:ascii="Acadian Runes" w:cstheme="majorBidi" w:eastAsiaTheme="majorEastAsia" w:hAnsi="Acadian Runes"/>
      <w:color w:themeColor="text1" w:themeTint="F2" w:val="0D0D0D"/>
      <w:spacing w:val="8"/>
      <w:sz w:val="48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aliases w:val="Heading 3 Char1"/>
    <w:basedOn w:val="Fontepargpadro"/>
    <w:link w:val="Ttulo3"/>
    <w:uiPriority w:val="9"/>
    <w:rsid w:val="00D735E8"/>
    <w:rPr>
      <w:rFonts w:ascii="Caveat" w:cstheme="majorBidi" w:eastAsiaTheme="majorEastAsia" w:hAnsi="Caveat"/>
      <w:color w:themeColor="text1" w:themeTint="BF" w:val="404040"/>
      <w:spacing w:val="8"/>
      <w:sz w:val="36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customStyle="1" w:styleId="ChristopherBooks" w:type="paragraph">
    <w:name w:val="Christopher Books"/>
    <w:basedOn w:val="Ttulo1"/>
    <w:link w:val="ChristopherBooksChar"/>
    <w:rsid w:val="00741F61"/>
  </w:style>
  <w:style w:customStyle="1" w:styleId="ChristopherBooksChar" w:type="character">
    <w:name w:val="Christopher Books Char"/>
    <w:basedOn w:val="Ttulo1Char"/>
    <w:link w:val="ChristopherBooks"/>
    <w:rsid w:val="00741F61"/>
    <w:rPr>
      <w:rFonts w:asciiTheme="majorHAnsi" w:cstheme="majorBidi" w:eastAsiaTheme="majorEastAsia" w:hAnsiTheme="majorHAnsi"/>
      <w:color w:themeColor="accent1" w:themeShade="BF" w:val="0F4761"/>
      <w:spacing w:val="8"/>
      <w:sz w:val="40"/>
      <w:szCs w:val="40"/>
    </w:rPr>
  </w:style>
  <w:style w:customStyle="1" w:styleId="ChristopherBook" w:type="paragraph">
    <w:name w:val="Christopher Book"/>
    <w:basedOn w:val="Ttulo1"/>
    <w:link w:val="ChristopherBookChar"/>
    <w:rsid w:val="00741F61"/>
    <w:rPr>
      <w:szCs w:val="48"/>
    </w:rPr>
  </w:style>
  <w:style w:customStyle="1" w:styleId="ChristopherBookChar" w:type="character">
    <w:name w:val="Christopher Book Char"/>
    <w:basedOn w:val="Ttulo1Char"/>
    <w:link w:val="ChristopherBook"/>
    <w:rsid w:val="00741F61"/>
    <w:rPr>
      <w:rFonts w:ascii="Caveat" w:cstheme="majorBidi" w:eastAsiaTheme="majorEastAsia" w:hAnsi="Caveat"/>
      <w:color w:themeColor="text1" w:themeTint="F2" w:val="0D0D0D"/>
      <w:spacing w:val="8"/>
      <w:sz w:val="48"/>
      <w:szCs w:val="48"/>
    </w:rPr>
  </w:style>
  <w:style w:customStyle="1" w:styleId="Ttulo10" w:type="paragraph">
    <w:name w:val="Título1"/>
    <w:basedOn w:val="Ttulo"/>
    <w:link w:val="TitleChar"/>
    <w:rsid w:val="001E1D5E"/>
    <w:rPr>
      <w:color w:themeColor="text1" w:themeTint="F2" w:val="0D0D0D"/>
    </w:rPr>
  </w:style>
  <w:style w:customStyle="1" w:styleId="TitleChar" w:type="character">
    <w:name w:val="Title Char"/>
    <w:basedOn w:val="TtuloChar"/>
    <w:link w:val="Ttulo10"/>
    <w:rsid w:val="001E1D5E"/>
    <w:rPr>
      <w:rFonts w:ascii="Acadian Runes" w:cstheme="majorBidi" w:eastAsiaTheme="majorEastAsia" w:hAnsi="Acadian Runes"/>
      <w:color w:themeColor="text1" w:themeTint="F2" w:val="0D0D0D"/>
      <w:spacing w:val="8"/>
      <w:sz w:val="56"/>
      <w:szCs w:val="56"/>
    </w:rPr>
  </w:style>
  <w:style w:customStyle="1" w:styleId="Ttulo11" w:type="paragraph">
    <w:name w:val="Título 11"/>
    <w:basedOn w:val="ChristopherBook"/>
    <w:link w:val="Heading1Char"/>
    <w:rsid w:val="001E1D5E"/>
    <w:rPr>
      <w:sz w:val="44"/>
      <w:szCs w:val="44"/>
    </w:rPr>
  </w:style>
  <w:style w:customStyle="1" w:styleId="Heading1Char" w:type="character">
    <w:name w:val="Heading 1 Char"/>
    <w:basedOn w:val="ChristopherBookChar"/>
    <w:link w:val="Ttulo11"/>
    <w:rsid w:val="001E1D5E"/>
    <w:rPr>
      <w:rFonts w:ascii="Caveat" w:cstheme="majorBidi" w:eastAsiaTheme="majorEastAsia" w:hAnsi="Caveat"/>
      <w:color w:themeColor="text1" w:themeTint="F2" w:val="0D0D0D"/>
      <w:spacing w:val="8"/>
      <w:sz w:val="44"/>
      <w:szCs w:val="44"/>
    </w:rPr>
  </w:style>
  <w:style w:customStyle="1" w:styleId="Ttulo21" w:type="paragraph">
    <w:name w:val="Título 21"/>
    <w:basedOn w:val="Ttulo2"/>
    <w:link w:val="Heading2Char"/>
    <w:rsid w:val="001E1D5E"/>
    <w:rPr>
      <w:rFonts w:ascii="Caveat" w:hAnsi="Caveat"/>
      <w:color w:themeColor="text1" w:themeTint="D9" w:val="262626"/>
      <w:sz w:val="36"/>
      <w:szCs w:val="36"/>
    </w:rPr>
  </w:style>
  <w:style w:customStyle="1" w:styleId="Heading2Char" w:type="character">
    <w:name w:val="Heading 2 Char"/>
    <w:basedOn w:val="Ttulo2Char"/>
    <w:link w:val="Ttulo21"/>
    <w:rsid w:val="001E1D5E"/>
    <w:rPr>
      <w:rFonts w:ascii="Caveat" w:cstheme="majorBidi" w:eastAsiaTheme="majorEastAsia" w:hAnsi="Caveat"/>
      <w:color w:themeColor="text1" w:themeTint="D9" w:val="262626"/>
      <w:sz w:val="36"/>
      <w:szCs w:val="36"/>
    </w:rPr>
  </w:style>
  <w:style w:customStyle="1" w:styleId="Ttulo31" w:type="paragraph">
    <w:name w:val="Título 31"/>
    <w:basedOn w:val="Ttulo3"/>
    <w:link w:val="Heading3Char"/>
    <w:rsid w:val="001E1D5E"/>
    <w:rPr>
      <w:i/>
      <w:iCs/>
      <w:szCs w:val="32"/>
    </w:rPr>
  </w:style>
  <w:style w:customStyle="1" w:styleId="Heading3Char" w:type="character">
    <w:name w:val="Heading 3 Char"/>
    <w:basedOn w:val="Ttulo3Char"/>
    <w:link w:val="Ttulo31"/>
    <w:rsid w:val="001E1D5E"/>
    <w:rPr>
      <w:rFonts w:ascii="Caveat" w:cstheme="majorBidi" w:eastAsiaTheme="majorEastAsia" w:hAnsi="Caveat"/>
      <w:i/>
      <w:iCs/>
      <w:color w:themeColor="text1" w:themeTint="BF" w:val="404040"/>
      <w:spacing w:val="8"/>
      <w:sz w:val="32"/>
      <w:szCs w:val="32"/>
    </w:rPr>
  </w:style>
  <w:style w:customStyle="1" w:styleId="Ttulo41" w:type="paragraph">
    <w:name w:val="Título 41"/>
    <w:basedOn w:val="Ttulo31"/>
    <w:link w:val="Heading4Char"/>
    <w:rsid w:val="00116EAC"/>
    <w:rPr>
      <w:color w:themeColor="text1" w:themeTint="A6" w:val="595959"/>
      <w:sz w:val="28"/>
    </w:rPr>
  </w:style>
  <w:style w:customStyle="1" w:styleId="Heading4Char" w:type="character">
    <w:name w:val="Heading 4 Char"/>
    <w:basedOn w:val="Heading3Char"/>
    <w:link w:val="Ttulo41"/>
    <w:rsid w:val="00116EAC"/>
    <w:rPr>
      <w:rFonts w:ascii="Caveat" w:cstheme="majorBidi" w:eastAsiaTheme="majorEastAsia" w:hAnsi="Caveat"/>
      <w:i/>
      <w:iCs/>
      <w:color w:themeColor="text1" w:themeTint="A6" w:val="595959"/>
      <w:spacing w:val="8"/>
      <w:sz w:val="28"/>
      <w:szCs w:val="32"/>
    </w:rPr>
  </w:style>
  <w:style w:customStyle="1" w:styleId="Ttulo51" w:type="paragraph">
    <w:name w:val="Título 51"/>
    <w:basedOn w:val="Ttulo31"/>
    <w:link w:val="Heading5Char"/>
    <w:rsid w:val="00116EAC"/>
    <w:rPr>
      <w:b/>
      <w:color w:themeColor="text1" w:themeTint="A6" w:val="595959"/>
    </w:rPr>
  </w:style>
  <w:style w:customStyle="1" w:styleId="Heading5Char" w:type="character">
    <w:name w:val="Heading 5 Char"/>
    <w:basedOn w:val="Heading3Char"/>
    <w:link w:val="Ttulo51"/>
    <w:rsid w:val="00116EAC"/>
    <w:rPr>
      <w:rFonts w:ascii="Caveat" w:cstheme="majorBidi" w:eastAsiaTheme="majorEastAsia" w:hAnsi="Caveat"/>
      <w:b/>
      <w:i/>
      <w:iCs/>
      <w:color w:themeColor="text1" w:themeTint="A6" w:val="595959"/>
      <w:spacing w:val="8"/>
      <w:sz w:val="32"/>
      <w:szCs w:val="32"/>
    </w:rPr>
  </w:style>
  <w:style w:customStyle="1" w:styleId="Ttulo22" w:type="paragraph">
    <w:name w:val="Título 22"/>
    <w:basedOn w:val="Ttulo21"/>
    <w:link w:val="Heading2Char1"/>
    <w:rsid w:val="00E5335B"/>
  </w:style>
  <w:style w:customStyle="1" w:styleId="Heading2Char1" w:type="character">
    <w:name w:val="Heading 2 Char1"/>
    <w:basedOn w:val="Heading2Char"/>
    <w:link w:val="Ttulo22"/>
    <w:rsid w:val="00E5335B"/>
    <w:rPr>
      <w:rFonts w:ascii="Caveat" w:cstheme="majorBidi" w:eastAsiaTheme="majorEastAsia" w:hAnsi="Caveat"/>
      <w:color w:themeColor="text1" w:themeTint="D9" w:val="262626"/>
      <w:spacing w:val="8"/>
      <w:sz w:val="36"/>
      <w:szCs w:val="36"/>
    </w:rPr>
  </w:style>
  <w:style w:customStyle="1" w:styleId="Ttulo12" w:type="paragraph">
    <w:name w:val="Título 12"/>
    <w:basedOn w:val="Ttulo11"/>
    <w:link w:val="Heading1Char1"/>
    <w:rsid w:val="00E5335B"/>
  </w:style>
  <w:style w:customStyle="1" w:styleId="Heading1Char1" w:type="character">
    <w:name w:val="Heading 1 Char1"/>
    <w:basedOn w:val="Heading1Char"/>
    <w:link w:val="Ttulo12"/>
    <w:rsid w:val="00E5335B"/>
    <w:rPr>
      <w:rFonts w:ascii="Caveat" w:cstheme="majorBidi" w:eastAsiaTheme="majorEastAsia" w:hAnsi="Caveat"/>
      <w:color w:themeColor="text1" w:themeTint="F2" w:val="0D0D0D"/>
      <w:spacing w:val="8"/>
      <w:sz w:val="44"/>
      <w:szCs w:val="44"/>
    </w:rPr>
  </w:style>
  <w:style w:customStyle="1" w:styleId="Ttulo20" w:type="paragraph">
    <w:name w:val="Título2"/>
    <w:basedOn w:val="Ttulo10"/>
    <w:link w:val="TitleChar1"/>
    <w:rsid w:val="00E5335B"/>
  </w:style>
  <w:style w:customStyle="1" w:styleId="TitleChar1" w:type="character">
    <w:name w:val="Title Char1"/>
    <w:basedOn w:val="TitleChar"/>
    <w:link w:val="Ttulo20"/>
    <w:rsid w:val="00E5335B"/>
    <w:rPr>
      <w:rFonts w:ascii="Acadian Runes" w:cstheme="majorBidi" w:eastAsiaTheme="majorEastAsia" w:hAnsi="Acadian Runes"/>
      <w:color w:themeColor="text1" w:themeTint="F2" w:val="0D0D0D"/>
      <w:spacing w:val="8"/>
      <w:sz w:val="56"/>
      <w:szCs w:val="56"/>
    </w:rPr>
  </w:style>
  <w:style w:customStyle="1" w:styleId="Heading4" w:type="paragraph">
    <w:name w:val="Heading 4"/>
    <w:basedOn w:val="Normal"/>
    <w:next w:val="Corpodetexto"/>
    <w:link w:val="Heading4Char1"/>
    <w:qFormat/>
    <w:rsid w:val="00D735E8"/>
    <w:pPr>
      <w:spacing w:after="320" w:before="240"/>
    </w:pPr>
    <w:rPr>
      <w:rFonts w:ascii="Caveat" w:hAnsi="Caveat"/>
      <w:color w:themeColor="text1" w:themeTint="A6" w:val="595959"/>
      <w:sz w:val="32"/>
    </w:rPr>
  </w:style>
  <w:style w:customStyle="1" w:styleId="Heading4Char1" w:type="character">
    <w:name w:val="Heading 4 Char1"/>
    <w:basedOn w:val="Heading4Char"/>
    <w:link w:val="Heading4"/>
    <w:rsid w:val="00D735E8"/>
    <w:rPr>
      <w:rFonts w:ascii="Caveat" w:cstheme="majorBidi" w:eastAsiaTheme="majorEastAsia" w:hAnsi="Caveat"/>
      <w:i w:val="0"/>
      <w:iCs w:val="0"/>
      <w:color w:themeColor="text1" w:themeTint="A6" w:val="595959"/>
      <w:spacing w:val="8"/>
      <w:sz w:val="32"/>
      <w:szCs w:val="32"/>
    </w:rPr>
  </w:style>
  <w:style w:customStyle="1" w:styleId="Heading2" w:type="paragraph">
    <w:name w:val="Heading 2"/>
    <w:basedOn w:val="Normal"/>
    <w:next w:val="Corpodetexto"/>
    <w:link w:val="Heading2Char2"/>
    <w:qFormat/>
    <w:rsid w:val="00D735E8"/>
    <w:rPr>
      <w:rFonts w:ascii="Caveat" w:hAnsi="Caveat"/>
      <w:color w:themeColor="text1" w:themeTint="D9" w:val="262626"/>
      <w:sz w:val="40"/>
    </w:rPr>
  </w:style>
  <w:style w:customStyle="1" w:styleId="Heading2Char2" w:type="character">
    <w:name w:val="Heading 2 Char2"/>
    <w:basedOn w:val="Heading2Char1"/>
    <w:link w:val="Heading2"/>
    <w:rsid w:val="00D735E8"/>
    <w:rPr>
      <w:rFonts w:ascii="Caveat" w:cstheme="majorBidi" w:eastAsiaTheme="majorEastAsia" w:hAnsi="Caveat"/>
      <w:color w:themeColor="text1" w:themeTint="D9" w:val="262626"/>
      <w:spacing w:val="8"/>
      <w:sz w:val="40"/>
      <w:szCs w:val="36"/>
    </w:rPr>
  </w:style>
  <w:style w:customStyle="1" w:styleId="Heading5" w:type="paragraph">
    <w:name w:val="Heading 5"/>
    <w:basedOn w:val="Normal"/>
    <w:next w:val="Corpodetexto"/>
    <w:link w:val="Heading5Char1"/>
    <w:qFormat/>
    <w:rsid w:val="00D735E8"/>
    <w:pPr>
      <w:spacing w:after="440" w:before="240"/>
    </w:pPr>
    <w:rPr>
      <w:rFonts w:ascii="Caveat" w:hAnsi="Caveat"/>
      <w:b/>
      <w:i/>
      <w:color w:themeColor="text1" w:themeTint="80" w:val="7F7F7F"/>
      <w:sz w:val="28"/>
    </w:rPr>
  </w:style>
  <w:style w:customStyle="1" w:styleId="Heading5Char1" w:type="character">
    <w:name w:val="Heading 5 Char1"/>
    <w:basedOn w:val="Heading5Char"/>
    <w:link w:val="Heading5"/>
    <w:rsid w:val="00D735E8"/>
    <w:rPr>
      <w:rFonts w:ascii="Caveat" w:cstheme="majorBidi" w:eastAsiaTheme="majorEastAsia" w:hAnsi="Caveat"/>
      <w:b/>
      <w:i/>
      <w:iCs w:val="0"/>
      <w:color w:themeColor="text1" w:themeTint="80" w:val="7F7F7F"/>
      <w:spacing w:val="8"/>
      <w:sz w:val="28"/>
      <w:szCs w:val="32"/>
    </w:rPr>
  </w:style>
  <w:style w:customStyle="1" w:styleId="Heading6" w:type="paragraph">
    <w:name w:val="Heading 6"/>
    <w:basedOn w:val="Normal"/>
    <w:next w:val="Corpodetexto"/>
    <w:link w:val="Heading6Char"/>
    <w:qFormat/>
    <w:rsid w:val="00D735E8"/>
    <w:rPr>
      <w:rFonts w:ascii="Caveat" w:hAnsi="Caveat"/>
      <w:b/>
      <w:i/>
      <w:color w:themeColor="text1" w:themeTint="80" w:val="7F7F7F"/>
      <w:sz w:val="36"/>
    </w:rPr>
  </w:style>
  <w:style w:customStyle="1" w:styleId="Heading6Char" w:type="character">
    <w:name w:val="Heading 6 Char"/>
    <w:basedOn w:val="Heading5Char1"/>
    <w:link w:val="Heading6"/>
    <w:rsid w:val="00D735E8"/>
    <w:rPr>
      <w:rFonts w:ascii="Caveat" w:cstheme="majorBidi" w:eastAsiaTheme="majorEastAsia" w:hAnsi="Caveat"/>
      <w:b/>
      <w:i/>
      <w:iCs w:val="0"/>
      <w:color w:themeColor="text1" w:themeTint="80" w:val="7F7F7F"/>
      <w:spacing w:val="8"/>
      <w:sz w:val="36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/apendice-a.md" TargetMode="External" /><Relationship Type="http://schemas.openxmlformats.org/officeDocument/2006/relationships/hyperlink" Id="rId27" Target="./apendice-b.md" TargetMode="External" /><Relationship Type="http://schemas.openxmlformats.org/officeDocument/2006/relationships/hyperlink" Id="rId28" Target="./apendice-c.md" TargetMode="External" /><Relationship Type="http://schemas.openxmlformats.org/officeDocument/2006/relationships/hyperlink" Id="rId29" Target="./apendice-d.md" TargetMode="External" /><Relationship Type="http://schemas.openxmlformats.org/officeDocument/2006/relationships/hyperlink" Id="rId30" Target="./apendice-e.md" TargetMode="External" /><Relationship Type="http://schemas.openxmlformats.org/officeDocument/2006/relationships/hyperlink" Id="rId31" Target="./apendice-f.md" TargetMode="External" /><Relationship Type="http://schemas.openxmlformats.org/officeDocument/2006/relationships/hyperlink" Id="rId24" Target="./bibliografia.md" TargetMode="External" /><Relationship Type="http://schemas.openxmlformats.org/officeDocument/2006/relationships/hyperlink" Id="rId12" Target="./capitulo-01.md" TargetMode="External" /><Relationship Type="http://schemas.openxmlformats.org/officeDocument/2006/relationships/hyperlink" Id="rId14" Target="./capitulo-02.md" TargetMode="External" /><Relationship Type="http://schemas.openxmlformats.org/officeDocument/2006/relationships/hyperlink" Id="rId15" Target="./capitulo-03.md" TargetMode="External" /><Relationship Type="http://schemas.openxmlformats.org/officeDocument/2006/relationships/hyperlink" Id="rId16" Target="./capitulo-04.md" TargetMode="External" /><Relationship Type="http://schemas.openxmlformats.org/officeDocument/2006/relationships/hyperlink" Id="rId18" Target="./capitulo-05.md" TargetMode="External" /><Relationship Type="http://schemas.openxmlformats.org/officeDocument/2006/relationships/hyperlink" Id="rId19" Target="./capitulo-06.md" TargetMode="External" /><Relationship Type="http://schemas.openxmlformats.org/officeDocument/2006/relationships/hyperlink" Id="rId20" Target="./capitulo-07.md" TargetMode="External" /><Relationship Type="http://schemas.openxmlformats.org/officeDocument/2006/relationships/hyperlink" Id="rId21" Target="./capitulo-08.md" TargetMode="External" /><Relationship Type="http://schemas.openxmlformats.org/officeDocument/2006/relationships/hyperlink" Id="rId23" Target="./capitulo-09.md" TargetMode="External" /><Relationship Type="http://schemas.openxmlformats.org/officeDocument/2006/relationships/hyperlink" Id="rId33" Target="./indice-remissivo.md" TargetMode="External" /><Relationship Type="http://schemas.openxmlformats.org/officeDocument/2006/relationships/hyperlink" Id="rId10" Target="./prolog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apendice-a.md" TargetMode="External" /><Relationship Type="http://schemas.openxmlformats.org/officeDocument/2006/relationships/hyperlink" Id="rId27" Target="./apendice-b.md" TargetMode="External" /><Relationship Type="http://schemas.openxmlformats.org/officeDocument/2006/relationships/hyperlink" Id="rId28" Target="./apendice-c.md" TargetMode="External" /><Relationship Type="http://schemas.openxmlformats.org/officeDocument/2006/relationships/hyperlink" Id="rId29" Target="./apendice-d.md" TargetMode="External" /><Relationship Type="http://schemas.openxmlformats.org/officeDocument/2006/relationships/hyperlink" Id="rId30" Target="./apendice-e.md" TargetMode="External" /><Relationship Type="http://schemas.openxmlformats.org/officeDocument/2006/relationships/hyperlink" Id="rId31" Target="./apendice-f.md" TargetMode="External" /><Relationship Type="http://schemas.openxmlformats.org/officeDocument/2006/relationships/hyperlink" Id="rId24" Target="./bibliografia.md" TargetMode="External" /><Relationship Type="http://schemas.openxmlformats.org/officeDocument/2006/relationships/hyperlink" Id="rId12" Target="./capitulo-01.md" TargetMode="External" /><Relationship Type="http://schemas.openxmlformats.org/officeDocument/2006/relationships/hyperlink" Id="rId14" Target="./capitulo-02.md" TargetMode="External" /><Relationship Type="http://schemas.openxmlformats.org/officeDocument/2006/relationships/hyperlink" Id="rId15" Target="./capitulo-03.md" TargetMode="External" /><Relationship Type="http://schemas.openxmlformats.org/officeDocument/2006/relationships/hyperlink" Id="rId16" Target="./capitulo-04.md" TargetMode="External" /><Relationship Type="http://schemas.openxmlformats.org/officeDocument/2006/relationships/hyperlink" Id="rId18" Target="./capitulo-05.md" TargetMode="External" /><Relationship Type="http://schemas.openxmlformats.org/officeDocument/2006/relationships/hyperlink" Id="rId19" Target="./capitulo-06.md" TargetMode="External" /><Relationship Type="http://schemas.openxmlformats.org/officeDocument/2006/relationships/hyperlink" Id="rId20" Target="./capitulo-07.md" TargetMode="External" /><Relationship Type="http://schemas.openxmlformats.org/officeDocument/2006/relationships/hyperlink" Id="rId21" Target="./capitulo-08.md" TargetMode="External" /><Relationship Type="http://schemas.openxmlformats.org/officeDocument/2006/relationships/hyperlink" Id="rId23" Target="./capitulo-09.md" TargetMode="External" /><Relationship Type="http://schemas.openxmlformats.org/officeDocument/2006/relationships/hyperlink" Id="rId33" Target="./indice-remissivo.md" TargetMode="External" /><Relationship Type="http://schemas.openxmlformats.org/officeDocument/2006/relationships/hyperlink" Id="rId10" Target="./prolog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</Words>
  <Characters>63</Characters>
  <Application>Microsoft Office Word</Application>
  <DocSecurity>0</DocSecurity>
  <Lines>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Compêndio do Futhark Antigo</dc:title>
  <dc:creator>Christopher Nicolas Santa Maria Mauricio</dc:creator>
  <dc:language>pt-BR</dc:language>
  <cp:keywords>, , , , , , </cp:keywords>
  <dcterms:created xsi:type="dcterms:W3CDTF">2026-01-02T14:25:00Z</dcterms:created>
  <dcterms:modified xsi:type="dcterms:W3CDTF">2026-01-02T14:25:00Z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  <property fmtid="{D5CDD505-2E9C-101B-9397-08002B2CF9AE}" pid="3" name="subtitle">
    <vt:lpwstr>Das Origens Cósmicas à Práxis Oracular e Mágica</vt:lpwstr>
  </property>
</Properties>
</file>