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rPr>
        <w:t>Informe de ejecución y conclusiones</w:t>
        <w:br/>
      </w:r>
      <w:r>
        <w:rPr>
          <w:rFonts w:ascii="Arial" w:hAnsi="Arial"/>
          <w:b/>
          <w:color w:val="176B87"/>
          <w:sz w:val="44"/>
        </w:rPr>
        <w:t>Prueba Técnica Data Analyst</w:t>
      </w:r>
    </w:p>
    <w:p>
      <w:pPr>
        <w:pStyle w:val="Subtitle"/>
      </w:pPr>
      <w:r>
        <w:rPr>
          <w:rFonts w:ascii="Arial" w:hAnsi="Arial"/>
        </w:rPr>
        <w:t>Cadena de retail multiformato · Centroamérica · Enero 2024 a junio 2025</w:t>
      </w:r>
    </w:p>
    <w:tbl>
      <w:tblPr>
        <w:tblStyle w:val="TableGrid"/>
        <w:tblW w:type="dxa" w:w="9360"/>
        <w:jc w:val="left"/>
        <w:tblLayout w:type="fixed"/>
        <w:tblLook w:firstColumn="1" w:firstRow="1" w:lastColumn="0" w:lastRow="0" w:noHBand="0" w:noVBand="1" w:val="04A0"/>
      </w:tblPr>
      <w:tblGrid>
        <w:gridCol w:w="4968"/>
        <w:gridCol w:w="4968"/>
      </w:tblGrid>
      <w:tr>
        <w:tc>
          <w:tcPr>
            <w:tcW w:type="dxa" w:w="244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Campo</w:t>
            </w:r>
          </w:p>
        </w:tc>
        <w:tc>
          <w:tcPr>
            <w:tcW w:type="dxa" w:w="748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Detalle</w:t>
            </w:r>
          </w:p>
        </w:tc>
      </w:tr>
      <w:tr>
        <w:tc>
          <w:tcPr>
            <w:tcW w:type="dxa" w:w="244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Candidato</w:t>
            </w:r>
          </w:p>
        </w:tc>
        <w:tc>
          <w:tcPr>
            <w:tcW w:type="dxa" w:w="748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Christopher Porras</w:t>
            </w:r>
          </w:p>
        </w:tc>
      </w:tr>
      <w:tr>
        <w:tc>
          <w:tcPr>
            <w:tcW w:type="dxa" w:w="244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Repositorio</w:t>
            </w:r>
          </w:p>
        </w:tc>
        <w:tc>
          <w:tcPr>
            <w:tcW w:type="dxa" w:w="748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https://github.com/ChristopherPorras/prueba_tecnica_christopher_porras</w:t>
            </w:r>
          </w:p>
        </w:tc>
      </w:tr>
      <w:tr>
        <w:tc>
          <w:tcPr>
            <w:tcW w:type="dxa" w:w="244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Documento de referencia</w:t>
            </w:r>
          </w:p>
        </w:tc>
        <w:tc>
          <w:tcPr>
            <w:tcW w:type="dxa" w:w="748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/Users/mac/Downloads/prueba_tecnica.pdf</w:t>
            </w:r>
          </w:p>
        </w:tc>
      </w:tr>
      <w:tr>
        <w:tc>
          <w:tcPr>
            <w:tcW w:type="dxa" w:w="244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Base local</w:t>
            </w:r>
          </w:p>
        </w:tc>
        <w:tc>
          <w:tcPr>
            <w:tcW w:type="dxa" w:w="748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data/retail_prueba_tecnica.sqlite</w:t>
            </w:r>
          </w:p>
        </w:tc>
      </w:tr>
      <w:tr>
        <w:tc>
          <w:tcPr>
            <w:tcW w:type="dxa" w:w="244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Dashboard</w:t>
            </w:r>
          </w:p>
        </w:tc>
        <w:tc>
          <w:tcPr>
            <w:tcW w:type="dxa" w:w="748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bloque5_dashboard.html</w:t>
            </w:r>
          </w:p>
        </w:tc>
      </w:tr>
      <w:tr>
        <w:tc>
          <w:tcPr>
            <w:tcW w:type="dxa" w:w="244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Presentación ejecutiva</w:t>
            </w:r>
          </w:p>
        </w:tc>
        <w:tc>
          <w:tcPr>
            <w:tcW w:type="dxa" w:w="748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bloque5_presentacion_EN.pdf</w:t>
            </w:r>
          </w:p>
        </w:tc>
      </w:tr>
    </w:tbl>
    <w:p/>
    <w:p>
      <w:pPr>
        <w:pStyle w:val="Heading1"/>
      </w:pPr>
      <w:r>
        <w:rPr>
          <w:rFonts w:ascii="Arial" w:hAnsi="Arial"/>
          <w:color w:val="176B87"/>
        </w:rPr>
        <w:t>Saludo inicial</w:t>
      </w:r>
    </w:p>
    <w:p>
      <w:pPr>
        <w:spacing w:after="120"/>
      </w:pPr>
      <w:r>
        <w:rPr>
          <w:rFonts w:ascii="Arial" w:hAnsi="Arial"/>
          <w:color w:val="1F2933"/>
        </w:rPr>
        <w:t>Estimada Lucia Barrantes:</w:t>
      </w:r>
    </w:p>
    <w:p>
      <w:pPr>
        <w:spacing w:after="120"/>
      </w:pPr>
      <w:r>
        <w:rPr>
          <w:rFonts w:ascii="Arial" w:hAnsi="Arial"/>
          <w:color w:val="1F2933"/>
        </w:rPr>
        <w:t>Espero que se encuentre muy bien. A continuación presento el informe técnico de la prueba práctica desarrollada para el proceso de selección de Data Analyst. El documento resume el enfoque, la ejecución, las tecnologías utilizadas, los archivos entregables y las conclusiones principales por cada requerimiento del PDF de la prueba.</w:t>
      </w:r>
    </w:p>
    <w:p>
      <w:pPr>
        <w:spacing w:after="120"/>
      </w:pPr>
      <w:r>
        <w:rPr>
          <w:rFonts w:ascii="Arial" w:hAnsi="Arial"/>
          <w:color w:val="1F2933"/>
        </w:rPr>
        <w:t>La solución fue construida para poder revisarse de forma reproducible desde Visual Studio Code, usando SQLite como base local portable y un dashboard HTML interactivo para explicar los resultados sin depender de instalaciones administrativas.</w:t>
      </w:r>
    </w:p>
    <w:p>
      <w:pPr>
        <w:pStyle w:val="Heading1"/>
      </w:pPr>
      <w:r>
        <w:rPr>
          <w:rFonts w:ascii="Arial" w:hAnsi="Arial"/>
          <w:color w:val="176B87"/>
        </w:rPr>
        <w:t>Resumen ejecutivo</w:t>
      </w:r>
    </w:p>
    <w:p>
      <w:pPr>
        <w:pStyle w:val="ListBullet"/>
        <w:spacing w:after="100"/>
        <w:ind w:left="720" w:hanging="360"/>
      </w:pPr>
      <w:r>
        <w:rPr>
          <w:rFonts w:ascii="Arial" w:hAnsi="Arial"/>
          <w:color w:val="1F2933"/>
          <w:sz w:val="22"/>
        </w:rPr>
        <w:t>Se procesaron seis datasets sintéticos: transacciones, ítems de transacción, tiendas, productos, proveedores y promociones.</w:t>
      </w:r>
    </w:p>
    <w:p>
      <w:pPr>
        <w:pStyle w:val="ListBullet"/>
        <w:spacing w:after="100"/>
        <w:ind w:left="720" w:hanging="360"/>
      </w:pPr>
      <w:r>
        <w:rPr>
          <w:rFonts w:ascii="Arial" w:hAnsi="Arial"/>
          <w:color w:val="1F2933"/>
          <w:sz w:val="22"/>
        </w:rPr>
        <w:t>La base contiene 174,880 transacciones, 542,015 ítems, 40 tiendas, 200 productos, 30 proveedores y 42 asignaciones de promociones.</w:t>
      </w:r>
    </w:p>
    <w:p>
      <w:pPr>
        <w:pStyle w:val="ListBullet"/>
        <w:spacing w:after="100"/>
        <w:ind w:left="720" w:hanging="360"/>
      </w:pPr>
      <w:r>
        <w:rPr>
          <w:rFonts w:ascii="Arial" w:hAnsi="Arial"/>
          <w:color w:val="1F2933"/>
          <w:sz w:val="22"/>
        </w:rPr>
        <w:t>Se resolvieron los seis bloques solicitados en el PDF: auditoría, SQL avanzado, modelo dimensional, análisis exploratorio, indicadores y dashboard con presentación ejecutiva.</w:t>
      </w:r>
    </w:p>
    <w:p>
      <w:pPr>
        <w:pStyle w:val="ListBullet"/>
        <w:spacing w:after="100"/>
        <w:ind w:left="720" w:hanging="360"/>
      </w:pPr>
      <w:r>
        <w:rPr>
          <w:rFonts w:ascii="Arial" w:hAnsi="Arial"/>
          <w:color w:val="1F2933"/>
          <w:sz w:val="22"/>
        </w:rPr>
        <w:t>El dashboard permite operar por país, formato, región, rango de fechas y tienda; se agregó selector desplegable para ver todas las tiendas o una tienda específica.</w:t>
      </w:r>
    </w:p>
    <w:p>
      <w:pPr>
        <w:pStyle w:val="ListBullet"/>
        <w:spacing w:after="100"/>
        <w:ind w:left="720" w:hanging="360"/>
      </w:pPr>
      <w:r>
        <w:rPr>
          <w:rFonts w:ascii="Arial" w:hAnsi="Arial"/>
          <w:color w:val="1F2933"/>
          <w:sz w:val="22"/>
        </w:rPr>
        <w:t>SQLite permite ejecutar y demostrar los queries en vivo desde VS Code sin SQL Server local.</w:t>
      </w:r>
    </w:p>
    <w:p>
      <w:pPr>
        <w:pStyle w:val="Heading1"/>
      </w:pPr>
      <w:r>
        <w:rPr>
          <w:rFonts w:ascii="Arial" w:hAnsi="Arial"/>
          <w:color w:val="176B87"/>
        </w:rPr>
        <w:t>Referencia directa al PDF de la prueba práctica</w:t>
      </w:r>
    </w:p>
    <w:tbl>
      <w:tblPr>
        <w:tblStyle w:val="TableGrid"/>
        <w:tblW w:type="dxa" w:w="9360"/>
        <w:jc w:val="left"/>
        <w:tblLayout w:type="fixed"/>
        <w:tblLook w:firstColumn="1" w:firstRow="1" w:lastColumn="0" w:lastRow="0" w:noHBand="0" w:noVBand="1" w:val="04A0"/>
      </w:tblPr>
      <w:tblGrid>
        <w:gridCol w:w="3312"/>
        <w:gridCol w:w="3312"/>
        <w:gridCol w:w="3312"/>
      </w:tblGrid>
      <w:tr>
        <w:tc>
          <w:tcPr>
            <w:tcW w:type="dxa" w:w="1655"/>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Página del PDF</w:t>
            </w:r>
          </w:p>
        </w:tc>
        <w:tc>
          <w:tcPr>
            <w:tcW w:type="dxa" w:w="338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Requerimiento</w:t>
            </w:r>
          </w:p>
        </w:tc>
        <w:tc>
          <w:tcPr>
            <w:tcW w:type="dxa" w:w="489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Cómo se respondió en el proyecto</w:t>
            </w:r>
          </w:p>
        </w:tc>
      </w:tr>
      <w:tr>
        <w:tc>
          <w:tcPr>
            <w:tcW w:type="dxa" w:w="1655"/>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Página 1</w:t>
            </w:r>
          </w:p>
        </w:tc>
        <w:tc>
          <w:tcPr>
            <w:tcW w:type="dxa" w:w="338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Entrega en repositorio con README claro y libertad de herramientas.</w:t>
            </w:r>
          </w:p>
        </w:tc>
        <w:tc>
          <w:tcPr>
            <w:tcW w:type="dxa" w:w="489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Repositorio GitHub con README, scripts de ejecución, SQLite local, HTML, PDF y archivos por bloque.</w:t>
            </w:r>
          </w:p>
        </w:tc>
      </w:tr>
      <w:tr>
        <w:tc>
          <w:tcPr>
            <w:tcW w:type="dxa" w:w="1655"/>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Página 4</w:t>
            </w:r>
          </w:p>
        </w:tc>
        <w:tc>
          <w:tcPr>
            <w:tcW w:type="dxa" w:w="338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 0: auditoría de calidad de datos.</w:t>
            </w:r>
          </w:p>
        </w:tc>
        <w:tc>
          <w:tcPr>
            <w:tcW w:type="dxa" w:w="489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Archivo bloque0_auditoria.md con evidencia, lectura y decisión por dimensión.</w:t>
            </w:r>
          </w:p>
        </w:tc>
      </w:tr>
      <w:tr>
        <w:tc>
          <w:tcPr>
            <w:tcW w:type="dxa" w:w="1655"/>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Páginas 5-6</w:t>
            </w:r>
          </w:p>
        </w:tc>
        <w:tc>
          <w:tcPr>
            <w:tcW w:type="dxa" w:w="338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 1: seis queries SQL avanzadas comentadas.</w:t>
            </w:r>
          </w:p>
        </w:tc>
        <w:tc>
          <w:tcPr>
            <w:tcW w:type="dxa" w:w="489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bloque1_queries.sql y sqlite/03_bloque1_queries_sqlite.sql; además se materializan seis tablas en SQLite Viewer.</w:t>
            </w:r>
          </w:p>
        </w:tc>
      </w:tr>
      <w:tr>
        <w:tc>
          <w:tcPr>
            <w:tcW w:type="dxa" w:w="1655"/>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Página 7</w:t>
            </w:r>
          </w:p>
        </w:tc>
        <w:tc>
          <w:tcPr>
            <w:tcW w:type="dxa" w:w="338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 2: modelo dimensional, pipeline y gobernanza.</w:t>
            </w:r>
          </w:p>
        </w:tc>
        <w:tc>
          <w:tcPr>
            <w:tcW w:type="dxa" w:w="489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bloque2_modelo.pdf, bloque2_modelo.mmd y bloque2_decisiones.md.</w:t>
            </w:r>
          </w:p>
        </w:tc>
      </w:tr>
      <w:tr>
        <w:tc>
          <w:tcPr>
            <w:tcW w:type="dxa" w:w="1655"/>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Página 8</w:t>
            </w:r>
          </w:p>
        </w:tc>
        <w:tc>
          <w:tcPr>
            <w:tcW w:type="dxa" w:w="338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 3: análisis exploratorio y prueba A/B.</w:t>
            </w:r>
          </w:p>
        </w:tc>
        <w:tc>
          <w:tcPr>
            <w:tcW w:type="dxa" w:w="489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bloque3_analisis.html y carpeta bloque3_visualizaciones/.</w:t>
            </w:r>
          </w:p>
        </w:tc>
      </w:tr>
      <w:tr>
        <w:tc>
          <w:tcPr>
            <w:tcW w:type="dxa" w:w="1655"/>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Página 9</w:t>
            </w:r>
          </w:p>
        </w:tc>
        <w:tc>
          <w:tcPr>
            <w:tcW w:type="dxa" w:w="338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 4: framework de indicadores.</w:t>
            </w:r>
          </w:p>
        </w:tc>
        <w:tc>
          <w:tcPr>
            <w:tcW w:type="dxa" w:w="489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bloque4_kpi_framework.md con 9 indicadores, indicador anticipado, KPI compuesto y métrica principal.</w:t>
            </w:r>
          </w:p>
        </w:tc>
      </w:tr>
      <w:tr>
        <w:tc>
          <w:tcPr>
            <w:tcW w:type="dxa" w:w="1655"/>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Página 10</w:t>
            </w:r>
          </w:p>
        </w:tc>
        <w:tc>
          <w:tcPr>
            <w:tcW w:type="dxa" w:w="338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 5: dashboard operativo y presentación ejecutiva en inglés.</w:t>
            </w:r>
          </w:p>
        </w:tc>
        <w:tc>
          <w:tcPr>
            <w:tcW w:type="dxa" w:w="489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bloque5_dashboard.html y bloque5_presentacion_EN.pdf de 5 páginas.</w:t>
            </w:r>
          </w:p>
        </w:tc>
      </w:tr>
      <w:tr>
        <w:tc>
          <w:tcPr>
            <w:tcW w:type="dxa" w:w="1655"/>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Página 11</w:t>
            </w:r>
          </w:p>
        </w:tc>
        <w:tc>
          <w:tcPr>
            <w:tcW w:type="dxa" w:w="338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Entregables finales y criterios de evaluación.</w:t>
            </w:r>
          </w:p>
        </w:tc>
        <w:tc>
          <w:tcPr>
            <w:tcW w:type="dxa" w:w="489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Estructura del repositorio alineada con los archivos esperados y validaciones ejecutadas.</w:t>
            </w:r>
          </w:p>
        </w:tc>
      </w:tr>
    </w:tbl>
    <w:p/>
    <w:p>
      <w:pPr>
        <w:pStyle w:val="Heading1"/>
      </w:pPr>
      <w:r>
        <w:rPr>
          <w:rFonts w:ascii="Arial" w:hAnsi="Arial"/>
          <w:color w:val="176B87"/>
        </w:rPr>
        <w:t>Tecnologías, librerías y herramientas utilizadas</w:t>
      </w:r>
    </w:p>
    <w:tbl>
      <w:tblPr>
        <w:tblStyle w:val="TableGrid"/>
        <w:tblW w:type="dxa" w:w="9360"/>
        <w:jc w:val="left"/>
        <w:tblLayout w:type="fixed"/>
        <w:tblLook w:firstColumn="1" w:firstRow="1" w:lastColumn="0" w:lastRow="0" w:noHBand="0" w:noVBand="1" w:val="04A0"/>
      </w:tblPr>
      <w:tblGrid>
        <w:gridCol w:w="3312"/>
        <w:gridCol w:w="3312"/>
        <w:gridCol w:w="3312"/>
      </w:tblGrid>
      <w:tr>
        <w:tc>
          <w:tcPr>
            <w:tcW w:type="dxa" w:w="194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Tecnología</w:t>
            </w:r>
          </w:p>
        </w:tc>
        <w:tc>
          <w:tcPr>
            <w:tcW w:type="dxa" w:w="475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Uso en la solución</w:t>
            </w:r>
          </w:p>
        </w:tc>
        <w:tc>
          <w:tcPr>
            <w:tcW w:type="dxa" w:w="324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Referencia en el proyecto</w:t>
            </w:r>
          </w:p>
        </w:tc>
      </w:tr>
      <w:tr>
        <w:tc>
          <w:tcPr>
            <w:tcW w:type="dxa" w:w="194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Python</w:t>
            </w:r>
          </w:p>
        </w:tc>
        <w:tc>
          <w:tcPr>
            <w:tcW w:type="dxa" w:w="475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Orquestación, lectura de CSV, limpieza, análisis, generación de HTML, PDF y README.</w:t>
            </w:r>
          </w:p>
        </w:tc>
        <w:tc>
          <w:tcPr>
            <w:tcW w:type="dxa" w:w="324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scripts/generate_all.py, scripts/create_sqlite_db.py</w:t>
            </w:r>
          </w:p>
        </w:tc>
      </w:tr>
      <w:tr>
        <w:tc>
          <w:tcPr>
            <w:tcW w:type="dxa" w:w="194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pandas y numpy</w:t>
            </w:r>
          </w:p>
        </w:tc>
        <w:tc>
          <w:tcPr>
            <w:tcW w:type="dxa" w:w="475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Transformaciones, agregaciones, cohortes, productividad, tablas procesadas y métricas.</w:t>
            </w:r>
          </w:p>
        </w:tc>
        <w:tc>
          <w:tcPr>
            <w:tcW w:type="dxa" w:w="324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requirements.txt, data/processed/</w:t>
            </w:r>
          </w:p>
        </w:tc>
      </w:tr>
      <w:tr>
        <w:tc>
          <w:tcPr>
            <w:tcW w:type="dxa" w:w="194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SQLite</w:t>
            </w:r>
          </w:p>
        </w:tc>
        <w:tc>
          <w:tcPr>
            <w:tcW w:type="dxa" w:w="475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Base local portable para ejecutar consultas sin SQL Server ni permisos de administrador.</w:t>
            </w:r>
          </w:p>
        </w:tc>
        <w:tc>
          <w:tcPr>
            <w:tcW w:type="dxa" w:w="324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data/retail_prueba_tecnica.sqlite, sqlite/*.sql</w:t>
            </w:r>
          </w:p>
        </w:tc>
      </w:tr>
      <w:tr>
        <w:tc>
          <w:tcPr>
            <w:tcW w:type="dxa" w:w="194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SQL avanzado</w:t>
            </w:r>
          </w:p>
        </w:tc>
        <w:tc>
          <w:tcPr>
            <w:tcW w:type="dxa" w:w="475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Ventanas, percentiles, cohortes, rankings, recursividad para gaps y agregaciones por categoría/proveedor.</w:t>
            </w:r>
          </w:p>
        </w:tc>
        <w:tc>
          <w:tcPr>
            <w:tcW w:type="dxa" w:w="324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bloque1_queries.sql, sqlite/03_bloque1_queries_sqlite.sql</w:t>
            </w:r>
          </w:p>
        </w:tc>
      </w:tr>
      <w:tr>
        <w:tc>
          <w:tcPr>
            <w:tcW w:type="dxa" w:w="194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HTML, SVG y JavaScript</w:t>
            </w:r>
          </w:p>
        </w:tc>
        <w:tc>
          <w:tcPr>
            <w:tcW w:type="dxa" w:w="475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Dashboard operativo local, filtros, rankings, gráficas, tooltip y explicación técnica por componente.</w:t>
            </w:r>
          </w:p>
        </w:tc>
        <w:tc>
          <w:tcPr>
            <w:tcW w:type="dxa" w:w="324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bloque5_dashboard.html, templates/dashboard_operativo_regional.html</w:t>
            </w:r>
          </w:p>
        </w:tc>
      </w:tr>
      <w:tr>
        <w:tc>
          <w:tcPr>
            <w:tcW w:type="dxa" w:w="194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ReportLab</w:t>
            </w:r>
          </w:p>
        </w:tc>
        <w:tc>
          <w:tcPr>
            <w:tcW w:type="dxa" w:w="475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Generación de la presentación ejecutiva PDF.</w:t>
            </w:r>
          </w:p>
        </w:tc>
        <w:tc>
          <w:tcPr>
            <w:tcW w:type="dxa" w:w="324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bloque5_presentacion_EN.pdf, scripts/generate_all.py</w:t>
            </w:r>
          </w:p>
        </w:tc>
      </w:tr>
      <w:tr>
        <w:tc>
          <w:tcPr>
            <w:tcW w:type="dxa" w:w="194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Mermaid</w:t>
            </w:r>
          </w:p>
        </w:tc>
        <w:tc>
          <w:tcPr>
            <w:tcW w:type="dxa" w:w="475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Diagrama de modelo dimensional.</w:t>
            </w:r>
          </w:p>
        </w:tc>
        <w:tc>
          <w:tcPr>
            <w:tcW w:type="dxa" w:w="324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bloque2_modelo.mmd, bloque2_modelo.pdf</w:t>
            </w:r>
          </w:p>
        </w:tc>
      </w:tr>
      <w:tr>
        <w:tc>
          <w:tcPr>
            <w:tcW w:type="dxa" w:w="194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Visual Studio Code</w:t>
            </w:r>
          </w:p>
        </w:tc>
        <w:tc>
          <w:tcPr>
            <w:tcW w:type="dxa" w:w="475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Ejecución de scripts, lectura de SQL y visualización de SQLite con extensiones.</w:t>
            </w:r>
          </w:p>
        </w:tc>
        <w:tc>
          <w:tcPr>
            <w:tcW w:type="dxa" w:w="324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GUIA_SQLITE_VSC.md, sqlite/README_SQLITE.md</w:t>
            </w:r>
          </w:p>
        </w:tc>
      </w:tr>
      <w:tr>
        <w:tc>
          <w:tcPr>
            <w:tcW w:type="dxa" w:w="194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Git y GitHub</w:t>
            </w:r>
          </w:p>
        </w:tc>
        <w:tc>
          <w:tcPr>
            <w:tcW w:type="dxa" w:w="475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Versionamiento y entrega del proyecto.</w:t>
            </w:r>
          </w:p>
        </w:tc>
        <w:tc>
          <w:tcPr>
            <w:tcW w:type="dxa" w:w="324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Repositorio GitHub</w:t>
            </w:r>
          </w:p>
        </w:tc>
      </w:tr>
    </w:tbl>
    <w:p/>
    <w:p>
      <w:pPr>
        <w:pStyle w:val="Heading1"/>
      </w:pPr>
      <w:r>
        <w:rPr>
          <w:rFonts w:ascii="Arial" w:hAnsi="Arial"/>
          <w:color w:val="176B87"/>
        </w:rPr>
        <w:t>Orden de ejecución del proyecto</w:t>
      </w:r>
    </w:p>
    <w:p>
      <w:pPr>
        <w:pStyle w:val="ListNumber"/>
        <w:spacing w:after="100"/>
      </w:pPr>
      <w:r>
        <w:rPr>
          <w:rFonts w:ascii="Arial" w:hAnsi="Arial"/>
          <w:color w:val="1F2933"/>
          <w:sz w:val="22"/>
        </w:rPr>
        <w:t>Se preparó el repositorio con estructura por bloques, carpetas de datos raw y processed, scripts, archivos SQLite y entregables finales.</w:t>
      </w:r>
    </w:p>
    <w:p>
      <w:pPr>
        <w:pStyle w:val="ListNumber"/>
        <w:spacing w:after="100"/>
      </w:pPr>
      <w:r>
        <w:rPr>
          <w:rFonts w:ascii="Arial" w:hAnsi="Arial"/>
          <w:color w:val="1F2933"/>
          <w:sz w:val="22"/>
        </w:rPr>
        <w:t>Se cargaron los seis CSV originales a una base SQLite local para poder ejecutar consultas en vivo desde VS Code.</w:t>
      </w:r>
    </w:p>
    <w:p>
      <w:pPr>
        <w:pStyle w:val="ListNumber"/>
        <w:spacing w:after="100"/>
      </w:pPr>
      <w:r>
        <w:rPr>
          <w:rFonts w:ascii="Arial" w:hAnsi="Arial"/>
          <w:color w:val="1F2933"/>
          <w:sz w:val="22"/>
        </w:rPr>
        <w:t>Se ejecutaron las seis consultas del Bloque 1 y se materializaron sus resultados como tablas visibles en SQLite Viewer.</w:t>
      </w:r>
    </w:p>
    <w:p>
      <w:pPr>
        <w:pStyle w:val="ListNumber"/>
        <w:spacing w:after="100"/>
      </w:pPr>
      <w:r>
        <w:rPr>
          <w:rFonts w:ascii="Arial" w:hAnsi="Arial"/>
          <w:color w:val="1F2933"/>
          <w:sz w:val="22"/>
        </w:rPr>
        <w:t>Se generaron archivos de auditoría, modelo dimensional, análisis exploratorio, framework de indicadores, dashboard y presentación ejecutiva.</w:t>
      </w:r>
    </w:p>
    <w:p>
      <w:pPr>
        <w:pStyle w:val="ListNumber"/>
        <w:spacing w:after="100"/>
      </w:pPr>
      <w:r>
        <w:rPr>
          <w:rFonts w:ascii="Arial" w:hAnsi="Arial"/>
          <w:color w:val="1F2933"/>
          <w:sz w:val="22"/>
        </w:rPr>
        <w:t>Se ajustó el dashboard para que sea más usable: filtros desplegables, encabezado compacto, selector de tienda, búsqueda, ranking, detalle y explicaciones técnicas por componente.</w:t>
      </w:r>
    </w:p>
    <w:p>
      <w:pPr>
        <w:pStyle w:val="ListNumber"/>
        <w:spacing w:after="100"/>
      </w:pPr>
      <w:r>
        <w:rPr>
          <w:rFonts w:ascii="Arial" w:hAnsi="Arial"/>
          <w:color w:val="1F2933"/>
          <w:sz w:val="22"/>
        </w:rPr>
        <w:t>Se validó el proyecto con compilación de Python, revisión de JavaScript del dashboard, conteos SQLite y revisión de entregables contra el PDF.</w:t>
      </w:r>
    </w:p>
    <w:tbl>
      <w:tblPr>
        <w:tblStyle w:val="TableGrid"/>
        <w:tblW w:type="auto" w:w="0"/>
        <w:tblLook w:firstColumn="1" w:firstRow="1" w:lastColumn="0" w:lastRow="0" w:noHBand="0" w:noVBand="1" w:val="04A0"/>
      </w:tblPr>
      <w:tblGrid>
        <w:gridCol w:w="9936"/>
      </w:tblGrid>
      <w:tr>
        <w:tc>
          <w:tcPr>
            <w:tcW w:type="dxa" w:w="9936"/>
            <w:shd w:fill="121A24"/>
            <w:tcBorders>
              <w:top w:val="single" w:sz="6" w:space="0" w:color="121A24"/>
              <w:left w:val="single" w:sz="6" w:space="0" w:color="121A24"/>
              <w:bottom w:val="single" w:sz="6" w:space="0" w:color="121A24"/>
              <w:right w:val="single" w:sz="6" w:space="0" w:color="121A24"/>
            </w:tcBorders>
            <w:tcMar>
              <w:top w:w="120" w:type="dxa"/>
              <w:start w:w="140" w:type="dxa"/>
              <w:bottom w:w="120" w:type="dxa"/>
              <w:end w:w="140" w:type="dxa"/>
            </w:tcMar>
          </w:tcPr>
          <w:p>
            <w:pPr>
              <w:spacing w:after="0"/>
            </w:pPr>
            <w:r>
              <w:rPr>
                <w:rFonts w:ascii="Courier New" w:hAnsi="Courier New"/>
                <w:color w:val="F5F7FB"/>
                <w:sz w:val="18"/>
              </w:rPr>
              <w:t>py scripts\create_sqlite_db.py</w:t>
              <w:br/>
              <w:t>py scripts\run_sqlite_block1.py --preview 5</w:t>
              <w:br/>
              <w:t>py scripts\query_sqlite.py "SELECT * FROM bloque1_q1_ventas_comparables LIMIT 20;"</w:t>
              <w:br/>
              <w:t>py scripts\generate_all.py</w:t>
              <w:br/>
              <w:t>git pull origin main</w:t>
            </w:r>
          </w:p>
        </w:tc>
      </w:tr>
    </w:tbl>
    <w:p/>
    <w:p>
      <w:pPr>
        <w:spacing w:after="120"/>
      </w:pPr>
      <w:r>
        <w:rPr>
          <w:rFonts w:ascii="Arial" w:hAnsi="Arial"/>
          <w:color w:val="1F2933"/>
        </w:rPr>
        <w:t>Nota para Windows: en la computadora de trabajo se recomienda usar los comandos con py desde PowerShell. En macOS se validó con el entorno virtual .venv/bin/python.</w:t>
      </w:r>
    </w:p>
    <w:p>
      <w:pPr>
        <w:pStyle w:val="Heading1"/>
      </w:pPr>
      <w:r>
        <w:rPr>
          <w:rFonts w:ascii="Arial" w:hAnsi="Arial"/>
          <w:color w:val="176B87"/>
        </w:rPr>
        <w:t>Estructura de entregables</w:t>
      </w:r>
    </w:p>
    <w:tbl>
      <w:tblPr>
        <w:tblStyle w:val="TableGrid"/>
        <w:tblW w:type="dxa" w:w="9360"/>
        <w:jc w:val="left"/>
        <w:tblLayout w:type="fixed"/>
        <w:tblLook w:firstColumn="1" w:firstRow="1" w:lastColumn="0" w:lastRow="0" w:noHBand="0" w:noVBand="1" w:val="04A0"/>
      </w:tblPr>
      <w:tblGrid>
        <w:gridCol w:w="4968"/>
        <w:gridCol w:w="4968"/>
      </w:tblGrid>
      <w:tr>
        <w:tc>
          <w:tcPr>
            <w:tcW w:type="dxa" w:w="31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Archivo o carpeta</w:t>
            </w:r>
          </w:p>
        </w:tc>
        <w:tc>
          <w:tcPr>
            <w:tcW w:type="dxa" w:w="67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Propósito</w:t>
            </w:r>
          </w:p>
        </w:tc>
      </w:tr>
      <w:tr>
        <w:tc>
          <w:tcPr>
            <w:tcW w:type="dxa" w:w="31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README.md</w:t>
            </w:r>
          </w:p>
        </w:tc>
        <w:tc>
          <w:tcPr>
            <w:tcW w:type="dxa" w:w="67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Guía principal para revisar, correr y defender el proyecto.</w:t>
            </w:r>
          </w:p>
        </w:tc>
      </w:tr>
      <w:tr>
        <w:tc>
          <w:tcPr>
            <w:tcW w:type="dxa" w:w="31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bloque0_auditoria.md</w:t>
            </w:r>
          </w:p>
        </w:tc>
        <w:tc>
          <w:tcPr>
            <w:tcW w:type="dxa" w:w="67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Auditoría de calidad de datos con evidencia y decisiones.</w:t>
            </w:r>
          </w:p>
        </w:tc>
      </w:tr>
      <w:tr>
        <w:tc>
          <w:tcPr>
            <w:tcW w:type="dxa" w:w="31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bloque1_queries.sql</w:t>
            </w:r>
          </w:p>
        </w:tc>
        <w:tc>
          <w:tcPr>
            <w:tcW w:type="dxa" w:w="67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Versión SQL avanzada para motor analítico tipo BigQuery.</w:t>
            </w:r>
          </w:p>
        </w:tc>
      </w:tr>
      <w:tr>
        <w:tc>
          <w:tcPr>
            <w:tcW w:type="dxa" w:w="31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sqlite/03_bloque1_queries_sqlite.sql</w:t>
            </w:r>
          </w:p>
        </w:tc>
        <w:tc>
          <w:tcPr>
            <w:tcW w:type="dxa" w:w="67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Versión SQLite que crea tablas de resultado para SQLite Viewer.</w:t>
            </w:r>
          </w:p>
        </w:tc>
      </w:tr>
      <w:tr>
        <w:tc>
          <w:tcPr>
            <w:tcW w:type="dxa" w:w="31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bloque2_modelo.pdf</w:t>
            </w:r>
          </w:p>
        </w:tc>
        <w:tc>
          <w:tcPr>
            <w:tcW w:type="dxa" w:w="67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Diagrama del modelo dimensional tipo estrella.</w:t>
            </w:r>
          </w:p>
        </w:tc>
      </w:tr>
      <w:tr>
        <w:tc>
          <w:tcPr>
            <w:tcW w:type="dxa" w:w="31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bloque2_decisiones.md</w:t>
            </w:r>
          </w:p>
        </w:tc>
        <w:tc>
          <w:tcPr>
            <w:tcW w:type="dxa" w:w="67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Decisiones de modelado, pipeline incremental y gobernanza.</w:t>
            </w:r>
          </w:p>
        </w:tc>
      </w:tr>
      <w:tr>
        <w:tc>
          <w:tcPr>
            <w:tcW w:type="dxa" w:w="31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bloque3_analisis.html</w:t>
            </w:r>
          </w:p>
        </w:tc>
        <w:tc>
          <w:tcPr>
            <w:tcW w:type="dxa" w:w="67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Análisis exploratorio y prueba A/B con narrativa de resultados.</w:t>
            </w:r>
          </w:p>
        </w:tc>
      </w:tr>
      <w:tr>
        <w:tc>
          <w:tcPr>
            <w:tcW w:type="dxa" w:w="31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bloque3_visualizaciones/</w:t>
            </w:r>
          </w:p>
        </w:tc>
        <w:tc>
          <w:tcPr>
            <w:tcW w:type="dxa" w:w="67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Gráficos SVG exportados para sustentar el análisis.</w:t>
            </w:r>
          </w:p>
        </w:tc>
      </w:tr>
      <w:tr>
        <w:tc>
          <w:tcPr>
            <w:tcW w:type="dxa" w:w="31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bloque4_kpi_framework.md</w:t>
            </w:r>
          </w:p>
        </w:tc>
        <w:tc>
          <w:tcPr>
            <w:tcW w:type="dxa" w:w="67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Framework de indicadores, leading indicator y métrica principal.</w:t>
            </w:r>
          </w:p>
        </w:tc>
      </w:tr>
      <w:tr>
        <w:tc>
          <w:tcPr>
            <w:tcW w:type="dxa" w:w="31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bloque5_dashboard.html</w:t>
            </w:r>
          </w:p>
        </w:tc>
        <w:tc>
          <w:tcPr>
            <w:tcW w:type="dxa" w:w="67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Dashboard operativo regional interactivo.</w:t>
            </w:r>
          </w:p>
        </w:tc>
      </w:tr>
      <w:tr>
        <w:tc>
          <w:tcPr>
            <w:tcW w:type="dxa" w:w="31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bloque5_presentacion_EN.pdf</w:t>
            </w:r>
          </w:p>
        </w:tc>
        <w:tc>
          <w:tcPr>
            <w:tcW w:type="dxa" w:w="67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Presentación ejecutiva en inglés de 5 páginas.</w:t>
            </w:r>
          </w:p>
        </w:tc>
      </w:tr>
      <w:tr>
        <w:tc>
          <w:tcPr>
            <w:tcW w:type="dxa" w:w="31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GUIA_SQLITE_VSC.md</w:t>
            </w:r>
          </w:p>
        </w:tc>
        <w:tc>
          <w:tcPr>
            <w:tcW w:type="dxa" w:w="67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Guía para ejecutar SQLite y mostrar resultados en VS Code.</w:t>
            </w:r>
          </w:p>
        </w:tc>
      </w:tr>
      <w:tr>
        <w:tc>
          <w:tcPr>
            <w:tcW w:type="dxa" w:w="31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apoyo_exposicion_tecnica.html</w:t>
            </w:r>
          </w:p>
        </w:tc>
        <w:tc>
          <w:tcPr>
            <w:tcW w:type="dxa" w:w="676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Apoyo para explicar la solución durante la entrevista.</w:t>
            </w:r>
          </w:p>
        </w:tc>
      </w:tr>
    </w:tbl>
    <w:p/>
    <w:p>
      <w:r>
        <w:rPr>
          <w:rFonts w:ascii="Arial" w:hAnsi="Arial"/>
        </w:rPr>
        <w:br w:type="page"/>
      </w:r>
    </w:p>
    <w:p>
      <w:pPr>
        <w:pStyle w:val="Heading1"/>
      </w:pPr>
      <w:r>
        <w:rPr>
          <w:rFonts w:ascii="Arial" w:hAnsi="Arial"/>
          <w:color w:val="176B87"/>
        </w:rPr>
        <w:t>Conclusiones por requerimiento</w:t>
      </w:r>
    </w:p>
    <w:p>
      <w:pPr>
        <w:pStyle w:val="Heading2"/>
      </w:pPr>
      <w:r>
        <w:rPr>
          <w:rFonts w:ascii="Arial" w:hAnsi="Arial"/>
          <w:color w:val="176B87"/>
        </w:rPr>
        <w:t>Bloque 0 - Auditoría de calidad de datos</w:t>
      </w:r>
    </w:p>
    <w:p>
      <w:pPr>
        <w:spacing w:after="120"/>
      </w:pPr>
      <w:r>
        <w:rPr>
          <w:rFonts w:ascii="Arial" w:hAnsi="Arial"/>
          <w:color w:val="1F2933"/>
        </w:rPr>
        <w:t>Referencia PDF: página 4. Entregable esperado: bloque0_auditoria.md.</w:t>
      </w:r>
    </w:p>
    <w:tbl>
      <w:tblPr>
        <w:tblStyle w:val="TableGrid"/>
        <w:tblW w:type="dxa" w:w="9360"/>
        <w:jc w:val="left"/>
        <w:tblLayout w:type="fixed"/>
        <w:tblLook w:firstColumn="1" w:firstRow="1" w:lastColumn="0" w:lastRow="0" w:noHBand="0" w:noVBand="1" w:val="04A0"/>
      </w:tblPr>
      <w:tblGrid>
        <w:gridCol w:w="3312"/>
        <w:gridCol w:w="3312"/>
        <w:gridCol w:w="3312"/>
      </w:tblGrid>
      <w:tr>
        <w:tc>
          <w:tcPr>
            <w:tcW w:type="dxa" w:w="223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Dimensión</w:t>
            </w:r>
          </w:p>
        </w:tc>
        <w:tc>
          <w:tcPr>
            <w:tcW w:type="dxa" w:w="410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Evidencia principal</w:t>
            </w:r>
          </w:p>
        </w:tc>
        <w:tc>
          <w:tcPr>
            <w:tcW w:type="dxa" w:w="360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Decisión tomada</w:t>
            </w:r>
          </w:p>
        </w:tc>
      </w:tr>
      <w:tr>
        <w:tc>
          <w:tcPr>
            <w:tcW w:type="dxa" w:w="223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Completitud</w:t>
            </w:r>
          </w:p>
        </w:tc>
        <w:tc>
          <w:tcPr>
            <w:tcW w:type="dxa" w:w="410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104,632 transacciones sin customer_id, equivalente a 59.8%.</w:t>
            </w:r>
          </w:p>
        </w:tc>
        <w:tc>
          <w:tcPr>
            <w:tcW w:type="dxa" w:w="360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Mantener customer_id nulo como comprador anónimo y usar solo clientes identificados en cohortes.</w:t>
            </w:r>
          </w:p>
        </w:tc>
      </w:tr>
      <w:tr>
        <w:tc>
          <w:tcPr>
            <w:tcW w:type="dxa" w:w="223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Consistencia</w:t>
            </w:r>
          </w:p>
        </w:tc>
        <w:tc>
          <w:tcPr>
            <w:tcW w:type="dxa" w:w="410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1,745 transacciones con diferencia mayor a $0.01 entre total_amount y suma de ítems.</w:t>
            </w:r>
          </w:p>
        </w:tc>
        <w:tc>
          <w:tcPr>
            <w:tcW w:type="dxa" w:w="360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Usar total_amount para venta neta transaccional y cálculo por ítems para categoría/proveedor.</w:t>
            </w:r>
          </w:p>
        </w:tc>
      </w:tr>
      <w:tr>
        <w:tc>
          <w:tcPr>
            <w:tcW w:type="dxa" w:w="223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Unicidad</w:t>
            </w:r>
          </w:p>
        </w:tc>
        <w:tc>
          <w:tcPr>
            <w:tcW w:type="dxa" w:w="410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0 transaction_id duplicados.</w:t>
            </w:r>
          </w:p>
        </w:tc>
        <w:tc>
          <w:tcPr>
            <w:tcW w:type="dxa" w:w="360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No se aplicó deduplicación.</w:t>
            </w:r>
          </w:p>
        </w:tc>
      </w:tr>
      <w:tr>
        <w:tc>
          <w:tcPr>
            <w:tcW w:type="dxa" w:w="223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Validez</w:t>
            </w:r>
          </w:p>
        </w:tc>
        <w:tc>
          <w:tcPr>
            <w:tcW w:type="dxa" w:w="410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3 transacciones con total_amount menor o igual a cero y 231 ítems con precio cero sin promoción.</w:t>
            </w:r>
          </w:p>
        </w:tc>
        <w:tc>
          <w:tcPr>
            <w:tcW w:type="dxa" w:w="360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Excluir montos no válidos de tickets promedio y marcarlos como alerta de precios/datos maestros.</w:t>
            </w:r>
          </w:p>
        </w:tc>
      </w:tr>
      <w:tr>
        <w:tc>
          <w:tcPr>
            <w:tcW w:type="dxa" w:w="223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Integridad referencial</w:t>
            </w:r>
          </w:p>
        </w:tc>
        <w:tc>
          <w:tcPr>
            <w:tcW w:type="dxa" w:w="410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5 productos apuntan a vendor_id inexistente.</w:t>
            </w:r>
          </w:p>
        </w:tc>
        <w:tc>
          <w:tcPr>
            <w:tcW w:type="dxa" w:w="360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Mantenerlos como SIN_VENDOR en análisis y documentar incidente de datos maestros.</w:t>
            </w:r>
          </w:p>
        </w:tc>
      </w:tr>
      <w:tr>
        <w:tc>
          <w:tcPr>
            <w:tcW w:type="dxa" w:w="223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Frescura e integridad temporal</w:t>
            </w:r>
          </w:p>
        </w:tc>
        <w:tc>
          <w:tcPr>
            <w:tcW w:type="dxa" w:w="410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TIENDA_037 tiene ventas antes de opening_date; TIENDA_012 presenta ausencia de 7 días.</w:t>
            </w:r>
          </w:p>
        </w:tc>
        <w:tc>
          <w:tcPr>
            <w:tcW w:type="dxa" w:w="360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No excluir histórico; documentar soft-opening o corrección de fecha y revisar ausencia operativa.</w:t>
            </w:r>
          </w:p>
        </w:tc>
      </w:tr>
      <w:tr>
        <w:tc>
          <w:tcPr>
            <w:tcW w:type="dxa" w:w="223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A/B Test</w:t>
            </w:r>
          </w:p>
        </w:tc>
        <w:tc>
          <w:tcPr>
            <w:tcW w:type="dxa" w:w="410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TIENDA_008 y TIENDA_037 están asignadas a CONTROL y TREATMENT.</w:t>
            </w:r>
          </w:p>
        </w:tc>
        <w:tc>
          <w:tcPr>
            <w:tcW w:type="dxa" w:w="360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Excluirlas de la prueba primaria y reportar falla de diseño experimental.</w:t>
            </w:r>
          </w:p>
        </w:tc>
      </w:tr>
    </w:tbl>
    <w:p/>
    <w:p>
      <w:pPr>
        <w:spacing w:after="120"/>
      </w:pPr>
      <w:r>
        <w:rPr>
          <w:rFonts w:ascii="Arial" w:hAnsi="Arial"/>
          <w:color w:val="1F2933"/>
        </w:rPr>
        <w:t>Conclusión del Bloque 0: los datos son utilizables para análisis, pero con supuestos explícitos. La auditoría protege el resto del proyecto porque evita mezclar compradores anónimos en cohortes, evita inflar resultados por tiendas mal asignadas al experimento y distingue entre ventas transaccionales y ventas a nivel de ítem.</w:t>
      </w:r>
    </w:p>
    <w:p>
      <w:pPr>
        <w:pStyle w:val="Heading2"/>
      </w:pPr>
      <w:r>
        <w:rPr>
          <w:rFonts w:ascii="Arial" w:hAnsi="Arial"/>
          <w:color w:val="176B87"/>
        </w:rPr>
        <w:t>Bloque 1 - SQL avanzado</w:t>
      </w:r>
    </w:p>
    <w:p>
      <w:pPr>
        <w:spacing w:after="120"/>
      </w:pPr>
      <w:r>
        <w:rPr>
          <w:rFonts w:ascii="Arial" w:hAnsi="Arial"/>
          <w:color w:val="1F2933"/>
        </w:rPr>
        <w:t>Referencia PDF: páginas 5 y 6. Entregables esperados: bloque1_queries.sql con queries comentadas y resultados defendibles.</w:t>
      </w:r>
    </w:p>
    <w:tbl>
      <w:tblPr>
        <w:tblStyle w:val="TableGrid"/>
        <w:tblW w:type="dxa" w:w="9360"/>
        <w:jc w:val="left"/>
        <w:tblLayout w:type="fixed"/>
        <w:tblLook w:firstColumn="1" w:firstRow="1" w:lastColumn="0" w:lastRow="0" w:noHBand="0" w:noVBand="1" w:val="04A0"/>
      </w:tblPr>
      <w:tblGrid>
        <w:gridCol w:w="2484"/>
        <w:gridCol w:w="2484"/>
        <w:gridCol w:w="2484"/>
        <w:gridCol w:w="2484"/>
      </w:tblGrid>
      <w:tr>
        <w:tc>
          <w:tcPr>
            <w:tcW w:type="dxa" w:w="10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Query</w:t>
            </w:r>
          </w:p>
        </w:tc>
        <w:tc>
          <w:tcPr>
            <w:tcW w:type="dxa" w:w="266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Archivo / tabla de referencia</w:t>
            </w:r>
          </w:p>
        </w:tc>
        <w:tc>
          <w:tcPr>
            <w:tcW w:type="dxa" w:w="338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Qué calcula</w:t>
            </w:r>
          </w:p>
        </w:tc>
        <w:tc>
          <w:tcPr>
            <w:tcW w:type="dxa" w:w="280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Conclusión operativa</w:t>
            </w:r>
          </w:p>
        </w:tc>
      </w:tr>
      <w:tr>
        <w:tc>
          <w:tcPr>
            <w:tcW w:type="dxa" w:w="10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Query 1</w:t>
            </w:r>
          </w:p>
        </w:tc>
        <w:tc>
          <w:tcPr>
            <w:tcW w:type="dxa" w:w="266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bloque1_queries.sql; bloque1_q1_ventas_comparables</w:t>
            </w:r>
          </w:p>
        </w:tc>
        <w:tc>
          <w:tcPr>
            <w:tcW w:type="dxa" w:w="338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Ventas comparables año contra año para tiendas operando en ambos períodos, con ranking por formato.</w:t>
            </w:r>
          </w:p>
        </w:tc>
        <w:tc>
          <w:tcPr>
            <w:tcW w:type="dxa" w:w="280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Permite separar crecimiento real comparable de crecimiento por apertura de tiendas. Se generaron 39 filas comparables.</w:t>
            </w:r>
          </w:p>
        </w:tc>
      </w:tr>
      <w:tr>
        <w:tc>
          <w:tcPr>
            <w:tcW w:type="dxa" w:w="10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Query 2</w:t>
            </w:r>
          </w:p>
        </w:tc>
        <w:tc>
          <w:tcPr>
            <w:tcW w:type="dxa" w:w="266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bloque1_q2_productividad_tienda</w:t>
            </w:r>
          </w:p>
        </w:tc>
        <w:tc>
          <w:tcPr>
            <w:tcW w:type="dxa" w:w="338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Ventas netas, transacciones por metro cuadrado, ticket promedio y percentil 25 por formato.</w:t>
            </w:r>
          </w:p>
        </w:tc>
        <w:tc>
          <w:tcPr>
            <w:tcW w:type="dxa" w:w="280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Identifica 40 tiendas evaluadas y marca bajo rendimiento por productividad dentro del formato.</w:t>
            </w:r>
          </w:p>
        </w:tc>
      </w:tr>
      <w:tr>
        <w:tc>
          <w:tcPr>
            <w:tcW w:type="dxa" w:w="10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Query 3</w:t>
            </w:r>
          </w:p>
        </w:tc>
        <w:tc>
          <w:tcPr>
            <w:tcW w:type="dxa" w:w="266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bloque1_q3_cohortes_lealtad</w:t>
            </w:r>
          </w:p>
        </w:tc>
        <w:tc>
          <w:tcPr>
            <w:tcW w:type="dxa" w:w="338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Cohortes de clientes identificados, retención en meses 1, 2, 3 y 6, ticket promedio por cohorte.</w:t>
            </w:r>
          </w:p>
        </w:tc>
        <w:tc>
          <w:tcPr>
            <w:tcW w:type="dxa" w:w="280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La caída principal ocurre del mes 0 al mes 1; cohortes recientes muestran mejor retención inicial.</w:t>
            </w:r>
          </w:p>
        </w:tc>
      </w:tr>
      <w:tr>
        <w:tc>
          <w:tcPr>
            <w:tcW w:type="dxa" w:w="10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Query 4</w:t>
            </w:r>
          </w:p>
        </w:tc>
        <w:tc>
          <w:tcPr>
            <w:tcW w:type="dxa" w:w="266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bloque1_q4_retorno_margen_proveedor_categoria</w:t>
            </w:r>
          </w:p>
        </w:tc>
        <w:tc>
          <w:tcPr>
            <w:tcW w:type="dxa" w:w="338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Ventas, costo, margen bruto, retorno sobre costo, SKUs activos y velocidad de venta.</w:t>
            </w:r>
          </w:p>
        </w:tc>
        <w:tc>
          <w:tcPr>
            <w:tcW w:type="dxa" w:w="280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Detecta combinaciones proveedor-categoría con retorno menor a 1 para priorizar revisión comercial.</w:t>
            </w:r>
          </w:p>
        </w:tc>
      </w:tr>
      <w:tr>
        <w:tc>
          <w:tcPr>
            <w:tcW w:type="dxa" w:w="10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Query 5</w:t>
            </w:r>
          </w:p>
        </w:tc>
        <w:tc>
          <w:tcPr>
            <w:tcW w:type="dxa" w:w="266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bloque1_q5_posibles_quiebres_stock</w:t>
            </w:r>
          </w:p>
        </w:tc>
        <w:tc>
          <w:tcPr>
            <w:tcW w:type="dxa" w:w="338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Gaps de 3 o más días sin venta por tienda-producto y venta estimada perdida.</w:t>
            </w:r>
          </w:p>
        </w:tc>
        <w:tc>
          <w:tcPr>
            <w:tcW w:type="dxa" w:w="280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Genera señales operativas de disponibilidad; no prueba inventario real, pero prioriza riesgo económico.</w:t>
            </w:r>
          </w:p>
        </w:tc>
      </w:tr>
      <w:tr>
        <w:tc>
          <w:tcPr>
            <w:tcW w:type="dxa" w:w="10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Query 6</w:t>
            </w:r>
          </w:p>
        </w:tc>
        <w:tc>
          <w:tcPr>
            <w:tcW w:type="dxa" w:w="266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bloque1_q6_promociones_ticket_volumen</w:t>
            </w:r>
          </w:p>
        </w:tc>
        <w:tc>
          <w:tcPr>
            <w:tcW w:type="dxa" w:w="338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Comparación de ticket y unidades promedio con y sin promoción por categoría.</w:t>
            </w:r>
          </w:p>
        </w:tc>
        <w:tc>
          <w:tcPr>
            <w:tcW w:type="dxa" w:w="280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Permite distinguir basket uplift real de aumento de unidades con menor ticket promedio.</w:t>
            </w:r>
          </w:p>
        </w:tc>
      </w:tr>
    </w:tbl>
    <w:p/>
    <w:p>
      <w:pPr>
        <w:spacing w:after="120"/>
      </w:pPr>
      <w:r>
        <w:rPr>
          <w:rFonts w:ascii="Arial" w:hAnsi="Arial"/>
          <w:color w:val="1F2933"/>
        </w:rPr>
        <w:t>Conclusión del Bloque 1: se entregó una versión analítica en SQL estándar/BigQuery y una versión SQLite ejecutable. Para la entrevista, la versión SQLite es la más útil porque crea tablas visibles en data/retail_prueba_tecnica.sqlite.</w:t>
      </w:r>
    </w:p>
    <w:p>
      <w:pPr>
        <w:pStyle w:val="Heading2"/>
      </w:pPr>
      <w:r>
        <w:rPr>
          <w:rFonts w:ascii="Arial" w:hAnsi="Arial"/>
          <w:color w:val="176B87"/>
        </w:rPr>
        <w:t>Bloque 2 - Modelo dimensional, pipeline y gobernanza</w:t>
      </w:r>
    </w:p>
    <w:p>
      <w:pPr>
        <w:spacing w:after="120"/>
      </w:pPr>
      <w:r>
        <w:rPr>
          <w:rFonts w:ascii="Arial" w:hAnsi="Arial"/>
          <w:color w:val="1F2933"/>
        </w:rPr>
        <w:t>Referencia PDF: página 7. Entregables esperados: bloque2_modelo.pdf y bloque2_decisiones.md.</w:t>
      </w:r>
    </w:p>
    <w:p>
      <w:pPr>
        <w:pStyle w:val="ListBullet"/>
        <w:spacing w:after="100"/>
        <w:ind w:left="720" w:hanging="360"/>
      </w:pPr>
      <w:r>
        <w:rPr>
          <w:rFonts w:ascii="Arial" w:hAnsi="Arial"/>
          <w:color w:val="1F2933"/>
          <w:sz w:val="22"/>
        </w:rPr>
        <w:t>Se propuso un star schema con fact_sales_item como grano principal: una fila por ítem dentro de una transacción.</w:t>
      </w:r>
    </w:p>
    <w:p>
      <w:pPr>
        <w:pStyle w:val="ListBullet"/>
        <w:spacing w:after="100"/>
        <w:ind w:left="720" w:hanging="360"/>
      </w:pPr>
      <w:r>
        <w:rPr>
          <w:rFonts w:ascii="Arial" w:hAnsi="Arial"/>
          <w:color w:val="1F2933"/>
          <w:sz w:val="22"/>
        </w:rPr>
        <w:t>Se separó fact_transaction para indicadores de ticket y ventas netas transaccionales, porque la auditoría detectó diferencias entre total_amount y suma de ítems.</w:t>
      </w:r>
    </w:p>
    <w:p>
      <w:pPr>
        <w:pStyle w:val="ListBullet"/>
        <w:spacing w:after="100"/>
        <w:ind w:left="720" w:hanging="360"/>
      </w:pPr>
      <w:r>
        <w:rPr>
          <w:rFonts w:ascii="Arial" w:hAnsi="Arial"/>
          <w:color w:val="1F2933"/>
          <w:sz w:val="22"/>
        </w:rPr>
        <w:t>Se incluyó fact_store_day como tabla derivada para acelerar dashboard, productividad y ventas comparables.</w:t>
      </w:r>
    </w:p>
    <w:p>
      <w:pPr>
        <w:pStyle w:val="ListBullet"/>
        <w:spacing w:after="100"/>
        <w:ind w:left="720" w:hanging="360"/>
      </w:pPr>
      <w:r>
        <w:rPr>
          <w:rFonts w:ascii="Arial" w:hAnsi="Arial"/>
          <w:color w:val="1F2933"/>
          <w:sz w:val="22"/>
        </w:rPr>
        <w:t>Se modeló customer_id nulo como comprador anónimo, evitando crear cohortes artificiales.</w:t>
      </w:r>
    </w:p>
    <w:p>
      <w:pPr>
        <w:pStyle w:val="ListBullet"/>
        <w:spacing w:after="100"/>
        <w:ind w:left="720" w:hanging="360"/>
      </w:pPr>
      <w:r>
        <w:rPr>
          <w:rFonts w:ascii="Arial" w:hAnsi="Arial"/>
          <w:color w:val="1F2933"/>
          <w:sz w:val="22"/>
        </w:rPr>
        <w:t>El pipeline propuesto usa staging, validación, MERGE incremental y reproceso de ventana móvil para manejar ventas con retraso de hasta 2 horas.</w:t>
      </w:r>
    </w:p>
    <w:p>
      <w:pPr>
        <w:pStyle w:val="ListBullet"/>
        <w:spacing w:after="100"/>
        <w:ind w:left="720" w:hanging="360"/>
      </w:pPr>
      <w:r>
        <w:rPr>
          <w:rFonts w:ascii="Arial" w:hAnsi="Arial"/>
          <w:color w:val="1F2933"/>
          <w:sz w:val="22"/>
        </w:rPr>
        <w:t>La gobernanza contempla hash de customer_id, data owner de transacciones y proceso de reconciliación ante diferencias de ventas.</w:t>
      </w:r>
    </w:p>
    <w:p>
      <w:pPr>
        <w:spacing w:after="120"/>
      </w:pPr>
      <w:r>
        <w:rPr>
          <w:rFonts w:ascii="Arial" w:hAnsi="Arial"/>
          <w:color w:val="1F2933"/>
        </w:rPr>
        <w:t>Conclusión del Bloque 2: el modelo soporta los casos pedidos por la prueba: ventas comparables, productividad, cohortes, promociones, proveedores y disponibilidad. Además, deja claras las decisiones necesarias para operar en un ambiente real.</w:t>
      </w:r>
    </w:p>
    <w:p>
      <w:pPr>
        <w:pStyle w:val="Heading2"/>
      </w:pPr>
      <w:r>
        <w:rPr>
          <w:rFonts w:ascii="Arial" w:hAnsi="Arial"/>
          <w:color w:val="176B87"/>
        </w:rPr>
        <w:t>Bloque 3 - Análisis exploratorio y prueba A/B</w:t>
      </w:r>
    </w:p>
    <w:p>
      <w:pPr>
        <w:spacing w:after="120"/>
      </w:pPr>
      <w:r>
        <w:rPr>
          <w:rFonts w:ascii="Arial" w:hAnsi="Arial"/>
          <w:color w:val="1F2933"/>
        </w:rPr>
        <w:t>Referencia PDF: página 8. Entregable esperado: bloque3_analisis.html o equivalente, más visualizaciones exportadas.</w:t>
      </w:r>
    </w:p>
    <w:tbl>
      <w:tblPr>
        <w:tblStyle w:val="TableGrid"/>
        <w:tblW w:type="dxa" w:w="9360"/>
        <w:jc w:val="left"/>
        <w:tblLayout w:type="fixed"/>
        <w:tblLook w:firstColumn="1" w:firstRow="1" w:lastColumn="0" w:lastRow="0" w:noHBand="0" w:noVBand="1" w:val="04A0"/>
      </w:tblPr>
      <w:tblGrid>
        <w:gridCol w:w="3312"/>
        <w:gridCol w:w="3312"/>
        <w:gridCol w:w="3312"/>
      </w:tblGrid>
      <w:tr>
        <w:tc>
          <w:tcPr>
            <w:tcW w:type="dxa" w:w="223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Pregunta</w:t>
            </w:r>
          </w:p>
        </w:tc>
        <w:tc>
          <w:tcPr>
            <w:tcW w:type="dxa" w:w="410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Hallazgo</w:t>
            </w:r>
          </w:p>
        </w:tc>
        <w:tc>
          <w:tcPr>
            <w:tcW w:type="dxa" w:w="360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Conclusión</w:t>
            </w:r>
          </w:p>
        </w:tc>
      </w:tr>
      <w:tr>
        <w:tc>
          <w:tcPr>
            <w:tcW w:type="dxa" w:w="223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Estacionalidad por formato</w:t>
            </w:r>
          </w:p>
        </w:tc>
        <w:tc>
          <w:tcPr>
            <w:tcW w:type="dxa" w:w="410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EXPRESS es el formato más sensible, con coeficiente de variación 0.23.</w:t>
            </w:r>
          </w:p>
        </w:tc>
        <w:tc>
          <w:tcPr>
            <w:tcW w:type="dxa" w:w="360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Las decisiones de abastecimiento y personal deben ajustarse por formato, especialmente en semanas de alta variación.</w:t>
            </w:r>
          </w:p>
        </w:tc>
      </w:tr>
      <w:tr>
        <w:tc>
          <w:tcPr>
            <w:tcW w:type="dxa" w:w="223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Pareto de categorías</w:t>
            </w:r>
          </w:p>
        </w:tc>
        <w:tc>
          <w:tcPr>
            <w:tcW w:type="dxa" w:w="410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Electrónica y Hogar concentran cerca de 76% de ventas netas en todos los formatos.</w:t>
            </w:r>
          </w:p>
        </w:tc>
        <w:tc>
          <w:tcPr>
            <w:tcW w:type="dxa" w:w="360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La mezcla líder es parecida entre hipermercado y descuento; el riesgo está más en productividad/disponibilidad que en categoría líder.</w:t>
            </w:r>
          </w:p>
        </w:tc>
      </w:tr>
      <w:tr>
        <w:tc>
          <w:tcPr>
            <w:tcW w:type="dxa" w:w="223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Cohortes de lealtad</w:t>
            </w:r>
          </w:p>
        </w:tc>
        <w:tc>
          <w:tcPr>
            <w:tcW w:type="dxa" w:w="410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Las cohortes recientes retienen mejor en mes 1 que las antiguas; la mayor caída ocurre de mes 0 a mes 1.</w:t>
            </w:r>
          </w:p>
        </w:tc>
        <w:tc>
          <w:tcPr>
            <w:tcW w:type="dxa" w:w="360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Se recomienda activar acciones de segunda compra antes de que se pierda el cliente identificado.</w:t>
            </w:r>
          </w:p>
        </w:tc>
      </w:tr>
      <w:tr>
        <w:tc>
          <w:tcPr>
            <w:tcW w:type="dxa" w:w="223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Quiebres de stock</w:t>
            </w:r>
          </w:p>
        </w:tc>
        <w:tc>
          <w:tcPr>
            <w:tcW w:type="dxa" w:w="410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Se detectaron 315,383 ausencias de venta de 3+ días; Electrónica concentra $31,254,439 de venta estimada perdida.</w:t>
            </w:r>
          </w:p>
        </w:tc>
        <w:tc>
          <w:tcPr>
            <w:tcW w:type="dxa" w:w="360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Es un riesgo principalmente de disponibilidad/abastecimiento y debe priorizarse por impacto económico.</w:t>
            </w:r>
          </w:p>
        </w:tc>
      </w:tr>
      <w:tr>
        <w:tc>
          <w:tcPr>
            <w:tcW w:type="dxa" w:w="223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Hallazgo libre</w:t>
            </w:r>
          </w:p>
        </w:tc>
        <w:tc>
          <w:tcPr>
            <w:tcW w:type="dxa" w:w="410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Electrónica representa 52.6% de ventas totales aunque son 20 de 200 productos.</w:t>
            </w:r>
          </w:p>
        </w:tc>
        <w:tc>
          <w:tcPr>
            <w:tcW w:type="dxa" w:w="360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El resultado regional depende demasiado de pocos productos; se recomienda monitoreo diario para top productos de Electrónica.</w:t>
            </w:r>
          </w:p>
        </w:tc>
      </w:tr>
      <w:tr>
        <w:tc>
          <w:tcPr>
            <w:tcW w:type="dxa" w:w="2232"/>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Prueba A/B</w:t>
            </w:r>
          </w:p>
        </w:tc>
        <w:tc>
          <w:tcPr>
            <w:tcW w:type="dxa" w:w="4104"/>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Resultado directo de tratamiento contra control: -17.0% lift, valor p 0.241; diferencia-en-diferencias positiva con valor p 0.004.</w:t>
            </w:r>
          </w:p>
        </w:tc>
        <w:tc>
          <w:tcPr>
            <w:tcW w:type="dxa" w:w="360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No se recomienda rollout total. Se recomienda repetir prueba balanceada por formato y tamaño antes de escalar.</w:t>
            </w:r>
          </w:p>
        </w:tc>
      </w:tr>
    </w:tbl>
    <w:p/>
    <w:p>
      <w:pPr>
        <w:spacing w:after="120"/>
      </w:pPr>
      <w:r>
        <w:rPr>
          <w:rFonts w:ascii="Arial" w:hAnsi="Arial"/>
          <w:color w:val="1F2933"/>
        </w:rPr>
        <w:t>Conclusión del Bloque 3: el análisis no se queda en gráficos; conecta estacionalidad, concentración de categorías, cohortes, stock y prueba A/B con decisiones comerciales concretas.</w:t>
      </w:r>
    </w:p>
    <w:p>
      <w:pPr>
        <w:pStyle w:val="Heading2"/>
      </w:pPr>
      <w:r>
        <w:rPr>
          <w:rFonts w:ascii="Arial" w:hAnsi="Arial"/>
          <w:color w:val="176B87"/>
        </w:rPr>
        <w:t>Bloque 4 - Framework de indicadores</w:t>
      </w:r>
    </w:p>
    <w:p>
      <w:pPr>
        <w:spacing w:after="120"/>
      </w:pPr>
      <w:r>
        <w:rPr>
          <w:rFonts w:ascii="Arial" w:hAnsi="Arial"/>
          <w:color w:val="1F2933"/>
        </w:rPr>
        <w:t>Referencia PDF: página 9. Entregable esperado: bloque4_kpi_framework.md.</w:t>
      </w:r>
    </w:p>
    <w:p>
      <w:pPr>
        <w:pStyle w:val="ListBullet"/>
        <w:spacing w:after="100"/>
        <w:ind w:left="720" w:hanging="360"/>
      </w:pPr>
      <w:r>
        <w:rPr>
          <w:rFonts w:ascii="Arial" w:hAnsi="Arial"/>
          <w:color w:val="1F2933"/>
          <w:sz w:val="22"/>
        </w:rPr>
        <w:t>Se definieron 9 indicadores, dentro del rango solicitado de 6 a 10.</w:t>
      </w:r>
    </w:p>
    <w:p>
      <w:pPr>
        <w:pStyle w:val="ListBullet"/>
        <w:spacing w:after="100"/>
        <w:ind w:left="720" w:hanging="360"/>
      </w:pPr>
      <w:r>
        <w:rPr>
          <w:rFonts w:ascii="Arial" w:hAnsi="Arial"/>
          <w:color w:val="1F2933"/>
          <w:sz w:val="22"/>
        </w:rPr>
        <w:t>Se cubren productividad de tienda, experiencia del cliente, desempeño de proveedor y disponibilidad.</w:t>
      </w:r>
    </w:p>
    <w:p>
      <w:pPr>
        <w:pStyle w:val="ListBullet"/>
        <w:spacing w:after="100"/>
        <w:ind w:left="720" w:hanging="360"/>
      </w:pPr>
      <w:r>
        <w:rPr>
          <w:rFonts w:ascii="Arial" w:hAnsi="Arial"/>
          <w:color w:val="1F2933"/>
          <w:sz w:val="22"/>
        </w:rPr>
        <w:t>Se incluyó un leading indicator: índice estimado de disponibilidad.</w:t>
      </w:r>
    </w:p>
    <w:p>
      <w:pPr>
        <w:pStyle w:val="ListBullet"/>
        <w:spacing w:after="100"/>
        <w:ind w:left="720" w:hanging="360"/>
      </w:pPr>
      <w:r>
        <w:rPr>
          <w:rFonts w:ascii="Arial" w:hAnsi="Arial"/>
          <w:color w:val="1F2933"/>
          <w:sz w:val="22"/>
        </w:rPr>
        <w:t>Se incluyó un KPI compuesto: puntaje de salud de productividad.</w:t>
      </w:r>
    </w:p>
    <w:p>
      <w:pPr>
        <w:pStyle w:val="ListBullet"/>
        <w:spacing w:after="100"/>
        <w:ind w:left="720" w:hanging="360"/>
      </w:pPr>
      <w:r>
        <w:rPr>
          <w:rFonts w:ascii="Arial" w:hAnsi="Arial"/>
          <w:color w:val="1F2933"/>
          <w:sz w:val="22"/>
        </w:rPr>
        <w:t>La métrica principal propuesta es el puntaje de salud de productividad porque combina ventas por metro cuadrado, transacciones por metro cuadrado, ticket y disponibilidad estimada.</w:t>
      </w:r>
    </w:p>
    <w:p>
      <w:pPr>
        <w:spacing w:after="120"/>
      </w:pPr>
      <w:r>
        <w:rPr>
          <w:rFonts w:ascii="Arial" w:hAnsi="Arial"/>
          <w:color w:val="1F2933"/>
        </w:rPr>
        <w:t>Conclusión del Bloque 4: el framework evita medir solo ventas absolutas. La propuesta permite identificar tiendas grandes que venden mucho pero son ineficientes, y tiendas con riesgo operativo antes de que el cierre mensual muestre el impacto.</w:t>
      </w:r>
    </w:p>
    <w:p>
      <w:pPr>
        <w:pStyle w:val="Heading2"/>
      </w:pPr>
      <w:r>
        <w:rPr>
          <w:rFonts w:ascii="Arial" w:hAnsi="Arial"/>
          <w:color w:val="176B87"/>
        </w:rPr>
        <w:t>Bloque 5 - Dashboard operativo y presentación ejecutiva</w:t>
      </w:r>
    </w:p>
    <w:p>
      <w:pPr>
        <w:spacing w:after="120"/>
      </w:pPr>
      <w:r>
        <w:rPr>
          <w:rFonts w:ascii="Arial" w:hAnsi="Arial"/>
          <w:color w:val="1F2933"/>
        </w:rPr>
        <w:t>Referencia PDF: página 10. Entregables esperados: dashboard operativo y PDF ejecutivo en inglés de máximo 5 slides.</w:t>
      </w:r>
    </w:p>
    <w:tbl>
      <w:tblPr>
        <w:tblStyle w:val="TableGrid"/>
        <w:tblW w:type="dxa" w:w="9360"/>
        <w:jc w:val="left"/>
        <w:tblLayout w:type="fixed"/>
        <w:tblLook w:firstColumn="1" w:firstRow="1" w:lastColumn="0" w:lastRow="0" w:noHBand="0" w:noVBand="1" w:val="04A0"/>
      </w:tblPr>
      <w:tblGrid>
        <w:gridCol w:w="3312"/>
        <w:gridCol w:w="3312"/>
        <w:gridCol w:w="3312"/>
      </w:tblGrid>
      <w:tr>
        <w:tc>
          <w:tcPr>
            <w:tcW w:type="dxa" w:w="244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Elemento solicitado</w:t>
            </w:r>
          </w:p>
        </w:tc>
        <w:tc>
          <w:tcPr>
            <w:tcW w:type="dxa" w:w="46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Implementación en el dashboard</w:t>
            </w:r>
          </w:p>
        </w:tc>
        <w:tc>
          <w:tcPr>
            <w:tcW w:type="dxa" w:w="280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Referencia</w:t>
            </w:r>
          </w:p>
        </w:tc>
      </w:tr>
      <w:tr>
        <w:tc>
          <w:tcPr>
            <w:tcW w:type="dxa" w:w="244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Header con métricas</w:t>
            </w:r>
          </w:p>
        </w:tc>
        <w:tc>
          <w:tcPr>
            <w:tcW w:type="dxa" w:w="46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Ventas netas, transacciones, ticket promedio y ventas netas por metro cuadrado con variación vs período anterior.</w:t>
            </w:r>
          </w:p>
        </w:tc>
        <w:tc>
          <w:tcPr>
            <w:tcW w:type="dxa" w:w="280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bloque5_dashboard.html</w:t>
            </w:r>
          </w:p>
        </w:tc>
      </w:tr>
      <w:tr>
        <w:tc>
          <w:tcPr>
            <w:tcW w:type="dxa" w:w="244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Filtros</w:t>
            </w:r>
          </w:p>
        </w:tc>
        <w:tc>
          <w:tcPr>
            <w:tcW w:type="dxa" w:w="46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País, formato, región, rango de fechas, tienda desplegable, búsqueda por texto y alerta.</w:t>
            </w:r>
          </w:p>
        </w:tc>
        <w:tc>
          <w:tcPr>
            <w:tcW w:type="dxa" w:w="280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bloque5_dashboard.html</w:t>
            </w:r>
          </w:p>
        </w:tc>
      </w:tr>
      <w:tr>
        <w:tc>
          <w:tcPr>
            <w:tcW w:type="dxa" w:w="244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Ranking de tiendas</w:t>
            </w:r>
          </w:p>
        </w:tc>
        <w:tc>
          <w:tcPr>
            <w:tcW w:type="dxa" w:w="46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Tabla ordenable por desempeño; clic en tienda abre detalle operativo.</w:t>
            </w:r>
          </w:p>
        </w:tc>
        <w:tc>
          <w:tcPr>
            <w:tcW w:type="dxa" w:w="280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Sección Ranking de tiendas</w:t>
            </w:r>
          </w:p>
        </w:tc>
      </w:tr>
      <w:tr>
        <w:tc>
          <w:tcPr>
            <w:tcW w:type="dxa" w:w="244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Comp Sales / tendencia</w:t>
            </w:r>
          </w:p>
        </w:tc>
        <w:tc>
          <w:tcPr>
            <w:tcW w:type="dxa" w:w="46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Tendencia semanal año actual contra año anterior con selector de métrica.</w:t>
            </w:r>
          </w:p>
        </w:tc>
        <w:tc>
          <w:tcPr>
            <w:tcW w:type="dxa" w:w="280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Sección Tendencia semanal</w:t>
            </w:r>
          </w:p>
        </w:tc>
      </w:tr>
      <w:tr>
        <w:tc>
          <w:tcPr>
            <w:tcW w:type="dxa" w:w="244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Alerta automática</w:t>
            </w:r>
          </w:p>
        </w:tc>
        <w:tc>
          <w:tcPr>
            <w:tcW w:type="dxa" w:w="46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Tiendas por debajo del percentil 25 marcadas como bajo rendimiento.</w:t>
            </w:r>
          </w:p>
        </w:tc>
        <w:tc>
          <w:tcPr>
            <w:tcW w:type="dxa" w:w="280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Ranking y detalle de tienda</w:t>
            </w:r>
          </w:p>
        </w:tc>
      </w:tr>
      <w:tr>
        <w:tc>
          <w:tcPr>
            <w:tcW w:type="dxa" w:w="244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Retención</w:t>
            </w:r>
          </w:p>
        </w:tc>
        <w:tc>
          <w:tcPr>
            <w:tcW w:type="dxa" w:w="46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Matriz de cohortes de lealtad por mes relativo.</w:t>
            </w:r>
          </w:p>
        </w:tc>
        <w:tc>
          <w:tcPr>
            <w:tcW w:type="dxa" w:w="280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Sección Retención de clientes</w:t>
            </w:r>
          </w:p>
        </w:tc>
      </w:tr>
      <w:tr>
        <w:tc>
          <w:tcPr>
            <w:tcW w:type="dxa" w:w="244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Stock</w:t>
            </w:r>
          </w:p>
        </w:tc>
        <w:tc>
          <w:tcPr>
            <w:tcW w:type="dxa" w:w="46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Lista priorizada de posibles quiebres activos con venta estimada perdida.</w:t>
            </w:r>
          </w:p>
        </w:tc>
        <w:tc>
          <w:tcPr>
            <w:tcW w:type="dxa" w:w="280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Sección Quiebres activos de venta</w:t>
            </w:r>
          </w:p>
        </w:tc>
      </w:tr>
      <w:tr>
        <w:tc>
          <w:tcPr>
            <w:tcW w:type="dxa" w:w="244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Presentación ejecutiva</w:t>
            </w:r>
          </w:p>
        </w:tc>
        <w:tc>
          <w:tcPr>
            <w:tcW w:type="dxa" w:w="46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PDF en inglés con 5 páginas: resumen, desempeño, oportunidades, riesgos y recomendaciones.</w:t>
            </w:r>
          </w:p>
        </w:tc>
        <w:tc>
          <w:tcPr>
            <w:tcW w:type="dxa" w:w="2808"/>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bloque5_presentacion_EN.pdf</w:t>
            </w:r>
          </w:p>
        </w:tc>
      </w:tr>
    </w:tbl>
    <w:p/>
    <w:p>
      <w:pPr>
        <w:spacing w:after="120"/>
      </w:pPr>
      <w:r>
        <w:rPr>
          <w:rFonts w:ascii="Arial" w:hAnsi="Arial"/>
          <w:color w:val="1F2933"/>
        </w:rPr>
        <w:t>Conclusión del Bloque 5: el dashboard está pensado para uso diario sin soporte técnico. El encabezado es compacto, los filtros son desplegables y cada componente incluye explicación técnica y consulta de referencia. Aunque el PDF menciona herramientas tipo Power BI/Tableau/Looker, se eligió HTML local por portabilidad y por la restricción de no instalar herramientas administradas; funcionalmente cubre los elementos solicitados.</w:t>
      </w:r>
    </w:p>
    <w:p>
      <w:pPr>
        <w:pStyle w:val="Heading1"/>
      </w:pPr>
      <w:r>
        <w:rPr>
          <w:rFonts w:ascii="Arial" w:hAnsi="Arial"/>
          <w:color w:val="176B87"/>
        </w:rPr>
        <w:t>Validaciones realizadas</w:t>
      </w:r>
    </w:p>
    <w:tbl>
      <w:tblPr>
        <w:tblStyle w:val="TableGrid"/>
        <w:tblW w:type="dxa" w:w="9360"/>
        <w:jc w:val="left"/>
        <w:tblLayout w:type="fixed"/>
        <w:tblLook w:firstColumn="1" w:firstRow="1" w:lastColumn="0" w:lastRow="0" w:noHBand="0" w:noVBand="1" w:val="04A0"/>
      </w:tblPr>
      <w:tblGrid>
        <w:gridCol w:w="4968"/>
        <w:gridCol w:w="4968"/>
      </w:tblGrid>
      <w:tr>
        <w:tc>
          <w:tcPr>
            <w:tcW w:type="dxa" w:w="28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Validación</w:t>
            </w:r>
          </w:p>
        </w:tc>
        <w:tc>
          <w:tcPr>
            <w:tcW w:type="dxa" w:w="705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EAF5F8"/>
          </w:tcPr>
          <w:p>
            <w:pPr>
              <w:spacing w:after="0"/>
            </w:pPr>
            <w:r>
              <w:rPr>
                <w:rFonts w:ascii="Arial" w:hAnsi="Arial"/>
                <w:b/>
                <w:color w:val="176B87"/>
                <w:sz w:val="19"/>
              </w:rPr>
              <w:t>Resultado</w:t>
            </w:r>
          </w:p>
        </w:tc>
      </w:tr>
      <w:tr>
        <w:tc>
          <w:tcPr>
            <w:tcW w:type="dxa" w:w="28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Carga SQLite</w:t>
            </w:r>
          </w:p>
        </w:tc>
        <w:tc>
          <w:tcPr>
            <w:tcW w:type="dxa" w:w="705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Base creada con vendors 30, stores 40, products 200, transactions 174,880, transaction_items 542,015, store_promotions 42.</w:t>
            </w:r>
          </w:p>
        </w:tc>
      </w:tr>
      <w:tr>
        <w:tc>
          <w:tcPr>
            <w:tcW w:type="dxa" w:w="28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 1 SQLite</w:t>
            </w:r>
          </w:p>
        </w:tc>
        <w:tc>
          <w:tcPr>
            <w:tcW w:type="dxa" w:w="705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Tablas creadas: q1 39 filas, q2 40, q3 8, q4 128, q5 315,383, q6 8.</w:t>
            </w:r>
          </w:p>
        </w:tc>
      </w:tr>
      <w:tr>
        <w:tc>
          <w:tcPr>
            <w:tcW w:type="dxa" w:w="28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Compilación Python</w:t>
            </w:r>
          </w:p>
        </w:tc>
        <w:tc>
          <w:tcPr>
            <w:tcW w:type="dxa" w:w="705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scripts/generate_all.py, query_sqlite.py, run_sqlite_block1.py y create_sqlite_db.py compilaron sin errores.</w:t>
            </w:r>
          </w:p>
        </w:tc>
      </w:tr>
      <w:tr>
        <w:tc>
          <w:tcPr>
            <w:tcW w:type="dxa" w:w="28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Dashboard JavaScript</w:t>
            </w:r>
          </w:p>
        </w:tc>
        <w:tc>
          <w:tcPr>
            <w:tcW w:type="dxa" w:w="705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node --check sobre el script embebido pasó sin errores.</w:t>
            </w:r>
          </w:p>
        </w:tc>
      </w:tr>
      <w:tr>
        <w:tc>
          <w:tcPr>
            <w:tcW w:type="dxa" w:w="28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Interacción dashboard</w:t>
            </w:r>
          </w:p>
        </w:tc>
        <w:tc>
          <w:tcPr>
            <w:tcW w:type="dxa" w:w="705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Selector de tienda carga 40 tiendas; seleccionar una tienda deja ranking en 1 fila y chip activo.</w:t>
            </w:r>
          </w:p>
        </w:tc>
      </w:tr>
      <w:tr>
        <w:tc>
          <w:tcPr>
            <w:tcW w:type="dxa" w:w="28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PDFs entregables</w:t>
            </w:r>
          </w:p>
        </w:tc>
        <w:tc>
          <w:tcPr>
            <w:tcW w:type="dxa" w:w="705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bloque2_modelo.pdf tiene 1 página; bloque5_presentacion_EN.pdf tiene 5 páginas.</w:t>
            </w:r>
          </w:p>
        </w:tc>
      </w:tr>
      <w:tr>
        <w:tc>
          <w:tcPr>
            <w:tcW w:type="dxa" w:w="2880"/>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Texto visible del dashboard</w:t>
            </w:r>
          </w:p>
        </w:tc>
        <w:tc>
          <w:tcPr>
            <w:tcW w:type="dxa" w:w="7056"/>
            <w:tcBorders>
              <w:top w:val="single" w:sz="6" w:space="0" w:color="D9DEE5"/>
              <w:left w:val="single" w:sz="6" w:space="0" w:color="D9DEE5"/>
              <w:bottom w:val="single" w:sz="6" w:space="0" w:color="D9DEE5"/>
              <w:right w:val="single" w:sz="6" w:space="0" w:color="D9DEE5"/>
            </w:tcBorders>
            <w:tcMar>
              <w:top w:w="100" w:type="dxa"/>
              <w:start w:w="120" w:type="dxa"/>
              <w:bottom w:w="100" w:type="dxa"/>
              <w:end w:w="120" w:type="dxa"/>
            </w:tcMar>
            <w:vAlign w:val="center"/>
            <w:shd w:fill="FFFFFF"/>
          </w:tcPr>
          <w:p>
            <w:pPr>
              <w:spacing w:after="0"/>
            </w:pPr>
            <w:r>
              <w:rPr>
                <w:rFonts w:ascii="Arial" w:hAnsi="Arial"/>
                <w:color w:val="1F2933"/>
                <w:sz w:val="19"/>
              </w:rPr>
              <w:t>Sin abreviaturas no deseadas como GM/M2; se usa ventas netas por metro cuadrado.</w:t>
            </w:r>
          </w:p>
        </w:tc>
      </w:tr>
    </w:tbl>
    <w:p/>
    <w:p>
      <w:pPr>
        <w:pStyle w:val="Heading1"/>
      </w:pPr>
      <w:r>
        <w:rPr>
          <w:rFonts w:ascii="Arial" w:hAnsi="Arial"/>
          <w:color w:val="176B87"/>
        </w:rPr>
        <w:t>Comandos útiles para defender en vivo</w:t>
      </w:r>
    </w:p>
    <w:p>
      <w:pPr>
        <w:spacing w:after="120"/>
      </w:pPr>
      <w:r>
        <w:rPr>
          <w:rFonts w:ascii="Arial" w:hAnsi="Arial"/>
          <w:color w:val="1F2933"/>
        </w:rPr>
        <w:t>Estos comandos permiten mostrar la base SQLite y consultar resultados durante la entrevista desde Visual Studio Code:</w:t>
      </w:r>
    </w:p>
    <w:tbl>
      <w:tblPr>
        <w:tblStyle w:val="TableGrid"/>
        <w:tblW w:type="auto" w:w="0"/>
        <w:tblLook w:firstColumn="1" w:firstRow="1" w:lastColumn="0" w:lastRow="0" w:noHBand="0" w:noVBand="1" w:val="04A0"/>
      </w:tblPr>
      <w:tblGrid>
        <w:gridCol w:w="9936"/>
      </w:tblGrid>
      <w:tr>
        <w:tc>
          <w:tcPr>
            <w:tcW w:type="dxa" w:w="9936"/>
            <w:shd w:fill="121A24"/>
            <w:tcBorders>
              <w:top w:val="single" w:sz="6" w:space="0" w:color="121A24"/>
              <w:left w:val="single" w:sz="6" w:space="0" w:color="121A24"/>
              <w:bottom w:val="single" w:sz="6" w:space="0" w:color="121A24"/>
              <w:right w:val="single" w:sz="6" w:space="0" w:color="121A24"/>
            </w:tcBorders>
            <w:tcMar>
              <w:top w:w="120" w:type="dxa"/>
              <w:start w:w="140" w:type="dxa"/>
              <w:bottom w:w="120" w:type="dxa"/>
              <w:end w:w="140" w:type="dxa"/>
            </w:tcMar>
          </w:tcPr>
          <w:p>
            <w:pPr>
              <w:spacing w:after="0"/>
            </w:pPr>
            <w:r>
              <w:rPr>
                <w:rFonts w:ascii="Courier New" w:hAnsi="Courier New"/>
                <w:color w:val="F5F7FB"/>
                <w:sz w:val="18"/>
              </w:rPr>
              <w:t>py scripts\create_sqlite_db.py</w:t>
              <w:br/>
              <w:t>py scripts\run_sqlite_block1.py --preview 5</w:t>
              <w:br/>
              <w:t>py scripts\query_sqlite.py "SELECT * FROM bloque1_q2_productividad_tienda LIMIT 20;"</w:t>
              <w:br/>
              <w:t>py scripts\query_sqlite.py "SELECT store_name, ventas_netas_por_metro_cuadrado, alerta_rendimiento FROM bloque1_q2_productividad_tienda ORDER BY ventas_netas_por_metro_cuadrado ASC LIMIT 10;" --save tiendas_bajo_rendimiento</w:t>
              <w:br/>
              <w:t>py scripts\query_sqlite.py "SELECT category, SUM(venta_estimada_perdida) AS venta_estimada_perdida FROM bloque1_q5_posibles_quiebres_stock GROUP BY category ORDER BY venta_estimada_perdida DESC;" --save quiebres_por_categoria</w:t>
            </w:r>
          </w:p>
        </w:tc>
      </w:tr>
    </w:tbl>
    <w:p/>
    <w:p>
      <w:pPr>
        <w:pStyle w:val="Heading1"/>
      </w:pPr>
      <w:r>
        <w:rPr>
          <w:rFonts w:ascii="Arial" w:hAnsi="Arial"/>
          <w:color w:val="176B87"/>
        </w:rPr>
        <w:t>Cierre y conclusión general</w:t>
      </w:r>
    </w:p>
    <w:p>
      <w:pPr>
        <w:spacing w:after="120"/>
      </w:pPr>
      <w:r>
        <w:rPr>
          <w:rFonts w:ascii="Arial" w:hAnsi="Arial"/>
          <w:color w:val="1F2933"/>
        </w:rPr>
        <w:t>La prueba se resolvió de forma integral: no solo se entregaron archivos, sino una solución que se puede abrir, ejecutar y explicar. El valor principal del proyecto está en que conecta calidad de datos, SQL, modelo de datos, análisis estadístico, indicadores y dashboard operativo bajo una misma narrativa de negocio.</w:t>
      </w:r>
    </w:p>
    <w:p>
      <w:pPr>
        <w:spacing w:after="120"/>
      </w:pPr>
      <w:r>
        <w:rPr>
          <w:rFonts w:ascii="Arial" w:hAnsi="Arial"/>
          <w:color w:val="1F2933"/>
        </w:rPr>
        <w:t>Conclusión final: la prioridad operativa recomendada es atender disponibilidad y productividad antes de escalar la promoción. La evidencia muestra concentración alta en Electrónica, riesgo material por ausencias de venta, 10 tiendas bajo el percentil 25 de productividad y una prueba A/B que requiere repetición balanceada antes de un rollout regional.</w:t>
      </w:r>
    </w:p>
    <w:p>
      <w:pPr>
        <w:spacing w:after="120"/>
      </w:pPr>
      <w:r>
        <w:rPr>
          <w:rFonts w:ascii="Arial" w:hAnsi="Arial"/>
          <w:color w:val="1F2933"/>
        </w:rPr>
        <w:t>Saludos cordiales,</w:t>
      </w:r>
    </w:p>
    <w:p>
      <w:pPr>
        <w:spacing w:after="120"/>
      </w:pPr>
      <w:r>
        <w:rPr>
          <w:rFonts w:ascii="Arial" w:hAnsi="Arial"/>
          <w:color w:val="1F2933"/>
        </w:rPr>
        <w:t>Christopher Porras</w:t>
      </w:r>
    </w:p>
    <w:sectPr w:rsidR="00FC693F" w:rsidRPr="0006063C" w:rsidSect="00034616">
      <w:headerReference w:type="default" r:id="rId9"/>
      <w:foot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D9DEE5"/>
      </w:pBdr>
    </w:pPr>
    <w:r>
      <w:rPr>
        <w:rFonts w:ascii="Arial" w:hAnsi="Arial"/>
        <w:color w:val="667085"/>
        <w:sz w:val="18"/>
      </w:rPr>
      <w:t>Informe técnico · Prueba Técnica Data Analyst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6B8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