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8"/>
        <w:pBdr/>
        <w:spacing w:after="0" w:before="0"/>
        <w:ind/>
        <w:jc w:val="center"/>
        <w:rPr>
          <w:b/>
          <w:sz w:val="28"/>
        </w:rPr>
      </w:pPr>
      <w:r>
        <w:rPr>
          <w:b/>
          <w:sz w:val="28"/>
        </w:rPr>
        <w:t xml:space="preserve">RA2</w:t>
      </w:r>
      <w:r>
        <w:rPr>
          <w:b/>
          <w:sz w:val="28"/>
        </w:rPr>
        <w:t xml:space="preserve">: </w:t>
      </w:r>
      <w:r>
        <w:t xml:space="preserve">Implantació de sistemes ERP-CRM</w:t>
      </w:r>
      <w:r>
        <w:rPr>
          <w:b/>
          <w:sz w:val="28"/>
        </w:rPr>
      </w:r>
    </w:p>
    <w:p>
      <w:pPr>
        <w:pStyle w:val="878"/>
        <w:pBdr/>
        <w:spacing w:after="0" w:before="0"/>
        <w:ind/>
        <w:jc w:val="center"/>
        <w:rPr>
          <w:b/>
          <w:sz w:val="28"/>
        </w:rPr>
      </w:pPr>
      <w:r>
        <w:t xml:space="preserve">Comparativa ERP’s  </w:t>
      </w:r>
      <w:r>
        <w:t xml:space="preserve">+  KPI’s </w:t>
      </w:r>
      <w:r>
        <w:rPr>
          <w:b/>
          <w:sz w:val="28"/>
        </w:rPr>
      </w:r>
    </w:p>
    <w:p>
      <w:pPr>
        <w:pStyle w:val="878"/>
        <w:pBdr/>
        <w:spacing w:after="0" w:before="0"/>
        <w:ind/>
        <w:jc w:val="center"/>
        <w:rPr>
          <w:b/>
          <w:sz w:val="28"/>
        </w:rPr>
      </w:pPr>
      <w:r>
        <w:rPr>
          <w:b/>
          <w:sz w:val="28"/>
        </w:rPr>
        <w:t xml:space="preserve">Pràctica </w:t>
      </w:r>
      <w:r>
        <w:rPr>
          <w:b/>
          <w:sz w:val="28"/>
        </w:rPr>
        <w:t xml:space="preserve">3</w:t>
      </w:r>
      <w:r>
        <w:rPr>
          <w:b/>
          <w:sz w:val="28"/>
        </w:rPr>
      </w:r>
    </w:p>
    <w:p>
      <w:pPr>
        <w:pStyle w:val="884"/>
        <w:pBdr/>
        <w:spacing/>
        <w:ind/>
        <w:jc w:val="both"/>
        <w:rPr>
          <w:rFonts w:ascii="CMBX12" w:hAnsi="CMBX12" w:eastAsia="CMBX12" w:cs="CMBX12"/>
          <w:b/>
          <w:bCs/>
          <w:u w:val="single"/>
        </w:rPr>
      </w:pPr>
      <w:r>
        <w:rPr>
          <w:rFonts w:ascii="CMBX12" w:hAnsi="CMBX12" w:eastAsia="CMBX12" w:cs="CMBX12"/>
          <w:b/>
          <w:bCs/>
          <w:u w:val="single"/>
        </w:rPr>
      </w:r>
      <w:r>
        <w:rPr>
          <w:rFonts w:ascii="CMBX12" w:hAnsi="CMBX12" w:eastAsia="CMBX12" w:cs="CMBX12"/>
          <w:b/>
          <w:bCs/>
          <w:u w:val="single"/>
        </w:rPr>
      </w:r>
    </w:p>
    <w:p>
      <w:pPr>
        <w:pStyle w:val="884"/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</w:r>
      <w:r>
        <w:rPr>
          <w:rFonts w:ascii="CMR12" w:hAnsi="CMR12" w:eastAsia="CMR12" w:cs="CMR12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895"/>
            <w:widowControl w:val="true"/>
            <w:pBdr/>
            <w:spacing w:line="276" w:lineRule="auto"/>
            <w:ind/>
            <w:rPr>
              <w:rFonts w:cstheme="majorBidi"/>
              <w:szCs w:val="28"/>
              <w:lang w:val="es-ES" w:eastAsia="es-ES" w:bidi="ar-SA"/>
            </w:rPr>
          </w:pPr>
          <w:r>
            <w:rPr>
              <w:rFonts w:cstheme="majorBidi"/>
              <w:szCs w:val="28"/>
              <w:lang w:val="es-ES" w:eastAsia="es-ES" w:bidi="ar-SA"/>
            </w:rPr>
            <w:t xml:space="preserve">Índex</w:t>
          </w:r>
          <w:r>
            <w:rPr>
              <w:rFonts w:cstheme="majorBidi"/>
              <w:szCs w:val="28"/>
              <w:lang w:val="es-ES" w:eastAsia="es-ES" w:bidi="ar-SA"/>
            </w:rPr>
          </w:r>
        </w:p>
        <w:p>
          <w:pPr>
            <w:pStyle w:val="896"/>
            <w:pBdr/>
            <w:tabs>
              <w:tab w:val="clear" w:leader="none" w:pos="709"/>
              <w:tab w:val="right" w:leader="dot" w:pos="9638"/>
            </w:tabs>
            <w:spacing/>
            <w:ind/>
            <w:rPr/>
          </w:pPr>
          <w:r>
            <w:fldChar w:fldCharType="begin"/>
          </w:r>
          <w:r>
            <w:rPr>
              <w:rStyle w:val="875"/>
            </w:rPr>
            <w:instrText xml:space="preserve"> TOC \z \o "1-3" \u \h</w:instrText>
          </w:r>
          <w:r>
            <w:rPr>
              <w:rStyle w:val="875"/>
            </w:rPr>
            <w:fldChar w:fldCharType="separate"/>
          </w:r>
          <w:hyperlink w:tooltip="#__RefHeading___Toc249_1920905041" w:anchor="__RefHeading___Toc249_1920905041" w:history="1">
            <w:r>
              <w:rPr>
                <w:rStyle w:val="875"/>
              </w:rPr>
              <w:t xml:space="preserve">Comparativa ERP’s</w:t>
              <w:tab/>
              <w:t xml:space="preserve">2</w:t>
            </w:r>
          </w:hyperlink>
          <w:r/>
          <w:r/>
        </w:p>
        <w:p>
          <w:pPr>
            <w:pStyle w:val="896"/>
            <w:pBdr/>
            <w:tabs>
              <w:tab w:val="clear" w:leader="none" w:pos="709"/>
              <w:tab w:val="right" w:leader="dot" w:pos="9638"/>
            </w:tabs>
            <w:spacing/>
            <w:ind/>
            <w:rPr/>
          </w:pPr>
          <w:r/>
          <w:hyperlink w:tooltip="#__RefHeading___Toc249_19209050416" w:anchor="__RefHeading___Toc249_19209050416" w:history="1">
            <w:r>
              <w:rPr>
                <w:rStyle w:val="875"/>
              </w:rPr>
              <w:t xml:space="preserve">Dissenyar un Dashboard</w:t>
              <w:tab/>
              <w:t xml:space="preserve">5</w:t>
            </w:r>
          </w:hyperlink>
          <w:r>
            <w:rPr>
              <w:rStyle w:val="875"/>
            </w:rPr>
            <w:fldChar w:fldCharType="end"/>
          </w:r>
          <w:r/>
        </w:p>
      </w:sdtContent>
    </w:sdt>
    <w:p>
      <w:pPr>
        <w:pStyle w:val="884"/>
        <w:pBdr/>
        <w:spacing w:line="360" w:lineRule="auto"/>
        <w:ind/>
        <w:jc w:val="both"/>
        <w:rPr>
          <w:rFonts w:ascii="CMR12" w:hAnsi="CMR12" w:eastAsia="CMR12" w:cs="CMR12"/>
        </w:rPr>
        <w:sectPr>
          <w:headerReference w:type="default" r:id="rId9"/>
          <w:footerReference w:type="default" r:id="rId11"/>
          <w:footnotePr/>
          <w:endnotePr/>
          <w:type w:val="nextPage"/>
          <w:pgSz w:h="16838" w:orient="portrait" w:w="11906"/>
          <w:pgMar w:top="1134" w:right="1134" w:bottom="1134" w:left="1134" w:header="720" w:footer="720" w:gutter="0"/>
          <w:cols w:num="1" w:sep="0" w:space="1701" w:equalWidth="1"/>
        </w:sectPr>
      </w:pPr>
      <w:r>
        <w:rPr>
          <w:rFonts w:ascii="CMR12" w:hAnsi="CMR12" w:eastAsia="CMR12" w:cs="CMR12"/>
        </w:rPr>
      </w:r>
      <w:r>
        <w:rPr>
          <w:rFonts w:ascii="CMR12" w:hAnsi="CMR12" w:eastAsia="CMR12" w:cs="CMR12"/>
        </w:rPr>
      </w:r>
    </w:p>
    <w:p>
      <w:pPr>
        <w:pStyle w:val="862"/>
        <w:pBdr/>
        <w:spacing/>
        <w:ind/>
        <w:rPr>
          <w:rFonts w:eastAsia="CMBX12"/>
        </w:rPr>
      </w:pPr>
      <w:r/>
      <w:bookmarkStart w:id="0" w:name="__RefHeading___Toc249_1920905041"/>
      <w:r/>
      <w:bookmarkStart w:id="1" w:name="_Toc462066515"/>
      <w:r/>
      <w:bookmarkEnd w:id="0"/>
      <w:r>
        <w:rPr>
          <w:rFonts w:eastAsia="CMBX12"/>
        </w:rPr>
        <w:t xml:space="preserve">Comparativa ERP’s</w:t>
      </w:r>
      <w:bookmarkEnd w:id="1"/>
      <w:r/>
      <w:r>
        <w:rPr>
          <w:rFonts w:eastAsia="CMBX12"/>
        </w:rPr>
      </w:r>
    </w:p>
    <w:p>
      <w:pPr>
        <w:pStyle w:val="884"/>
        <w:pBdr/>
        <w:spacing/>
        <w:ind/>
        <w:jc w:val="both"/>
        <w:rPr>
          <w:rFonts w:ascii="CMBX12" w:hAnsi="CMBX12" w:eastAsia="CMBX12" w:cs="CMBX12"/>
          <w:b/>
          <w:bCs/>
          <w:u w:val="single"/>
        </w:rPr>
      </w:pPr>
      <w:r>
        <w:rPr>
          <w:rFonts w:ascii="CMBX12" w:hAnsi="CMBX12" w:eastAsia="CMBX12" w:cs="CMBX12"/>
          <w:b/>
          <w:bCs/>
          <w:u w:val="single"/>
        </w:rPr>
      </w:r>
      <w:r>
        <w:rPr>
          <w:rFonts w:ascii="CMBX12" w:hAnsi="CMBX12" w:eastAsia="CMBX12" w:cs="CMBX12"/>
          <w:b/>
          <w:bCs/>
          <w:u w:val="single"/>
        </w:rPr>
      </w:r>
    </w:p>
    <w:p>
      <w:pPr>
        <w:pStyle w:val="884"/>
        <w:pBdr/>
        <w:spacing/>
        <w:ind/>
        <w:jc w:val="both"/>
        <w:rPr>
          <w:rFonts w:ascii="CMBX12" w:hAnsi="CMBX12" w:eastAsia="CMBX12" w:cs="CMBX12"/>
          <w:b/>
          <w:bCs/>
          <w:sz w:val="20"/>
          <w:szCs w:val="20"/>
          <w:u w:val="single"/>
        </w:rPr>
      </w:pPr>
      <w:r>
        <w:rPr>
          <w:rFonts w:ascii="CMBX12" w:hAnsi="CMBX12" w:eastAsia="CMBX12" w:cs="CMBX12"/>
          <w:b/>
          <w:bCs/>
          <w:u w:val="single"/>
        </w:rPr>
        <w:t xml:space="preserve">Enunciat</w:t>
      </w:r>
      <w:r>
        <w:rPr>
          <w:rFonts w:ascii="CMBX12" w:hAnsi="CMBX12" w:eastAsia="CMBX12" w:cs="CMBX12"/>
          <w:b/>
          <w:bCs/>
          <w:sz w:val="20"/>
          <w:szCs w:val="20"/>
          <w:u w:val="single"/>
        </w:rPr>
      </w:r>
    </w:p>
    <w:p>
      <w:pPr>
        <w:pStyle w:val="884"/>
        <w:pBdr/>
        <w:spacing/>
        <w:ind/>
        <w:jc w:val="both"/>
        <w:rPr>
          <w:rFonts w:ascii="CMBX12" w:hAnsi="CMBX12" w:eastAsia="CMBX12" w:cs="CMBX12"/>
          <w:sz w:val="20"/>
          <w:szCs w:val="20"/>
        </w:rPr>
      </w:pPr>
      <w:r>
        <w:rPr>
          <w:rFonts w:ascii="CMBX12" w:hAnsi="CMBX12" w:eastAsia="CMBX12" w:cs="CMBX12"/>
          <w:sz w:val="20"/>
          <w:szCs w:val="20"/>
        </w:rPr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  <w:t xml:space="preserve">     </w:t>
      </w:r>
      <w:r>
        <w:rPr>
          <w:rFonts w:ascii="CMBX12" w:hAnsi="CMBX12" w:eastAsia="CMBX12" w:cs="CMBX12"/>
        </w:rPr>
        <w:t xml:space="preserve">En aquesta primera pràctica buscarem informació de diferents ERPs i en farem una comparativa.  </w:t>
      </w:r>
      <w:r>
        <w:rPr>
          <w:rFonts w:ascii="CMBX12" w:hAnsi="CMBX12" w:eastAsia="CMBX12" w:cs="CMBX12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  <w:t xml:space="preserve">Cal que penseu una empresa d’un sector determinat per a poder fer aquesta an</w:t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  <w:t xml:space="preserve">àlisi més concreta i aquesta mateixa empresa ens servirà per a</w:t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  <w:t xml:space="preserve">l segon apartat en el qual cal dissenyar un Dashboard</w:t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  <w:t xml:space="preserve">.</w:t>
      </w:r>
      <w:r>
        <w:rPr>
          <w:rFonts w:ascii="CMBX12" w:hAnsi="CMBX12" w:eastAsia="CMBX12" w:cs="CMBX12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  <w:t xml:space="preserve">Cal recollir:</w:t>
      </w:r>
      <w:r>
        <w:rPr>
          <w:rFonts w:ascii="CMBX12" w:hAnsi="CMBX12" w:eastAsia="CMBX12" w:cs="CMBX12"/>
        </w:rPr>
      </w:r>
    </w:p>
    <w:p>
      <w:pPr>
        <w:pStyle w:val="884"/>
        <w:numPr>
          <w:ilvl w:val="0"/>
          <w:numId w:val="3"/>
        </w:numPr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  <w:t xml:space="preserve">Nom de l’empresa</w:t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 w:firstLine="0" w:left="720"/>
        <w:jc w:val="both"/>
        <w:rPr>
          <w:rFonts w:ascii="CMBX12" w:hAnsi="CMBX12" w:eastAsia="CMBX12" w:cs="CMBX12"/>
          <w:color w:val="auto"/>
          <w:sz w:val="24"/>
          <w:szCs w:val="24"/>
          <w:highlight w:val="yellow"/>
        </w:rPr>
      </w:pPr>
      <w:r>
        <w:rPr>
          <w:rFonts w:ascii="CMBX12" w:hAnsi="CMBX12" w:eastAsia="CMBX12" w:cs="CMBX12"/>
          <w:color w:val="auto"/>
          <w:sz w:val="24"/>
          <w:szCs w:val="24"/>
          <w:highlight w:val="yellow"/>
          <w:lang w:val="ca-ES" w:eastAsia="zh-CN" w:bidi="ca-ES"/>
        </w:rPr>
        <w:t xml:space="preserve">BYG</w:t>
      </w:r>
      <w:r>
        <w:rPr>
          <w:rFonts w:ascii="CMBX12" w:hAnsi="CMBX12" w:eastAsia="CMBX12" w:cs="CMBX12"/>
          <w:color w:val="auto"/>
          <w:sz w:val="24"/>
          <w:szCs w:val="24"/>
          <w:highlight w:val="yellow"/>
          <w:lang w:val="ca-ES" w:eastAsia="zh-CN" w:bidi="ca-ES"/>
        </w:rPr>
      </w:r>
      <w:r>
        <w:rPr>
          <w:rFonts w:ascii="CMBX12" w:hAnsi="CMBX12" w:eastAsia="CMBX12" w:cs="CMBX12"/>
          <w:color w:val="auto"/>
          <w:sz w:val="24"/>
          <w:szCs w:val="24"/>
          <w:highlight w:val="yellow"/>
          <w:lang w:val="ca-ES" w:eastAsia="zh-CN" w:bidi="hi-IN"/>
        </w:rPr>
      </w:r>
    </w:p>
    <w:p>
      <w:pPr>
        <w:pStyle w:val="884"/>
        <w:numPr>
          <w:ilvl w:val="0"/>
          <w:numId w:val="3"/>
        </w:numPr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  <w:t xml:space="preserve">Descripció de l’empresa. Caldria descriure en unes quantes línies l’activitat de l’empresa i donar la informació per entendre el sector al qual pertany i les peculiaritats més importants del seu negoci.</w:t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 w:firstLine="0" w:left="720"/>
        <w:jc w:val="both"/>
        <w:rPr>
          <w:rFonts w:ascii="CMBX12" w:hAnsi="CMBX12" w:eastAsia="CMBX12" w:cs="CMBX12"/>
          <w:color w:val="auto"/>
          <w:sz w:val="24"/>
          <w:szCs w:val="24"/>
          <w:highlight w:val="yellow"/>
          <w:lang w:val="ca-ES" w:eastAsia="zh-CN" w:bidi="ca-ES"/>
          <w14:ligatures w14:val="none"/>
        </w:rPr>
      </w:pPr>
      <w:r>
        <w:rPr>
          <w:rFonts w:ascii="CMBX12" w:hAnsi="CMBX12" w:eastAsia="CMBX12" w:cs="CMBX12"/>
          <w:color w:val="auto"/>
          <w:sz w:val="24"/>
          <w:szCs w:val="24"/>
          <w:highlight w:val="yellow"/>
          <w:lang w:val="ca-ES" w:eastAsia="zh-CN" w:bidi="ca-ES"/>
        </w:rPr>
      </w:r>
      <w:r>
        <w:rPr>
          <w:rFonts w:ascii="CMBX12" w:hAnsi="CMBX12" w:eastAsia="CMBX12" w:cs="CMBX12"/>
          <w:color w:val="auto"/>
          <w:sz w:val="24"/>
          <w:szCs w:val="24"/>
          <w:highlight w:val="yellow"/>
          <w:lang w:val="ca-ES"/>
        </w:rPr>
        <w:t xml:space="preserve">BYG SAU és una empresa dedicada a la fabricació i distribució de peces de desgast i recanvis per a maquinària pesada utilitzada en construcció, obra pública, mineria i pedreres. </w:t>
      </w:r>
      <w:r>
        <w:rPr>
          <w:rFonts w:ascii="CMBX12" w:hAnsi="CMBX12" w:eastAsia="CMBX12" w:cs="CMBX12"/>
          <w:color w:val="auto"/>
          <w:sz w:val="24"/>
          <w:szCs w:val="24"/>
          <w:highlight w:val="yellow"/>
          <w:lang w:val="ca-ES"/>
        </w:rPr>
        <w:t xml:space="preserve">L’empresa compta amb un departament propi d’enginyeria i I+D, fet que li permet desenvolupar peces de gran durabilitat i solucions adaptades a cada client. BYG opera </w:t>
      </w:r>
      <w:r>
        <w:rPr>
          <w:rFonts w:ascii="CMBX12" w:hAnsi="CMBX12" w:eastAsia="CMBX12" w:cs="CMBX12"/>
          <w:color w:val="auto"/>
          <w:sz w:val="24"/>
          <w:szCs w:val="24"/>
          <w:highlight w:val="yellow"/>
          <w:lang w:val="ca-ES"/>
        </w:rPr>
        <w:t xml:space="preserve">tant al mercat nacional com a l’internacional, exportant a més de cent països, i és reconeguda per la seva especialització en productes de qualitat per a entorns de treball intensius.</w:t>
      </w:r>
      <w:r>
        <w:rPr>
          <w:rFonts w:ascii="CMBX12" w:hAnsi="CMBX12" w:eastAsia="CMBX12" w:cs="CMBX12"/>
          <w:color w:val="auto"/>
          <w:sz w:val="24"/>
          <w:szCs w:val="24"/>
          <w:highlight w:val="yellow"/>
          <w:lang w:val="ca-ES" w:eastAsia="zh-CN" w:bidi="ca-ES"/>
        </w:rPr>
      </w:r>
      <w:r>
        <w:rPr>
          <w:rFonts w:ascii="CMBX12" w:hAnsi="CMBX12" w:eastAsia="CMBX12" w:cs="CMBX12"/>
          <w:color w:val="auto"/>
          <w:sz w:val="24"/>
          <w:szCs w:val="24"/>
          <w:highlight w:val="yellow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Times New Roman" w:hAnsi="Times New Roman" w:eastAsia="SimSun" w:cs="Mangal"/>
          <w:color w:val="auto"/>
          <w:sz w:val="24"/>
          <w:szCs w:val="24"/>
          <w:lang w:val="ca-ES" w:eastAsia="zh-CN" w:bidi="hi-IN"/>
        </w:rPr>
      </w:pPr>
      <w:r>
        <w:rPr>
          <w:rFonts w:eastAsia="SimSun" w:cs="Mangal"/>
          <w:color w:val="auto"/>
          <w:sz w:val="24"/>
          <w:szCs w:val="24"/>
          <w:lang w:val="ca-ES" w:eastAsia="zh-CN" w:bidi="hi-IN"/>
        </w:rPr>
      </w:r>
      <w:r>
        <w:rPr>
          <w:rFonts w:ascii="Times New Roman" w:hAnsi="Times New Roman" w:eastAsia="SimSun" w:cs="Mangal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  <w:t xml:space="preserve">A continuació s’indiquen el 4 ERP’s sobre els quals cal fer l’estudi.</w:t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</w:r>
      <w:r>
        <w:rPr>
          <w:rFonts w:ascii="CMBX12" w:hAnsi="CMBX12" w:eastAsia="CMBX12" w:cs="CMBX12"/>
        </w:rPr>
      </w:r>
    </w:p>
    <w:p>
      <w:pPr>
        <w:pStyle w:val="884"/>
        <w:numPr>
          <w:ilvl w:val="0"/>
          <w:numId w:val="2"/>
        </w:numPr>
        <w:pBdr/>
        <w:spacing w:line="360" w:lineRule="auto"/>
        <w:ind/>
        <w:jc w:val="both"/>
        <w:rPr>
          <w:rFonts w:ascii="CMBX12" w:hAnsi="CMBX12" w:eastAsia="CMBX12" w:cs="CMBX12"/>
          <w:sz w:val="20"/>
          <w:szCs w:val="20"/>
        </w:rPr>
      </w:pPr>
      <w:r>
        <w:rPr>
          <w:rFonts w:ascii="CMBX12" w:hAnsi="CMBX12" w:eastAsia="CMBX12" w:cs="CMBX12"/>
        </w:rPr>
        <w:t xml:space="preserve">Odoo  (</w:t>
      </w:r>
      <w:r>
        <w:rPr>
          <w:rStyle w:val="865"/>
          <w:rFonts w:ascii="CMBX12" w:hAnsi="CMBX12" w:eastAsia="CMBX12" w:cs="CMBX12"/>
        </w:rPr>
        <w:t xml:space="preserve">https://www.odoo.com/es_ES</w:t>
      </w:r>
      <w:r>
        <w:rPr>
          <w:rFonts w:ascii="CMBX12" w:hAnsi="CMBX12" w:eastAsia="CMBX12" w:cs="CMBX12"/>
        </w:rPr>
        <w:t xml:space="preserve">)</w:t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" behindDoc="0" locked="0" layoutInCell="0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8255</wp:posOffset>
                </wp:positionV>
                <wp:extent cx="1057275" cy="657225"/>
                <wp:effectExtent l="0" t="0" r="0" b="0"/>
                <wp:wrapSquare wrapText="bothSides"/>
                <wp:docPr id="8" name="Imat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tge1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057275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2;o:allowoverlap:true;o:allowincell:false;mso-position-horizontal-relative:text;margin-left:47.30pt;mso-position-horizontal:absolute;mso-position-vertical-relative:text;margin-top:0.65pt;mso-position-vertical:absolute;width:83.25pt;height:51.75pt;mso-wrap-distance-left:0.00pt;mso-wrap-distance-top:0.00pt;mso-wrap-distance-right:0.00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MBX12" w:hAnsi="CMBX12" w:eastAsia="CMBX12" w:cs="CMBX12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</w:r>
      <w:r>
        <w:rPr>
          <w:rFonts w:ascii="CMBX12" w:hAnsi="CMBX12" w:eastAsia="CMBX12" w:cs="CMBX12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sz w:val="20"/>
          <w:szCs w:val="20"/>
        </w:rPr>
      </w:pPr>
      <w:r>
        <w:rPr>
          <w:rFonts w:ascii="CMBX12" w:hAnsi="CMBX12" w:eastAsia="CMBX12" w:cs="CMBX12"/>
          <w:sz w:val="20"/>
          <w:szCs w:val="20"/>
        </w:rPr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sz w:val="20"/>
          <w:szCs w:val="20"/>
        </w:rPr>
      </w:pPr>
      <w:r>
        <w:rPr>
          <w:rFonts w:ascii="CMBX12" w:hAnsi="CMBX12" w:eastAsia="CMBX12" w:cs="CMBX12"/>
          <w:sz w:val="20"/>
          <w:szCs w:val="20"/>
        </w:rPr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numPr>
          <w:ilvl w:val="0"/>
          <w:numId w:val="2"/>
        </w:numPr>
        <w:pBdr/>
        <w:spacing w:line="360" w:lineRule="auto"/>
        <w:ind/>
        <w:rPr>
          <w:rFonts w:ascii="CMBX12" w:hAnsi="CMBX12" w:eastAsia="CMBX12" w:cs="CMBX12"/>
          <w:sz w:val="20"/>
          <w:szCs w:val="20"/>
        </w:rPr>
      </w:pPr>
      <w:r>
        <w:rPr>
          <w:rFonts w:ascii="CMBX12" w:hAnsi="CMBX12" w:eastAsia="CMBX12" w:cs="CMBX12"/>
        </w:rPr>
        <w:t xml:space="preserve">Microsoft Dynamics NAV</w:t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pBdr/>
        <w:spacing w:line="360" w:lineRule="auto"/>
        <w:ind w:firstLine="0" w:left="720"/>
        <w:rPr>
          <w:rFonts w:ascii="CMBX12" w:hAnsi="CMBX12" w:eastAsia="CMBX12" w:cs="CMBX12"/>
          <w:sz w:val="20"/>
          <w:szCs w:val="20"/>
        </w:rPr>
      </w:pPr>
      <w:r>
        <w:rPr>
          <w:rFonts w:ascii="CMBX12" w:hAnsi="CMBX12" w:eastAsia="CMBX12" w:cs="CMBX12"/>
        </w:rPr>
        <w:t xml:space="preserve"> </w:t>
      </w:r>
      <w:r>
        <w:rPr>
          <w:rFonts w:ascii="CMBX12" w:hAnsi="CMBX12" w:eastAsia="CMBX12" w:cs="CMBX12"/>
        </w:rPr>
        <w:t xml:space="preserve">(</w:t>
      </w:r>
      <w:hyperlink r:id="rId15" w:tooltip="https://www.microsoft.com/es-es/dynamics/erp-nav-vision-general.aspx" w:history="1">
        <w:r>
          <w:rPr>
            <w:rStyle w:val="865"/>
            <w:rFonts w:ascii="CMBX12" w:hAnsi="CMBX12" w:eastAsia="CMBX12" w:cs="CMBX12"/>
          </w:rPr>
          <w:t xml:space="preserve">https://www.microsoft.com/es-es/dynamics/erp-nav-vision-general.aspx</w:t>
        </w:r>
      </w:hyperlink>
      <w:r>
        <w:rPr>
          <w:rFonts w:ascii="CMBX12" w:hAnsi="CMBX12" w:eastAsia="CMBX12" w:cs="CMBX12"/>
        </w:rPr>
        <w:t xml:space="preserve">)</w:t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" behindDoc="1" locked="0" layoutInCell="0" allowOverlap="1">
                <wp:simplePos x="0" y="0"/>
                <wp:positionH relativeFrom="column">
                  <wp:posOffset>443230</wp:posOffset>
                </wp:positionH>
                <wp:positionV relativeFrom="paragraph">
                  <wp:posOffset>13335</wp:posOffset>
                </wp:positionV>
                <wp:extent cx="1957705" cy="577850"/>
                <wp:effectExtent l="0" t="0" r="0" b="0"/>
                <wp:wrapNone/>
                <wp:docPr id="9" name="Imagen 3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38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957705" cy="577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19;o:allowoverlap:true;o:allowincell:false;mso-position-horizontal-relative:text;margin-left:34.90pt;mso-position-horizontal:absolute;mso-position-vertical-relative:text;margin-top:1.05pt;mso-position-vertical:absolute;width:154.15pt;height:45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MBX12" w:hAnsi="CMBX12" w:eastAsia="CMBX12" w:cs="CMBX12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sz w:val="20"/>
          <w:szCs w:val="20"/>
        </w:rPr>
      </w:pPr>
      <w:r>
        <w:rPr>
          <w:rFonts w:ascii="CMBX12" w:hAnsi="CMBX12" w:eastAsia="CMBX12" w:cs="CMBX12"/>
          <w:sz w:val="20"/>
          <w:szCs w:val="20"/>
        </w:rPr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</w:r>
      <w:r>
        <w:rPr>
          <w:rFonts w:ascii="CMBX12" w:hAnsi="CMBX12" w:eastAsia="CMBX12" w:cs="CMBX12"/>
        </w:rPr>
      </w:r>
    </w:p>
    <w:p>
      <w:pPr>
        <w:pStyle w:val="884"/>
        <w:numPr>
          <w:ilvl w:val="0"/>
          <w:numId w:val="2"/>
        </w:numPr>
        <w:pBdr/>
        <w:spacing w:line="360" w:lineRule="auto"/>
        <w:ind/>
        <w:rPr>
          <w:rFonts w:ascii="CMBX12" w:hAnsi="CMBX12" w:eastAsia="CMBX12" w:cs="CMBX12"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" behindDoc="1" locked="0" layoutInCell="0" allowOverlap="1">
                <wp:simplePos x="0" y="0"/>
                <wp:positionH relativeFrom="column">
                  <wp:posOffset>455295</wp:posOffset>
                </wp:positionH>
                <wp:positionV relativeFrom="paragraph">
                  <wp:posOffset>217170</wp:posOffset>
                </wp:positionV>
                <wp:extent cx="1267460" cy="725805"/>
                <wp:effectExtent l="0" t="0" r="0" b="0"/>
                <wp:wrapNone/>
                <wp:docPr id="10" name="Imagen 3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37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267460" cy="725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-20;o:allowoverlap:true;o:allowincell:false;mso-position-horizontal-relative:text;margin-left:35.85pt;mso-position-horizontal:absolute;mso-position-vertical-relative:text;margin-top:17.10pt;mso-position-vertical:absolute;width:99.80pt;height:57.1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CMBX12" w:hAnsi="CMBX12" w:eastAsia="CMBX12" w:cs="CMBX12"/>
        </w:rPr>
        <w:t xml:space="preserve">SAP (</w:t>
      </w:r>
      <w:r>
        <w:rPr>
          <w:rStyle w:val="865"/>
          <w:rFonts w:ascii="CMBX12" w:hAnsi="CMBX12" w:eastAsia="CMBX12" w:cs="CMBX12"/>
        </w:rPr>
        <w:t xml:space="preserve">https://www.sap.com/spain/index.html</w:t>
      </w:r>
      <w:r>
        <w:rPr>
          <w:rFonts w:ascii="CMBX12" w:hAnsi="CMBX12" w:eastAsia="CMBX12" w:cs="CMBX12"/>
          <w:sz w:val="20"/>
          <w:szCs w:val="20"/>
        </w:rPr>
        <w:t xml:space="preserve">)</w:t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pBdr/>
        <w:spacing w:line="360" w:lineRule="auto"/>
        <w:ind w:firstLine="0" w:left="720"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</w:r>
      <w:r>
        <w:rPr>
          <w:rFonts w:ascii="CMBX12" w:hAnsi="CMBX12" w:eastAsia="CMBX12" w:cs="CMBX12"/>
        </w:rPr>
      </w:r>
    </w:p>
    <w:p>
      <w:pPr>
        <w:pStyle w:val="884"/>
        <w:pBdr/>
        <w:spacing w:line="360" w:lineRule="auto"/>
        <w:ind w:firstLine="0" w:left="720"/>
        <w:rPr>
          <w:rFonts w:ascii="CMBX12" w:hAnsi="CMBX12" w:eastAsia="CMBX12" w:cs="CMBX12"/>
          <w:sz w:val="20"/>
          <w:szCs w:val="20"/>
        </w:rPr>
      </w:pPr>
      <w:r>
        <w:rPr>
          <w:rFonts w:ascii="CMBX12" w:hAnsi="CMBX12" w:eastAsia="CMBX12" w:cs="CMBX12"/>
          <w:sz w:val="20"/>
          <w:szCs w:val="20"/>
        </w:rPr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pBdr/>
        <w:spacing w:line="360" w:lineRule="auto"/>
        <w:ind w:firstLine="0" w:left="720"/>
        <w:rPr>
          <w:rFonts w:ascii="CMBX12" w:hAnsi="CMBX12" w:eastAsia="CMBX12" w:cs="CMBX12"/>
          <w:sz w:val="20"/>
          <w:szCs w:val="20"/>
        </w:rPr>
      </w:pPr>
      <w:r>
        <w:rPr>
          <w:rFonts w:ascii="CMBX12" w:hAnsi="CMBX12" w:eastAsia="CMBX12" w:cs="CMBX12"/>
          <w:sz w:val="20"/>
          <w:szCs w:val="20"/>
        </w:rPr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pBdr/>
        <w:spacing w:line="360" w:lineRule="auto"/>
        <w:ind w:firstLine="0" w:left="720"/>
        <w:rPr>
          <w:rFonts w:ascii="CMBX12" w:hAnsi="CMBX12" w:eastAsia="CMBX12" w:cs="CMBX12"/>
          <w:sz w:val="20"/>
          <w:szCs w:val="20"/>
        </w:rPr>
      </w:pPr>
      <w:r>
        <w:rPr>
          <w:rFonts w:ascii="CMBX12" w:hAnsi="CMBX12" w:eastAsia="CMBX12" w:cs="CMBX12"/>
          <w:sz w:val="20"/>
          <w:szCs w:val="20"/>
        </w:rPr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numPr>
          <w:ilvl w:val="0"/>
          <w:numId w:val="2"/>
        </w:numPr>
        <w:pBdr/>
        <w:spacing w:line="360" w:lineRule="auto"/>
        <w:ind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  <w:t xml:space="preserve">SAGE </w:t>
      </w:r>
      <w:bookmarkStart w:id="2" w:name="__DdeLink__268_2495505169"/>
      <w:r>
        <w:rPr>
          <w:rFonts w:ascii="CMBX12" w:hAnsi="CMBX12" w:eastAsia="CMBX12" w:cs="CMBX12"/>
        </w:rPr>
        <w:t xml:space="preserve">(</w:t>
      </w:r>
      <w:r>
        <w:rPr>
          <w:rStyle w:val="865"/>
        </w:rPr>
        <w:t xml:space="preserve">http://www.</w:t>
      </w:r>
      <w:hyperlink r:id="rId18" w:tooltip="http://www.sage.es/" w:history="1">
        <w:r>
          <w:rPr>
            <w:rStyle w:val="865"/>
          </w:rPr>
          <w:t xml:space="preserve">sage</w:t>
        </w:r>
      </w:hyperlink>
      <w:r>
        <w:rPr>
          <w:rStyle w:val="865"/>
        </w:rPr>
        <w:t xml:space="preserve">.es/</w:t>
      </w:r>
      <w:bookmarkEnd w:id="2"/>
      <w:r>
        <w:rPr>
          <w:rFonts w:ascii="CMBX12" w:hAnsi="CMBX12" w:eastAsia="CMBX12" w:cs="CMBX12"/>
        </w:rPr>
        <w:t xml:space="preserve">)</w:t>
      </w:r>
      <w:r>
        <w:rPr>
          <w:rFonts w:ascii="CMBX12" w:hAnsi="CMBX12" w:eastAsia="CMBX12" w:cs="CMBX12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sz w:val="20"/>
          <w:szCs w:val="20"/>
        </w:rPr>
      </w:pPr>
      <w:r>
        <w:rPr>
          <w:rFonts w:ascii="CMBX12" w:hAnsi="CMBX12" w:eastAsia="CMBX12" w:cs="CMBX12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" behindDoc="1" locked="0" layoutInCell="0" allowOverlap="1">
                <wp:simplePos x="0" y="0"/>
                <wp:positionH relativeFrom="column">
                  <wp:posOffset>444500</wp:posOffset>
                </wp:positionH>
                <wp:positionV relativeFrom="paragraph">
                  <wp:posOffset>158115</wp:posOffset>
                </wp:positionV>
                <wp:extent cx="1257300" cy="609600"/>
                <wp:effectExtent l="0" t="0" r="0" b="0"/>
                <wp:wrapNone/>
                <wp:docPr id="11" name="Imagen 3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 36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2573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21;o:allowoverlap:true;o:allowincell:false;mso-position-horizontal-relative:text;margin-left:35.00pt;mso-position-horizontal:absolute;mso-position-vertical-relative:text;margin-top:12.45pt;mso-position-vertical:absolute;width:99.00pt;height:48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sz w:val="20"/>
          <w:szCs w:val="20"/>
        </w:rPr>
      </w:pPr>
      <w:r>
        <w:rPr>
          <w:rFonts w:ascii="CMBX12" w:hAnsi="CMBX12" w:eastAsia="CMBX12" w:cs="CMBX12"/>
          <w:sz w:val="20"/>
          <w:szCs w:val="20"/>
        </w:rPr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</w:r>
      <w:r>
        <w:rPr>
          <w:rFonts w:ascii="CMR12" w:hAnsi="CMR12" w:eastAsia="CMR12" w:cs="CMR12"/>
        </w:rPr>
      </w:r>
    </w:p>
    <w:p>
      <w:pPr>
        <w:pStyle w:val="884"/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</w:r>
      <w:r>
        <w:rPr>
          <w:rFonts w:ascii="CMR12" w:hAnsi="CMR12" w:eastAsia="CMR12" w:cs="CMR12"/>
        </w:rPr>
      </w:r>
    </w:p>
    <w:p>
      <w:pPr>
        <w:pStyle w:val="884"/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  <w:t xml:space="preserve">La informació a buscar </w:t>
      </w:r>
      <w:r>
        <w:rPr>
          <w:rFonts w:ascii="CMR12" w:hAnsi="CMR12" w:eastAsia="CMR12" w:cs="CMR12"/>
          <w:u w:val="single"/>
        </w:rPr>
        <w:t xml:space="preserve">de cadascun </w:t>
      </w:r>
      <w:r>
        <w:rPr>
          <w:rFonts w:ascii="CMR12" w:hAnsi="CMR12" w:eastAsia="CMR12" w:cs="CMR12"/>
        </w:rPr>
        <w:t xml:space="preserve">d’aquests ERPs serà:</w:t>
      </w:r>
      <w:r>
        <w:rPr>
          <w:rFonts w:ascii="CMR12" w:hAnsi="CMR12" w:eastAsia="CMR12" w:cs="CMR12"/>
        </w:rPr>
      </w:r>
    </w:p>
    <w:p>
      <w:pPr>
        <w:pStyle w:val="884"/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</w:r>
      <w:r>
        <w:rPr>
          <w:rFonts w:ascii="CMR12" w:hAnsi="CMR12" w:eastAsia="CMR12" w:cs="CMR12"/>
        </w:rPr>
      </w:r>
    </w:p>
    <w:p>
      <w:pPr>
        <w:pStyle w:val="884"/>
        <w:numPr>
          <w:ilvl w:val="0"/>
          <w:numId w:val="1"/>
        </w:numPr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  <w:t xml:space="preserve">Escollir una versió actual del producte per a empresa del sector de producció (gestió de magatzems, producció, distribució, venta, ...).</w:t>
      </w:r>
      <w:r>
        <w:rPr>
          <w:rFonts w:ascii="CMR12" w:hAnsi="CMR12" w:eastAsia="CMR12" w:cs="CMR12"/>
        </w:rPr>
      </w:r>
    </w:p>
    <w:p>
      <w:pPr>
        <w:pStyle w:val="884"/>
        <w:numPr>
          <w:ilvl w:val="0"/>
          <w:numId w:val="1"/>
        </w:numPr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  <w:t xml:space="preserve">Anàlisi de llic</w:t>
      </w:r>
      <w:r>
        <w:rPr>
          <w:rFonts w:ascii="CMR12" w:hAnsi="CMR12" w:eastAsia="CMR12" w:cs="CMR12"/>
          <w:color w:val="auto"/>
          <w:sz w:val="24"/>
          <w:szCs w:val="24"/>
          <w:lang w:val="ca-ES" w:eastAsia="zh-CN" w:bidi="hi-IN"/>
        </w:rPr>
        <w:t xml:space="preserve">è</w:t>
      </w:r>
      <w:r>
        <w:rPr>
          <w:rFonts w:ascii="CMR12" w:hAnsi="CMR12" w:eastAsia="CMR12" w:cs="CMR12"/>
        </w:rPr>
        <w:t xml:space="preserve">ncies i costos del programari.</w:t>
      </w:r>
      <w:r>
        <w:rPr>
          <w:rFonts w:ascii="CMR12" w:hAnsi="CMR12" w:eastAsia="CMR12" w:cs="CMR12"/>
        </w:rPr>
      </w:r>
    </w:p>
    <w:p>
      <w:pPr>
        <w:pStyle w:val="884"/>
        <w:numPr>
          <w:ilvl w:val="0"/>
          <w:numId w:val="1"/>
        </w:numPr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  <w:t xml:space="preserve">Plataformes on es pot instal·lar e interaccionar (Requeriments hardware, S.O. i altres components).</w:t>
      </w:r>
      <w:r>
        <w:rPr>
          <w:rFonts w:ascii="CMR12" w:hAnsi="CMR12" w:eastAsia="CMR12" w:cs="CMR12"/>
        </w:rPr>
      </w:r>
    </w:p>
    <w:p>
      <w:pPr>
        <w:pStyle w:val="884"/>
        <w:numPr>
          <w:ilvl w:val="0"/>
          <w:numId w:val="1"/>
        </w:numPr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  <w:t xml:space="preserve">Mòduls funcionals que el composen.</w:t>
      </w:r>
      <w:r>
        <w:rPr>
          <w:rFonts w:ascii="CMR12" w:hAnsi="CMR12" w:eastAsia="CMR12" w:cs="CMR12"/>
        </w:rPr>
      </w:r>
    </w:p>
    <w:p>
      <w:pPr>
        <w:pStyle w:val="884"/>
        <w:numPr>
          <w:ilvl w:val="0"/>
          <w:numId w:val="1"/>
        </w:numPr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  <w:t xml:space="preserve">Tipus de base de dades que fa servir.</w:t>
      </w:r>
      <w:r>
        <w:rPr>
          <w:rFonts w:ascii="CMR12" w:hAnsi="CMR12" w:eastAsia="CMR12" w:cs="CMR12"/>
        </w:rPr>
      </w:r>
    </w:p>
    <w:p>
      <w:pPr>
        <w:pStyle w:val="884"/>
        <w:numPr>
          <w:ilvl w:val="0"/>
          <w:numId w:val="1"/>
        </w:numPr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  <w:t xml:space="preserve">Possibilitat de personalitzar-lo. Llenguatges de programació.</w:t>
      </w:r>
      <w:r>
        <w:rPr>
          <w:rFonts w:ascii="CMR12" w:hAnsi="CMR12" w:eastAsia="CMR12" w:cs="CMR12"/>
        </w:rPr>
      </w:r>
    </w:p>
    <w:p>
      <w:pPr>
        <w:pStyle w:val="884"/>
        <w:numPr>
          <w:ilvl w:val="0"/>
          <w:numId w:val="1"/>
        </w:numPr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  <w:t xml:space="preserve">Informació disponible per instal·lar-lo, i manuals.</w:t>
      </w:r>
      <w:r>
        <w:rPr>
          <w:rFonts w:ascii="CMR12" w:hAnsi="CMR12" w:eastAsia="CMR12" w:cs="CMR12"/>
        </w:rPr>
      </w:r>
    </w:p>
    <w:p>
      <w:pPr>
        <w:pStyle w:val="884"/>
        <w:numPr>
          <w:ilvl w:val="0"/>
          <w:numId w:val="1"/>
        </w:numPr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  <w:t xml:space="preserve">Altra informació d’interès del fabricant .</w:t>
      </w:r>
      <w:r>
        <w:rPr>
          <w:rFonts w:ascii="CMR12" w:hAnsi="CMR12" w:eastAsia="CMR12" w:cs="CMR12"/>
        </w:rPr>
      </w:r>
    </w:p>
    <w:p>
      <w:pPr>
        <w:pStyle w:val="884"/>
        <w:numPr>
          <w:ilvl w:val="0"/>
          <w:numId w:val="1"/>
        </w:numPr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  <w:t xml:space="preserve">Principals distribuïdors.</w:t>
      </w:r>
      <w:r>
        <w:rPr>
          <w:rFonts w:ascii="CMR12" w:hAnsi="CMR12" w:eastAsia="CMR12" w:cs="CMR12"/>
        </w:rPr>
      </w:r>
    </w:p>
    <w:p>
      <w:pPr>
        <w:pStyle w:val="884"/>
        <w:pBdr/>
        <w:spacing w:line="360" w:lineRule="auto"/>
        <w:ind w:firstLine="0" w:left="720"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  <w:highlight w:val="none"/>
        </w:rPr>
      </w:r>
      <w:r>
        <w:rPr>
          <w:rFonts w:ascii="CMR12" w:hAnsi="CMR12" w:eastAsia="CMR12" w:cs="CMR12"/>
          <w:highlight w:val="none"/>
        </w:rPr>
      </w:r>
      <w:r>
        <w:rPr>
          <w:rFonts w:ascii="CMR12" w:hAnsi="CMR12" w:eastAsia="CMR12" w:cs="CMR12"/>
          <w:highlight w:val="none"/>
        </w:rPr>
      </w:r>
    </w:p>
    <w:p>
      <w:pPr>
        <w:pStyle w:val="882"/>
        <w:numPr>
          <w:ilvl w:val="0"/>
          <w:numId w:val="7"/>
        </w:numPr>
        <w:pBdr/>
        <w:spacing/>
        <w:ind/>
        <w:rPr>
          <w:rFonts w:ascii="CMR12" w:hAnsi="CMR12" w:eastAsia="CMR12" w:cs="CMR12"/>
          <w:b/>
          <w:bCs/>
        </w:rPr>
      </w:pPr>
      <w:r>
        <w:rPr>
          <w:rFonts w:ascii="CMR12" w:hAnsi="CMR12" w:eastAsia="CMR12" w:cs="CMR12"/>
          <w:b/>
          <w:bCs/>
        </w:rPr>
        <w:t xml:space="preserve">Odoo 19 Enterprise</w:t>
      </w:r>
      <w:r>
        <w:rPr>
          <w:rFonts w:ascii="CMR12" w:hAnsi="CMR12" w:eastAsia="CMR12" w:cs="CMR12"/>
          <w:b/>
          <w:bCs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Versió escollida:</w:t>
      </w:r>
      <w:r>
        <w:rPr>
          <w:rFonts w:ascii="CMR12" w:hAnsi="CMR12" w:eastAsia="CMR12" w:cs="CMR12"/>
          <w:lang w:val="undefined"/>
        </w:rPr>
        <w:t xml:space="preserve"> Odoo 19 Enterprise. </w:t>
      </w:r>
      <w:hyperlink r:id="rId20" w:tooltip="https://www.odoo.com/documentation/19.0/administration/on_premise/source.html?utm_source=chatgpt.com" w:history="1">
        <w:r>
          <w:rPr>
            <w:rFonts w:ascii="CMR12" w:hAnsi="CMR12" w:eastAsia="CMR12" w:cs="CMR12"/>
            <w:lang w:val="undefined"/>
          </w:rPr>
          <w:t xml:space="preserve">Odoo</w:t>
        </w:r>
      </w:hyperlink>
      <w:r>
        <w:rPr>
          <w:rFonts w:ascii="CMR12" w:hAnsi="CMR12" w:eastAsia="CMR12" w:cs="CMR12"/>
          <w:lang w:val="undefined" w:bidi="undefined"/>
        </w:rPr>
      </w:r>
      <w:r>
        <w:rPr>
          <w:rFonts w:ascii="CMR12" w:hAnsi="CMR12" w:eastAsia="CMR12" w:cs="CMR12"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Llicències i costos:</w:t>
      </w:r>
      <w:r>
        <w:rPr>
          <w:rFonts w:ascii="CMR12" w:hAnsi="CMR12" w:eastAsia="CMR12" w:cs="CMR12"/>
          <w:lang w:val="undefined"/>
        </w:rPr>
        <w:t xml:space="preserve"> Model per </w:t>
      </w:r>
      <w:r>
        <w:rPr>
          <w:rFonts w:ascii="CMR12" w:hAnsi="CMR12" w:eastAsia="CMR12" w:cs="CMR12"/>
          <w:lang w:val="undefined"/>
        </w:rPr>
        <w:t xml:space="preserve">subscripció Enterprise</w:t>
      </w:r>
      <w:r>
        <w:rPr>
          <w:rFonts w:ascii="CMR12" w:hAnsi="CMR12" w:eastAsia="CMR12" w:cs="CMR12"/>
          <w:lang w:val="undefined"/>
        </w:rPr>
        <w:t xml:space="preserve"> (pago per usuari/mòdul - també hi ha opcions SaaS i Odoo.sh); el preu exacte varia segons nombre d’usuaris i mòduls contractats i es calcula al configurador de preus d’Odoo. </w:t>
      </w:r>
      <w:hyperlink r:id="rId21" w:tooltip="https://www.odoo.com/pricing?utm_source=chatgpt.com" w:history="1">
        <w:r>
          <w:rPr>
            <w:rFonts w:ascii="CMR12" w:hAnsi="CMR12" w:eastAsia="CMR12" w:cs="CMR12"/>
            <w:lang w:val="undefined"/>
          </w:rPr>
          <w:t xml:space="preserve">Odoo+1</w:t>
        </w:r>
      </w:hyperlink>
      <w:r>
        <w:rPr>
          <w:rFonts w:ascii="CMR12" w:hAnsi="CMR12" w:eastAsia="CMR12" w:cs="CMR12"/>
          <w:lang w:val="undefined" w:bidi="undefined"/>
        </w:rPr>
      </w:r>
      <w:r>
        <w:rPr>
          <w:rFonts w:ascii="CMR12" w:hAnsi="CMR12" w:eastAsia="CMR12" w:cs="CMR12"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Plataformes / requisits:</w:t>
      </w:r>
      <w:r>
        <w:rPr>
          <w:rFonts w:ascii="CMR12" w:hAnsi="CMR12" w:eastAsia="CMR12" w:cs="CMR12"/>
          <w:lang w:val="undefined"/>
        </w:rPr>
        <w:t xml:space="preserve"> S’implanta On-premise (Linux/Windows) o en serveis gestionats; requereix </w:t>
      </w:r>
      <w:r>
        <w:rPr>
          <w:rFonts w:ascii="CMR12" w:hAnsi="CMR12" w:eastAsia="CMR12" w:cs="CMR12"/>
          <w:lang w:val="undefined"/>
        </w:rPr>
        <w:t xml:space="preserve">PostgreSQL</w:t>
      </w:r>
      <w:r>
        <w:rPr>
          <w:rFonts w:ascii="CMR12" w:hAnsi="CMR12" w:eastAsia="CMR12" w:cs="CMR12"/>
          <w:lang w:val="undefined"/>
        </w:rPr>
        <w:t xml:space="preserve"> i un entorn Python amb certes dependències (guia d’instal·lació a la documentació). Accés via navegador i possibilitat d’integració amb dispositius IoT. </w:t>
      </w:r>
      <w:hyperlink r:id="rId22" w:tooltip="https://www.odoo.com/documentation/19.0/administration/on_premise/source.html?utm_source=chatgpt.com" w:history="1">
        <w:r>
          <w:rPr>
            <w:rFonts w:ascii="CMR12" w:hAnsi="CMR12" w:eastAsia="CMR12" w:cs="CMR12"/>
            <w:lang w:val="undefined"/>
          </w:rPr>
          <w:t xml:space="preserve">Odoo+1</w:t>
        </w:r>
      </w:hyperlink>
      <w:r>
        <w:rPr>
          <w:rFonts w:ascii="CMR12" w:hAnsi="CMR12" w:eastAsia="CMR12" w:cs="CMR12"/>
          <w:lang w:val="undefined" w:bidi="undefined"/>
        </w:rPr>
      </w:r>
      <w:r>
        <w:rPr>
          <w:rFonts w:ascii="CMR12" w:hAnsi="CMR12" w:eastAsia="CMR12" w:cs="CMR12"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Mòduls funcionals (clau per producció):</w:t>
      </w:r>
      <w:r>
        <w:rPr>
          <w:rFonts w:ascii="CMR12" w:hAnsi="CMR12" w:eastAsia="CMR12" w:cs="CMR12"/>
          <w:lang w:val="undefined"/>
        </w:rPr>
        <w:t xml:space="preserve"> Manufacturing (MRP), Inventory / WMS, Quality, Maintenance, PLM, Purchase, Sales, Accounting, CRM. </w:t>
      </w:r>
      <w:hyperlink r:id="rId23" w:tooltip="https://www.odoo.com/documentation/19.0/legal/terms/enterprise.html?utm_source=chatgpt.com" w:history="1">
        <w:r>
          <w:rPr>
            <w:rFonts w:ascii="CMR12" w:hAnsi="CMR12" w:eastAsia="CMR12" w:cs="CMR12"/>
            <w:lang w:val="undefined"/>
          </w:rPr>
          <w:t xml:space="preserve">Odoo</w:t>
        </w:r>
      </w:hyperlink>
      <w:r>
        <w:rPr>
          <w:rFonts w:ascii="CMR12" w:hAnsi="CMR12" w:eastAsia="CMR12" w:cs="CMR12"/>
          <w:lang w:val="undefined" w:bidi="undefined"/>
        </w:rPr>
      </w:r>
      <w:r>
        <w:rPr>
          <w:rFonts w:ascii="CMR12" w:hAnsi="CMR12" w:eastAsia="CMR12" w:cs="CMR12"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Base de dades:</w:t>
      </w:r>
      <w:r>
        <w:rPr>
          <w:rFonts w:ascii="CMR12" w:hAnsi="CMR12" w:eastAsia="CMR12" w:cs="CMR12"/>
          <w:lang w:val="undefined"/>
        </w:rPr>
        <w:t xml:space="preserve"> </w:t>
      </w:r>
      <w:r>
        <w:rPr>
          <w:rFonts w:ascii="CMR12" w:hAnsi="CMR12" w:eastAsia="CMR12" w:cs="CMR12"/>
          <w:lang w:val="undefined"/>
        </w:rPr>
        <w:t xml:space="preserve">PostgreSQL</w:t>
      </w:r>
      <w:r>
        <w:rPr>
          <w:rFonts w:ascii="CMR12" w:hAnsi="CMR12" w:eastAsia="CMR12" w:cs="CMR12"/>
          <w:lang w:val="undefined"/>
        </w:rPr>
        <w:t xml:space="preserve">. </w:t>
      </w:r>
      <w:hyperlink r:id="rId24" w:tooltip="https://www.odoo.com/documentation/19.0/administration/on_premise/source.html?utm_source=chatgpt.com" w:history="1">
        <w:r>
          <w:rPr>
            <w:rFonts w:ascii="CMR12" w:hAnsi="CMR12" w:eastAsia="CMR12" w:cs="CMR12"/>
            <w:lang w:val="undefined"/>
          </w:rPr>
          <w:t xml:space="preserve">Odoo</w:t>
        </w:r>
      </w:hyperlink>
      <w:r>
        <w:rPr>
          <w:rFonts w:ascii="CMR12" w:hAnsi="CMR12" w:eastAsia="CMR12" w:cs="CMR12"/>
          <w:lang w:val="undefined" w:bidi="undefined"/>
        </w:rPr>
      </w:r>
      <w:r>
        <w:rPr>
          <w:rFonts w:ascii="CMR12" w:hAnsi="CMR12" w:eastAsia="CMR12" w:cs="CMR12"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14:ligatures w14:val="none"/>
        </w:rPr>
      </w:pPr>
      <w:r>
        <w:rPr>
          <w:rFonts w:ascii="CMR12" w:hAnsi="CMR12" w:eastAsia="CMR12" w:cs="CMR12"/>
          <w:lang w:val="undefined"/>
        </w:rPr>
        <w:t xml:space="preserve">Personalització / llenguatges:</w:t>
      </w:r>
      <w:r>
        <w:rPr>
          <w:rFonts w:ascii="CMR12" w:hAnsi="CMR12" w:eastAsia="CMR12" w:cs="CMR12"/>
          <w:lang w:val="undefined"/>
        </w:rPr>
        <w:t xml:space="preserve"> Altament personalitzable amb </w:t>
      </w:r>
      <w:r>
        <w:rPr>
          <w:rFonts w:ascii="CMR12" w:hAnsi="CMR12" w:eastAsia="CMR12" w:cs="CMR12"/>
          <w:lang w:val="undefined"/>
        </w:rPr>
        <w:t xml:space="preserve">Python</w:t>
      </w:r>
      <w:r>
        <w:rPr>
          <w:rFonts w:ascii="CMR12" w:hAnsi="CMR12" w:eastAsia="CMR12" w:cs="CMR12"/>
          <w:lang w:val="undefined"/>
        </w:rPr>
        <w:t xml:space="preserve"> per a la lògica i XML/QWeb per a vistes/plantilles; es desenvolupen addons i extensions. </w:t>
      </w:r>
      <w:hyperlink r:id="rId25" w:tooltip="https://www.odoo.com/documentation/19.0/administration/on_premise/source.html?utm_source=chatgpt.com" w:history="1">
        <w:r>
          <w:rPr>
            <w:rFonts w:ascii="CMR12" w:hAnsi="CMR12" w:eastAsia="CMR12" w:cs="CMR12"/>
            <w:lang w:val="undefined"/>
          </w:rPr>
          <w:t xml:space="preserve">Odoo</w:t>
        </w:r>
      </w:hyperlink>
      <w:r>
        <w:rPr>
          <w:rFonts w:ascii="CMR12" w:hAnsi="CMR12" w:eastAsia="CMR12" w:cs="CMR12"/>
          <w:lang w:val="undefined" w:bidi="undefined"/>
        </w:rPr>
      </w:r>
      <w:r>
        <w:rPr>
          <w:rFonts w:ascii="CMR12" w:hAnsi="CMR12" w:eastAsia="CMR12" w:cs="CMR12"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Documentació / manuals:</w:t>
      </w:r>
      <w:r>
        <w:rPr>
          <w:rFonts w:ascii="CMR12" w:hAnsi="CMR12" w:eastAsia="CMR12" w:cs="CMR12"/>
          <w:lang w:val="undefined"/>
        </w:rPr>
        <w:t xml:space="preserve"> Documentació oficial completa (instal·lació, administració i manuals d’usuaris/developers) disponible a la web d’Odoo. </w:t>
      </w:r>
      <w:hyperlink r:id="rId26" w:tooltip="https://www.odoo.com/documentation/19.0/administration/on_premise/source.html?utm_source=chatgpt.com" w:history="1">
        <w:r>
          <w:rPr>
            <w:rFonts w:ascii="CMR12" w:hAnsi="CMR12" w:eastAsia="CMR12" w:cs="CMR12"/>
            <w:lang w:val="undefined"/>
          </w:rPr>
          <w:t xml:space="preserve">Odoo+1</w:t>
        </w:r>
      </w:hyperlink>
      <w:r>
        <w:rPr>
          <w:rFonts w:ascii="CMR12" w:hAnsi="CMR12" w:eastAsia="CMR12" w:cs="CMR12"/>
          <w:lang w:val="undefined" w:bidi="undefined"/>
        </w:rPr>
      </w:r>
      <w:r>
        <w:rPr>
          <w:rFonts w:ascii="CMR12" w:hAnsi="CMR12" w:eastAsia="CMR12" w:cs="CMR12"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Altres d’interès del fabricant:</w:t>
      </w:r>
      <w:r>
        <w:rPr>
          <w:rFonts w:ascii="CMR12" w:hAnsi="CMR12" w:eastAsia="CMR12" w:cs="CMR12"/>
          <w:lang w:val="undefined"/>
        </w:rPr>
        <w:t xml:space="preserve"> Opcions d’allotjament (SaaS, Odoo.sh, On-prem), gran comunitat i xarxa de partners oficials per implantació. </w:t>
      </w:r>
      <w:hyperlink r:id="rId27" w:tooltip="https://www.odoo.com/pricing?utm_source=chatgpt.com" w:history="1">
        <w:r>
          <w:rPr>
            <w:rFonts w:ascii="CMR12" w:hAnsi="CMR12" w:eastAsia="CMR12" w:cs="CMR12"/>
            <w:lang w:val="undefined"/>
          </w:rPr>
          <w:t xml:space="preserve">Odoo</w:t>
        </w:r>
      </w:hyperlink>
      <w:r>
        <w:rPr>
          <w:rFonts w:ascii="CMR12" w:hAnsi="CMR12" w:eastAsia="CMR12" w:cs="CMR12"/>
          <w:lang w:val="undefined" w:bidi="undefined"/>
        </w:rPr>
      </w:r>
      <w:r>
        <w:rPr>
          <w:rFonts w:ascii="CMR12" w:hAnsi="CMR12" w:eastAsia="CMR12" w:cs="CMR12"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Principals distribuïdors / integradors:</w:t>
      </w:r>
      <w:r>
        <w:rPr>
          <w:rFonts w:ascii="CMR12" w:hAnsi="CMR12" w:eastAsia="CMR12" w:cs="CMR12"/>
          <w:lang w:val="undefined"/>
        </w:rPr>
        <w:t xml:space="preserve"> Xarxa global de partners certificats (cercador de partners a la web d’Odoo). </w:t>
      </w:r>
      <w:r>
        <w:rPr>
          <w:rFonts w:ascii="CMR12" w:hAnsi="CMR12" w:eastAsia="CMR12" w:cs="CMR12"/>
        </w:rPr>
      </w:r>
    </w:p>
    <w:p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14:ligatures w14:val="none"/>
        </w:rPr>
      </w:pPr>
      <w:r>
        <w:rPr>
          <w:rFonts w:ascii="CMR12" w:hAnsi="CMR12" w:eastAsia="CMR12" w:cs="CMR12"/>
          <w:highlight w:val="none"/>
        </w:rPr>
      </w:r>
      <w:r>
        <w:rPr>
          <w:rFonts w:ascii="CMR12" w:hAnsi="CMR12" w:eastAsia="CMR12" w:cs="CMR12"/>
          <w:highlight w:val="none"/>
        </w:rPr>
      </w:r>
    </w:p>
    <w:p>
      <w:pPr>
        <w:pBdr/>
        <w:shd w:val="nil"/>
        <w:spacing/>
        <w:ind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highlight w:val="none"/>
        </w:rPr>
        <w:br w:type="page" w:clear="all"/>
      </w:r>
      <w:r>
        <w:rPr>
          <w:rFonts w:ascii="CMR12" w:hAnsi="CMR12" w:eastAsia="CMR12" w:cs="CMR12"/>
          <w:b/>
          <w:bCs/>
          <w:highlight w:val="none"/>
        </w:rPr>
      </w:r>
      <w:r>
        <w:rPr>
          <w:rFonts w:ascii="CMR12" w:hAnsi="CMR12" w:eastAsia="CMR12" w:cs="CMR12"/>
          <w:b/>
          <w:bCs/>
          <w:highlight w:val="none"/>
        </w:rPr>
      </w:r>
    </w:p>
    <w:p>
      <w:pPr>
        <w:pStyle w:val="882"/>
        <w:numPr>
          <w:ilvl w:val="0"/>
          <w:numId w:val="7"/>
        </w:numPr>
        <w:pBdr/>
        <w:spacing/>
        <w:ind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Dynamics 365 Business Central</w:t>
      </w:r>
      <w:r>
        <w:rPr>
          <w:rFonts w:ascii="CMR12" w:hAnsi="CMR12" w:eastAsia="CMR12" w:cs="CMR12"/>
          <w:b/>
          <w:bCs/>
          <w:lang w:val="ca-ES"/>
        </w:rPr>
        <w:t xml:space="preserve"> - 2025 Release Wave 2</w:t>
      </w:r>
      <w:r>
        <w:rPr>
          <w:rFonts w:ascii="CMR12" w:hAnsi="CMR12" w:eastAsia="CMR12" w:cs="CMR12"/>
          <w:b/>
          <w:bCs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0"/>
        </w:tabs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Versió escollida</w:t>
      </w:r>
      <w:r>
        <w:rPr>
          <w:rFonts w:ascii="CMR12" w:hAnsi="CMR12" w:eastAsia="CMR12" w:cs="CMR12"/>
          <w:b/>
          <w:bCs/>
        </w:rPr>
        <w:t xml:space="preserve">:</w:t>
      </w:r>
      <w:r>
        <w:rPr>
          <w:rFonts w:ascii="CMR12" w:hAnsi="CMR12" w:eastAsia="CMR12" w:cs="CMR12"/>
          <w:lang w:val="undefined"/>
        </w:rPr>
        <w:t xml:space="preserve"> Dynamics 365 Business Central (2025 Release Wave 2). </w:t>
      </w:r>
      <w:hyperlink r:id="rId28" w:tooltip="https://learn.microsoft.com/en-us/dynamics365/release-plan/2025wave2/smb/dynamics365-business-central/?utm_source=chatgpt.com" w:history="1">
        <w:r>
          <w:rPr>
            <w:rFonts w:ascii="CMR12" w:hAnsi="CMR12" w:eastAsia="CMR12" w:cs="CMR12"/>
            <w:lang w:val="undefined"/>
          </w:rPr>
          <w:t xml:space="preserve">Microsoft Learn</w:t>
        </w:r>
      </w:hyperlink>
      <w:r>
        <w:rPr>
          <w:rFonts w:ascii="CMR12" w:hAnsi="CMR12" w:eastAsia="CMR12" w:cs="CMR12"/>
          <w:b/>
          <w:bCs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0"/>
        </w:tabs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Llicències i costos: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</w:rPr>
        <w:t xml:space="preserve">Model per subscripció (tipus d’usuari: Essentials, Premium, Team Member, etc.); les llicències es compren principalment via CSP/partners Microsoft i el cost depèn del tipus d’usuari i del nombre d’usuaris. </w:t>
      </w:r>
      <w:hyperlink r:id="rId29" w:tooltip="https://learn.microsoft.com/en-us/dynamics365/business-central/dev-itpro/deployment/licensing?utm_source=chatgpt.com" w:history="1">
        <w:r>
          <w:rPr>
            <w:rFonts w:ascii="CMR12" w:hAnsi="CMR12" w:eastAsia="CMR12" w:cs="CMR12"/>
            <w:lang w:val="undefined"/>
          </w:rPr>
          <w:t xml:space="preserve">Microsoft Learn</w:t>
        </w:r>
      </w:hyperlink>
      <w:r>
        <w:rPr>
          <w:rFonts w:ascii="CMR12" w:hAnsi="CMR12" w:eastAsia="CMR12" w:cs="CMR12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Plataformes / requisits: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Disponible en </w:t>
      </w:r>
      <w:r>
        <w:rPr>
          <w:rFonts w:ascii="CMR12" w:hAnsi="CMR12" w:eastAsia="CMR12" w:cs="CMR12"/>
          <w:b w:val="0"/>
          <w:bCs w:val="0"/>
          <w:lang w:val="undefined"/>
        </w:rPr>
        <w:t xml:space="preserve">cloud (Azure)</w:t>
      </w:r>
      <w:r>
        <w:rPr>
          <w:rFonts w:ascii="CMR12" w:hAnsi="CMR12" w:eastAsia="CMR12" w:cs="CMR12"/>
          <w:b w:val="0"/>
          <w:bCs w:val="0"/>
          <w:lang w:val="undefined"/>
        </w:rPr>
        <w:t xml:space="preserve"> i opció on-premise; on-prem requereix Windows Server i </w:t>
      </w:r>
      <w:r>
        <w:rPr>
          <w:rFonts w:ascii="CMR12" w:hAnsi="CMR12" w:eastAsia="CMR12" w:cs="CMR12"/>
          <w:b w:val="0"/>
          <w:bCs w:val="0"/>
          <w:lang w:val="undefined"/>
        </w:rPr>
        <w:t xml:space="preserve">Microsoft SQL Server</w:t>
      </w:r>
      <w:r>
        <w:rPr>
          <w:rFonts w:ascii="CMR12" w:hAnsi="CMR12" w:eastAsia="CMR12" w:cs="CMR12"/>
          <w:b w:val="0"/>
          <w:bCs w:val="0"/>
          <w:lang w:val="undefined"/>
        </w:rPr>
        <w:t xml:space="preserve"> (documentació oficial de requisits per a la versió 26/2025). Clients accedeixen via navegador o clients web. </w:t>
      </w:r>
      <w:hyperlink r:id="rId30" w:tooltip="https://learn.microsoft.com/en-us/dynamics365/business-central/dev-itpro/deployment/system-requirements-business-central-v26?utm_source=chatgpt.com" w:history="1">
        <w:r>
          <w:rPr>
            <w:rFonts w:ascii="CMR12" w:hAnsi="CMR12" w:eastAsia="CMR12" w:cs="CMR12"/>
            <w:b w:val="0"/>
            <w:bCs w:val="0"/>
            <w:lang w:val="undefined"/>
          </w:rPr>
          <w:t xml:space="preserve">Microsoft Learn+1</w:t>
        </w:r>
      </w:hyperlink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Mòduls funcionals (clau per producció):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Finances, Vendes, Compres, Inventari, Producció/Manufacturing, Gestionar magatzems, Projectes i integració amb Power Platform / Power BI. </w:t>
      </w:r>
      <w:hyperlink r:id="rId31" w:tooltip="https://learn.microsoft.com/en-us/dynamics365/release-plan/2025wave2/smb/dynamics365-business-central/?utm_source=chatgpt.com" w:history="1">
        <w:r>
          <w:rPr>
            <w:rFonts w:ascii="CMR12" w:hAnsi="CMR12" w:eastAsia="CMR12" w:cs="CMR12"/>
            <w:b w:val="0"/>
            <w:bCs w:val="0"/>
            <w:lang w:val="undefined"/>
          </w:rPr>
          <w:t xml:space="preserve">Microsoft Learn+1</w:t>
        </w:r>
      </w:hyperlink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 w:val="0"/>
          <w:bCs w:val="0"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Base de dades: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  <w:lang w:val="undefined"/>
        </w:rPr>
        <w:t xml:space="preserve">Microsoft SQL Server</w:t>
      </w:r>
      <w:r>
        <w:rPr>
          <w:rFonts w:ascii="CMR12" w:hAnsi="CMR12" w:eastAsia="CMR12" w:cs="CMR12"/>
          <w:b w:val="0"/>
          <w:bCs w:val="0"/>
          <w:lang w:val="undefined"/>
        </w:rPr>
        <w:t xml:space="preserve"> (per a desplegaments On-premise; al cloud Azure s’usa el servei gestionat corresponent). </w:t>
      </w:r>
      <w:hyperlink r:id="rId32" w:tooltip="https://learn.microsoft.com/en-us/dynamics365/business-central/dev-itpro/deployment/system-requirements-business-central-v26?utm_source=chatgpt.com" w:history="1">
        <w:r>
          <w:rPr>
            <w:rFonts w:ascii="CMR12" w:hAnsi="CMR12" w:eastAsia="CMR12" w:cs="CMR12"/>
            <w:b w:val="0"/>
            <w:bCs w:val="0"/>
            <w:lang w:val="undefined"/>
          </w:rPr>
          <w:t xml:space="preserve">Microsoft Learn</w:t>
        </w:r>
      </w:hyperlink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 w:val="0"/>
          <w:bCs w:val="0"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Personalització / llenguatges: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Desenvolupament i extensions amb </w:t>
      </w:r>
      <w:r>
        <w:rPr>
          <w:rFonts w:ascii="CMR12" w:hAnsi="CMR12" w:eastAsia="CMR12" w:cs="CMR12"/>
          <w:b w:val="0"/>
          <w:bCs w:val="0"/>
          <w:lang w:val="undefined"/>
        </w:rPr>
        <w:t xml:space="preserve">AL</w:t>
      </w:r>
      <w:r>
        <w:rPr>
          <w:rFonts w:ascii="CMR12" w:hAnsi="CMR12" w:eastAsia="CMR12" w:cs="CMR12"/>
          <w:b w:val="0"/>
          <w:bCs w:val="0"/>
          <w:lang w:val="undefined"/>
        </w:rPr>
        <w:t xml:space="preserve"> (Extensions/Apps) i APIs; l’arquitectura moderna fomenta extensions “side-by-side” en lloc de modificar el core. </w:t>
      </w:r>
      <w:hyperlink r:id="rId33" w:tooltip="https://learn.microsoft.com/en-us/dynamics365/business-central/dev-itpro/deployment/licensing?utm_source=chatgpt.com" w:history="1">
        <w:r>
          <w:rPr>
            <w:rFonts w:ascii="CMR12" w:hAnsi="CMR12" w:eastAsia="CMR12" w:cs="CMR12"/>
            <w:b w:val="0"/>
            <w:bCs w:val="0"/>
            <w:lang w:val="undefined"/>
          </w:rPr>
          <w:t xml:space="preserve">Microsoft Learn+1</w:t>
        </w:r>
      </w:hyperlink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Documentació / manuals: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Documentació oficial Microsoft (guies de desplegament, desenvolupament i llicenciatge) accessible a Learn/Microsoft Docs. </w:t>
      </w:r>
      <w:hyperlink r:id="rId34" w:tooltip="https://learn.microsoft.com/en-us/dynamics365/release-plan/2025wave2/smb/dynamics365-business-central/?utm_source=chatgpt.com" w:history="1">
        <w:r>
          <w:rPr>
            <w:rFonts w:ascii="CMR12" w:hAnsi="CMR12" w:eastAsia="CMR12" w:cs="CMR12"/>
            <w:b w:val="0"/>
            <w:bCs w:val="0"/>
            <w:lang w:val="undefined"/>
          </w:rPr>
          <w:t xml:space="preserve">Microsoft Learn+1</w:t>
        </w:r>
      </w:hyperlink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Altres d’interès del fabricant: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Integració nativa amb l’ecosistema Microsoft (Azure, Microsoft 365, Power Platform) i ampli ecosistema de partners. </w:t>
      </w:r>
      <w:hyperlink r:id="rId35" w:tooltip="https://learn.microsoft.com/en-us/dynamics365/release-plan/2025wave2/smb/dynamics365-business-central/?utm_source=chatgpt.com" w:history="1">
        <w:r>
          <w:rPr>
            <w:rFonts w:ascii="CMR12" w:hAnsi="CMR12" w:eastAsia="CMR12" w:cs="CMR12"/>
            <w:b w:val="0"/>
            <w:bCs w:val="0"/>
            <w:lang w:val="undefined"/>
          </w:rPr>
          <w:t xml:space="preserve">Microsoft Learn</w:t>
        </w:r>
      </w:hyperlink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Principals distribuïdors / integradors: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Partners certificats Microsoft (cercador de partners Business Central). </w:t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78"/>
        <w:pBdr/>
        <w:spacing/>
        <w:ind/>
        <w:rPr/>
      </w:pPr>
      <w:r/>
      <w:r/>
      <w:r/>
    </w:p>
    <w:p>
      <w:pPr>
        <w:pStyle w:val="882"/>
        <w:numPr>
          <w:ilvl w:val="0"/>
          <w:numId w:val="7"/>
        </w:numPr>
        <w:pBdr/>
        <w:spacing/>
        <w:ind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SAP S/4HANA 2023</w:t>
      </w:r>
      <w:r>
        <w:rPr>
          <w:rFonts w:ascii="CMR12" w:hAnsi="CMR12" w:eastAsia="CMR12" w:cs="CMR12"/>
          <w:b/>
          <w:bCs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Versió escollida: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SAP S/4HANA 2023 (On-Premise / opcions Cloud).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Llicències i costos: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Model complex i empresarial: llicències per usuari/rol i opcions de subscripció per cloud; sovint negociat amb SAP o partners i amb costos d’implantació i manteniment elevats. 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Plataformes / requisits: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Requereix </w:t>
      </w:r>
      <w:r>
        <w:rPr>
          <w:rFonts w:ascii="CMR12" w:hAnsi="CMR12" w:eastAsia="CMR12" w:cs="CMR12"/>
          <w:b w:val="0"/>
          <w:bCs w:val="0"/>
          <w:lang w:val="undefined"/>
        </w:rPr>
        <w:t xml:space="preserve">SAP HANA</w:t>
      </w:r>
      <w:r>
        <w:rPr>
          <w:rFonts w:ascii="CMR12" w:hAnsi="CMR12" w:eastAsia="CMR12" w:cs="CMR12"/>
          <w:b w:val="0"/>
          <w:bCs w:val="0"/>
          <w:lang w:val="undefined"/>
        </w:rPr>
        <w:t xml:space="preserve"> (base de dades in-memory); pots desplegar On-premise (hardware/OS certificats) o en cloud (proveïdors certificats). S’ha de fer sizing i seguir guies d’instal·lació i configuració (SUM, Fiori per interfície).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Mòduls funcionals (clau per producció):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Funcionalitats completes per a Manufacturing (PP, PP-DS), Warehouse Management, Quality, Plant Maintenance, Sales &amp; Distribution, Materials Management, Finance, Supply Chain.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 w:val="0"/>
          <w:bCs w:val="0"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Base de dades: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  <w:lang w:val="undefined"/>
        </w:rPr>
        <w:t xml:space="preserve">SAP HANA</w:t>
      </w:r>
      <w:r>
        <w:rPr>
          <w:rFonts w:ascii="CMR12" w:hAnsi="CMR12" w:eastAsia="CMR12" w:cs="CMR12"/>
          <w:b w:val="0"/>
          <w:bCs w:val="0"/>
          <w:lang w:val="undefined"/>
        </w:rPr>
        <w:t xml:space="preserve"> (disenyada per S/4HANA).</w:t>
      </w:r>
      <w:r>
        <w:rPr>
          <w:rFonts w:ascii="CMR12" w:hAnsi="CMR12" w:eastAsia="CMR12" w:cs="CMR12"/>
          <w:b w:val="0"/>
          <w:bCs w:val="0"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 w:val="0"/>
          <w:bCs w:val="0"/>
          <w14:ligatures w14:val="none"/>
        </w:rPr>
      </w:pPr>
      <w:r>
        <w:rPr>
          <w:rFonts w:ascii="CMR12" w:hAnsi="CMR12" w:eastAsia="CMR12" w:cs="CMR12"/>
          <w:b w:val="0"/>
          <w:bCs w:val="0"/>
          <w:lang w:val="undefined"/>
        </w:rPr>
        <w:t xml:space="preserve">Personalització / llenguatges:</w:t>
      </w:r>
      <w:r>
        <w:rPr>
          <w:rFonts w:ascii="CMR12" w:hAnsi="CMR12" w:eastAsia="CMR12" w:cs="CMR12"/>
          <w:b w:val="0"/>
          <w:bCs w:val="0"/>
          <w:lang w:val="undefined"/>
        </w:rPr>
        <w:t xml:space="preserve"> Desenvolupament tradicional amb </w:t>
      </w:r>
      <w:r>
        <w:rPr>
          <w:rFonts w:ascii="CMR12" w:hAnsi="CMR12" w:eastAsia="CMR12" w:cs="CMR12"/>
          <w:b w:val="0"/>
          <w:bCs w:val="0"/>
          <w:lang w:val="undefined"/>
        </w:rPr>
        <w:t xml:space="preserve">ABAP</w:t>
      </w:r>
      <w:r>
        <w:rPr>
          <w:rFonts w:ascii="CMR12" w:hAnsi="CMR12" w:eastAsia="CMR12" w:cs="CMR12"/>
          <w:b w:val="0"/>
          <w:bCs w:val="0"/>
          <w:lang w:val="undefined"/>
        </w:rPr>
        <w:t xml:space="preserve">; extensibilitat via in-app extensibility, side-by-side amb </w:t>
      </w:r>
      <w:r>
        <w:rPr>
          <w:rFonts w:ascii="CMR12" w:hAnsi="CMR12" w:eastAsia="CMR12" w:cs="CMR12"/>
          <w:b w:val="0"/>
          <w:bCs w:val="0"/>
          <w:lang w:val="undefined"/>
        </w:rPr>
        <w:t xml:space="preserve">SAP BTP</w:t>
      </w:r>
      <w:r>
        <w:rPr>
          <w:rFonts w:ascii="CMR12" w:hAnsi="CMR12" w:eastAsia="CMR12" w:cs="CMR12"/>
          <w:b w:val="0"/>
          <w:bCs w:val="0"/>
          <w:lang w:val="undefined"/>
        </w:rPr>
        <w:t xml:space="preserve"> i APIs.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 w:val="0"/>
          <w:bCs w:val="0"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Documentació / manuals: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Documentació oficial i guies d’implantació a help.sap.com (guies S/4HANA 2023, instal·lació, SAP Fiori). 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Altres d’interès del fabricant: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Solució enterprise d’alta escala i integració; fort enfocament cap al model cloud i migracions des de SAP ERP clàssic; cost i complexitat d’implementació són elevats. També cal atenció a patches/seguretat i manteniment actiu.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Principals distribuïdors / integradors: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Gran ecosistema de partners i integradors certificats SAP (SAP Partner Finder).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</w:rPr>
      </w:r>
    </w:p>
    <w:p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</w:rPr>
      </w:r>
      <w:r>
        <w:rPr>
          <w:rFonts w:ascii="CMR12" w:hAnsi="CMR12" w:eastAsia="CMR12" w:cs="CMR12"/>
          <w:b/>
          <w:bCs/>
        </w:rPr>
      </w:r>
      <w:r>
        <w:rPr>
          <w:rFonts w:ascii="CMR12" w:hAnsi="CMR12" w:eastAsia="CMR12" w:cs="CMR12"/>
          <w:b/>
          <w:bCs/>
        </w:rPr>
      </w:r>
    </w:p>
    <w:p>
      <w:pPr>
        <w:pStyle w:val="88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Sage X3 - 2025 R1 (v12.0.37)</w:t>
      </w:r>
      <w:r>
        <w:rPr>
          <w:rFonts w:ascii="CMR12" w:hAnsi="CMR12" w:eastAsia="CMR12" w:cs="CMR12"/>
          <w:b/>
          <w:bCs/>
        </w:rPr>
      </w:r>
      <w:r>
        <w:rPr>
          <w:rFonts w:ascii="CMR12" w:hAnsi="CMR12" w:eastAsia="CMR12" w:cs="CMR12"/>
          <w:b/>
          <w:bCs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 w:val="0"/>
          <w:bCs w:val="0"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Versió escollida: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Sage X3 2025 R1 (v12.0.37).</w:t>
      </w:r>
      <w:r>
        <w:rPr>
          <w:rFonts w:ascii="CMR12" w:hAnsi="CMR12" w:eastAsia="CMR12" w:cs="CMR12"/>
          <w:b w:val="0"/>
          <w:bCs w:val="0"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Llicències i costos: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Model per subscripció (preu segons nombre i tipus d’usuaris, mòduls i implementació); normalment es necessita sol·licitud de pressupost a partner per obtenir preu detallat.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Plataformes / requisits: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Pot desplegar-se On-premise (Windows o Linux) o en cloud; suporta bases de dades com </w:t>
      </w:r>
      <w:r>
        <w:rPr>
          <w:rFonts w:ascii="CMR12" w:hAnsi="CMR12" w:eastAsia="CMR12" w:cs="CMR12"/>
          <w:b w:val="0"/>
          <w:bCs w:val="0"/>
          <w:lang w:val="undefined"/>
        </w:rPr>
        <w:t xml:space="preserve">Oracle</w:t>
      </w:r>
      <w:r>
        <w:rPr>
          <w:rFonts w:ascii="CMR12" w:hAnsi="CMR12" w:eastAsia="CMR12" w:cs="CMR12"/>
          <w:b w:val="0"/>
          <w:bCs w:val="0"/>
          <w:lang w:val="undefined"/>
        </w:rPr>
        <w:t xml:space="preserve"> o </w:t>
      </w:r>
      <w:r>
        <w:rPr>
          <w:rFonts w:ascii="CMR12" w:hAnsi="CMR12" w:eastAsia="CMR12" w:cs="CMR12"/>
          <w:b w:val="0"/>
          <w:bCs w:val="0"/>
          <w:lang w:val="undefined"/>
        </w:rPr>
        <w:t xml:space="preserve">Microsoft SQL Server</w:t>
      </w:r>
      <w:r>
        <w:rPr>
          <w:rFonts w:ascii="CMR12" w:hAnsi="CMR12" w:eastAsia="CMR12" w:cs="CMR12"/>
          <w:b w:val="0"/>
          <w:bCs w:val="0"/>
          <w:lang w:val="undefined"/>
        </w:rPr>
        <w:t xml:space="preserve"> segons la configuració. Interfície Web/browser.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Mòduls funcionals (clau per producció):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Manufacturing, Inventory/WMS, Purchasing, Sales, Finance, Planning, Reporting i funcionalitats per a distribució internacional.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Base de dades: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Habitualment </w:t>
      </w:r>
      <w:r>
        <w:rPr>
          <w:rFonts w:ascii="CMR12" w:hAnsi="CMR12" w:eastAsia="CMR12" w:cs="CMR12"/>
          <w:b w:val="0"/>
          <w:bCs w:val="0"/>
          <w:lang w:val="undefined"/>
        </w:rPr>
        <w:t xml:space="preserve">Oracle</w:t>
      </w:r>
      <w:r>
        <w:rPr>
          <w:rFonts w:ascii="CMR12" w:hAnsi="CMR12" w:eastAsia="CMR12" w:cs="CMR12"/>
          <w:b w:val="0"/>
          <w:bCs w:val="0"/>
          <w:lang w:val="undefined"/>
        </w:rPr>
        <w:t xml:space="preserve"> o </w:t>
      </w:r>
      <w:r>
        <w:rPr>
          <w:rFonts w:ascii="CMR12" w:hAnsi="CMR12" w:eastAsia="CMR12" w:cs="CMR12"/>
          <w:b w:val="0"/>
          <w:bCs w:val="0"/>
          <w:lang w:val="undefined"/>
        </w:rPr>
        <w:t xml:space="preserve">Microsoft SQL Server</w:t>
      </w:r>
      <w:r>
        <w:rPr>
          <w:rFonts w:ascii="CMR12" w:hAnsi="CMR12" w:eastAsia="CMR12" w:cs="CMR12"/>
          <w:b w:val="0"/>
          <w:bCs w:val="0"/>
          <w:lang w:val="undefined"/>
        </w:rPr>
        <w:t xml:space="preserve"> (depèn de la instal·lació/pack).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Personalització / llenguatges: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Entorn de desenvolupament propi (X3 development tools / 4GL) i APIs per integrar i personalitzar processos; hi ha eines pròpies per parametrització i desenvolupament.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Documentació / manuals: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Documentació i notes de llançament disponibles a portals de Sage i a recursos per partners; la versió 2025 R1 té notes específiques de millores i correccions.</w:t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Altres d’interès del fabricant: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Enfocat a empreses mitjanes i grans del segment mid-market; millores en rendiment i automatització a la 2025 R1; extens ecosistema de partners.</w:t>
      </w:r>
      <w:r>
        <w:rPr>
          <w:rFonts w:ascii="CMR12" w:hAnsi="CMR12" w:eastAsia="CMR12" w:cs="CMR12"/>
          <w:b w:val="0"/>
          <w:bCs w:val="0"/>
          <w:lang w:val="undefined" w:bidi="undefined"/>
        </w:rPr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8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CMR12" w:hAnsi="CMR12" w:eastAsia="CMR12" w:cs="CMR12"/>
          <w:b/>
          <w:bCs/>
          <w14:ligatures w14:val="none"/>
        </w:rPr>
      </w:pPr>
      <w:r>
        <w:rPr>
          <w:rFonts w:ascii="CMR12" w:hAnsi="CMR12" w:eastAsia="CMR12" w:cs="CMR12"/>
          <w:b/>
          <w:bCs/>
          <w:lang w:val="undefined"/>
        </w:rPr>
        <w:t xml:space="preserve">Principals distribuïdors / integradors:</w:t>
      </w:r>
      <w:r>
        <w:rPr>
          <w:rFonts w:ascii="CMR12" w:hAnsi="CMR12" w:eastAsia="CMR12" w:cs="CMR12"/>
          <w:b/>
          <w:bCs/>
          <w:lang w:val="undefined"/>
        </w:rPr>
        <w:t xml:space="preserve"> </w:t>
      </w:r>
      <w:r>
        <w:rPr>
          <w:rFonts w:ascii="CMR12" w:hAnsi="CMR12" w:eastAsia="CMR12" w:cs="CMR12"/>
          <w:b w:val="0"/>
          <w:bCs w:val="0"/>
        </w:rPr>
        <w:t xml:space="preserve">Partners i integradors Sage X3 (cercador de partners oficial). </w:t>
      </w:r>
      <w:r>
        <w:rPr>
          <w:rFonts w:ascii="CMR12" w:hAnsi="CMR12" w:eastAsia="CMR12" w:cs="CMR12"/>
          <w:b/>
          <w:bCs/>
          <w:lang w:val="undefined"/>
        </w:rPr>
      </w:r>
    </w:p>
    <w:p>
      <w:pPr>
        <w:pStyle w:val="878"/>
        <w:pBdr/>
        <w:spacing/>
        <w:ind/>
        <w:rPr/>
      </w:pPr>
      <w:r>
        <w:rPr>
          <w:rFonts w:ascii="CMR12" w:hAnsi="CMR12" w:eastAsia="CMR12" w:cs="CMR12"/>
          <w:b/>
          <w:bCs/>
        </w:rPr>
      </w:r>
      <w:r>
        <w:rPr>
          <w:rFonts w:ascii="CMR12" w:hAnsi="CMR12" w:eastAsia="CMR12" w:cs="CMR12"/>
          <w:b/>
          <w:bCs/>
        </w:rPr>
      </w:r>
      <w:r/>
    </w:p>
    <w:p>
      <w:pPr>
        <w:pStyle w:val="862"/>
        <w:pBdr/>
        <w:spacing/>
        <w:ind/>
        <w:rPr>
          <w:rFonts w:eastAsia="CMBX12"/>
        </w:rPr>
      </w:pPr>
      <w:r/>
      <w:bookmarkStart w:id="3" w:name="__RefHeading___Toc249_19209050416"/>
      <w:r/>
      <w:bookmarkEnd w:id="3"/>
      <w:r>
        <w:rPr>
          <w:rFonts w:eastAsia="CMBX12"/>
        </w:rPr>
        <w:t xml:space="preserve">Dissenyar un Dashboard</w:t>
      </w:r>
      <w:bookmarkStart w:id="4" w:name="_Toc4620665156"/>
      <w:r/>
      <w:bookmarkEnd w:id="4"/>
      <w:r/>
      <w:r>
        <w:rPr>
          <w:rFonts w:eastAsia="CMBX12"/>
        </w:rPr>
      </w:r>
    </w:p>
    <w:p>
      <w:pPr>
        <w:pStyle w:val="884"/>
        <w:pBdr/>
        <w:spacing/>
        <w:ind/>
        <w:jc w:val="both"/>
        <w:rPr>
          <w:rFonts w:ascii="CMBX12" w:hAnsi="CMBX12" w:eastAsia="CMBX12" w:cs="CMBX12"/>
          <w:b/>
          <w:bCs/>
          <w:u w:val="single"/>
        </w:rPr>
      </w:pPr>
      <w:r>
        <w:rPr>
          <w:rFonts w:ascii="CMBX12" w:hAnsi="CMBX12" w:eastAsia="CMBX12" w:cs="CMBX12"/>
          <w:b/>
          <w:bCs/>
          <w:u w:val="single"/>
        </w:rPr>
      </w:r>
      <w:r>
        <w:rPr>
          <w:rFonts w:ascii="CMBX12" w:hAnsi="CMBX12" w:eastAsia="CMBX12" w:cs="CMBX12"/>
          <w:b/>
          <w:bCs/>
          <w:u w:val="single"/>
        </w:rPr>
      </w:r>
    </w:p>
    <w:p>
      <w:pPr>
        <w:pStyle w:val="884"/>
        <w:pBdr/>
        <w:spacing/>
        <w:ind/>
        <w:jc w:val="both"/>
        <w:rPr>
          <w:rFonts w:ascii="CMBX12" w:hAnsi="CMBX12" w:eastAsia="CMBX12" w:cs="CMBX12"/>
          <w:b/>
          <w:bCs/>
          <w:sz w:val="20"/>
          <w:szCs w:val="20"/>
          <w:u w:val="single"/>
        </w:rPr>
      </w:pPr>
      <w:r>
        <w:rPr>
          <w:rFonts w:ascii="CMBX12" w:hAnsi="CMBX12" w:eastAsia="CMBX12" w:cs="CMBX12"/>
          <w:b/>
          <w:bCs/>
          <w:u w:val="single"/>
        </w:rPr>
        <w:t xml:space="preserve">Enunciat</w:t>
      </w:r>
      <w:r>
        <w:rPr>
          <w:rFonts w:ascii="CMBX12" w:hAnsi="CMBX12" w:eastAsia="CMBX12" w:cs="CMBX12"/>
          <w:b/>
          <w:bCs/>
          <w:sz w:val="20"/>
          <w:szCs w:val="20"/>
          <w:u w:val="single"/>
        </w:rPr>
      </w:r>
    </w:p>
    <w:p>
      <w:pPr>
        <w:pStyle w:val="884"/>
        <w:pBdr/>
        <w:spacing/>
        <w:ind/>
        <w:jc w:val="both"/>
        <w:rPr>
          <w:rFonts w:ascii="CMBX12" w:hAnsi="CMBX12" w:eastAsia="CMBX12" w:cs="CMBX12"/>
          <w:sz w:val="20"/>
          <w:szCs w:val="20"/>
        </w:rPr>
      </w:pPr>
      <w:r>
        <w:rPr>
          <w:rFonts w:ascii="CMBX12" w:hAnsi="CMBX12" w:eastAsia="CMBX12" w:cs="CMBX12"/>
          <w:sz w:val="20"/>
          <w:szCs w:val="20"/>
        </w:rPr>
      </w:r>
      <w:r>
        <w:rPr>
          <w:rFonts w:ascii="CMBX12" w:hAnsi="CMBX12" w:eastAsia="CMBX12" w:cs="CMBX12"/>
          <w:sz w:val="20"/>
          <w:szCs w:val="20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  <w:t xml:space="preserve">Dissenyar un dashboard per a l’empresa seleccionada</w:t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  <w:t xml:space="preserve">. Aquest dashboard ha de contenir els </w:t>
      </w:r>
      <w:r>
        <w:rPr>
          <w:rFonts w:ascii="CMBX12" w:hAnsi="CMBX12" w:eastAsia="CMBX12" w:cs="CMBX12"/>
        </w:rPr>
        <w:t xml:space="preserve">indicadors que permetin fer el seguiment del negoci de l’empresa seleccionada.</w:t>
      </w:r>
      <w:r>
        <w:rPr>
          <w:rFonts w:ascii="CMBX12" w:hAnsi="CMBX12" w:eastAsia="CMBX12" w:cs="CMBX12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  <w:t xml:space="preserve">Definir pocs indicadors (3 o 4). Per a cadascun d’ells indicar: definició, unitats, periodicitat d’actualització, argumentar la necessitat de l’indicador i explicar en què ajudarà per a millorar el negoci.</w:t>
      </w:r>
      <w:r>
        <w:rPr>
          <w:rFonts w:ascii="CMBX12" w:hAnsi="CMBX12" w:eastAsia="CMBX12" w:cs="CMBX12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</w:r>
      <w:r>
        <w:rPr>
          <w:rFonts w:ascii="CMBX12" w:hAnsi="CMBX12" w:eastAsia="CMBX12" w:cs="CMBX12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  <w:t xml:space="preserve">Podeu posar exemples de dades per a completar la comprensi</w:t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  <w:t xml:space="preserve">ó dels indicadors triats.</w:t>
      </w:r>
      <w:r>
        <w:rPr>
          <w:rFonts w:ascii="CMBX12" w:hAnsi="CMBX12" w:eastAsia="CMBX12" w:cs="CMBX12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</w:rPr>
      </w:pPr>
      <w:r>
        <w:rPr>
          <w:rFonts w:ascii="CMBX12" w:hAnsi="CMBX12" w:eastAsia="CMBX12" w:cs="CMBX12"/>
        </w:rPr>
      </w:r>
      <w:r>
        <w:rPr>
          <w:rFonts w:ascii="CMBX12" w:hAnsi="CMBX12" w:eastAsia="CMBX12" w:cs="CMBX12"/>
        </w:rPr>
      </w:r>
    </w:p>
    <w:p>
      <w:pPr>
        <w:pStyle w:val="884"/>
        <w:pBdr/>
        <w:spacing w:line="360" w:lineRule="auto"/>
        <w:ind/>
        <w:jc w:val="both"/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pP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  <w:r>
        <w:rPr>
          <w:rFonts w:ascii="CMBX12" w:hAnsi="CMBX12" w:eastAsia="CMBX12" w:cs="CMBX12"/>
          <w:color w:val="auto"/>
          <w:sz w:val="24"/>
          <w:szCs w:val="24"/>
          <w:lang w:val="ca-ES" w:eastAsia="zh-CN" w:bidi="hi-IN"/>
        </w:rPr>
      </w:r>
    </w:p>
    <w:p>
      <w:pPr>
        <w:pStyle w:val="884"/>
        <w:pBdr/>
        <w:spacing/>
        <w:ind/>
        <w:jc w:val="both"/>
        <w:rPr>
          <w:rFonts w:ascii="CMBX12" w:hAnsi="CMBX12" w:eastAsia="CMBX12" w:cs="CMBX12"/>
          <w:b/>
          <w:bCs/>
          <w:u w:val="single"/>
        </w:rPr>
      </w:pPr>
      <w:r>
        <w:rPr>
          <w:rFonts w:ascii="CMBX12" w:hAnsi="CMBX12" w:eastAsia="CMBX12" w:cs="CMBX12"/>
          <w:b/>
          <w:bCs/>
          <w:u w:val="single"/>
        </w:rPr>
        <w:t xml:space="preserve">Pràctica</w:t>
      </w:r>
      <w:r>
        <w:rPr>
          <w:rFonts w:ascii="CMBX12" w:hAnsi="CMBX12" w:eastAsia="CMBX12" w:cs="CMBX12"/>
          <w:b/>
          <w:bCs/>
          <w:u w:val="single"/>
        </w:rPr>
      </w:r>
    </w:p>
    <w:p>
      <w:pPr>
        <w:pStyle w:val="884"/>
        <w:pBdr/>
        <w:spacing/>
        <w:ind/>
        <w:jc w:val="both"/>
        <w:rPr>
          <w:rFonts w:ascii="CMBX12" w:hAnsi="CMBX12" w:eastAsia="CMBX12" w:cs="CMBX12"/>
          <w:b/>
          <w:bCs/>
          <w:u w:val="single"/>
        </w:rPr>
      </w:pPr>
      <w:r>
        <w:rPr>
          <w:rFonts w:ascii="CMBX12" w:hAnsi="CMBX12" w:eastAsia="CMBX12" w:cs="CMBX12"/>
          <w:b/>
          <w:bCs/>
          <w:u w:val="single"/>
        </w:rPr>
      </w:r>
      <w:r>
        <w:rPr>
          <w:rFonts w:ascii="CMBX12" w:hAnsi="CMBX12" w:eastAsia="CMBX12" w:cs="CMBX12"/>
          <w:b/>
          <w:bCs/>
          <w:u w:val="single"/>
        </w:rPr>
      </w:r>
    </w:p>
    <w:p>
      <w:pPr>
        <w:pStyle w:val="884"/>
        <w:widowControl w:val="true"/>
        <w:pBdr/>
        <w:spacing w:line="360" w:lineRule="auto"/>
        <w:ind/>
        <w:jc w:val="both"/>
        <w:rPr>
          <w:rFonts w:ascii="CMR12" w:hAnsi="CMR12" w:eastAsia="CMR12" w:cs="CMR12"/>
        </w:rPr>
      </w:pPr>
      <w:r>
        <w:rPr>
          <w:rFonts w:ascii="CMR12" w:hAnsi="CMR12" w:eastAsia="CMR12" w:cs="CMR12"/>
        </w:rPr>
        <w:t xml:space="preserve">     </w:t>
      </w:r>
      <w:r>
        <w:rPr>
          <w:rFonts w:ascii="CMR12" w:hAnsi="CMR12" w:eastAsia="CMR12" w:cs="CMR12"/>
        </w:rPr>
        <w:t xml:space="preserve">S’ha de fer un document </w:t>
      </w:r>
      <w:r>
        <w:rPr>
          <w:rFonts w:ascii="CMR12" w:hAnsi="CMR12" w:eastAsia="CMR12" w:cs="CMR12"/>
          <w:u w:val="single"/>
        </w:rPr>
        <w:t xml:space="preserve">individual</w:t>
      </w:r>
      <w:r>
        <w:rPr>
          <w:rFonts w:ascii="CMR12" w:hAnsi="CMR12" w:eastAsia="CMR12" w:cs="CMR12"/>
        </w:rPr>
        <w:t xml:space="preserve"> amb aquesta informació, i penjar-lo al moodle. Ha de ser del tipus pdf. </w:t>
      </w:r>
      <w:r>
        <w:rPr>
          <w:rFonts w:ascii="CMR12" w:hAnsi="CMR12" w:eastAsia="CMR12" w:cs="CMR12"/>
        </w:rPr>
      </w:r>
    </w:p>
    <w:sectPr>
      <w:headerReference w:type="default" r:id="rId10"/>
      <w:footerReference w:type="default" r:id="rId12"/>
      <w:footnotePr/>
      <w:endnotePr/>
      <w:type w:val="nextPage"/>
      <w:pgSz w:h="16838" w:orient="portrait" w:w="11906"/>
      <w:pgMar w:top="1134" w:right="1134" w:bottom="1134" w:left="1134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MBX12">
    <w:panose1 w:val="05040102010807070707"/>
  </w:font>
  <w:font w:name="Wingdings">
    <w:panose1 w:val="05010000000000000000"/>
  </w:font>
  <w:font w:name="Liberation Sans">
    <w:panose1 w:val="020B0604020202020204"/>
  </w:font>
  <w:font w:name="Noto Sans CJK SC">
    <w:panose1 w:val="020B0500000000000000"/>
  </w:font>
  <w:font w:name="Tahoma">
    <w:panose1 w:val="020B0502040504020204"/>
  </w:font>
  <w:font w:name="Cambria">
    <w:panose1 w:val="02040503050406030204"/>
  </w:font>
  <w:font w:name="Arial">
    <w:panose1 w:val="020B0604020202020204"/>
  </w:font>
  <w:font w:name="CMR12">
    <w:panose1 w:val="05040102010807070707"/>
  </w:font>
  <w:font w:name="SimSun">
    <w:panose1 w:val="02000506000000020000"/>
  </w:font>
  <w:font w:name="Courier New">
    <w:panose1 w:val="02070409020205020404"/>
  </w:font>
  <w:font w:name="Lohit Devanagari">
    <w:panose1 w:val="05040102010807070707"/>
  </w:font>
  <w:font w:name="OpenSymbol">
    <w:panose1 w:val="05010000000000000000"/>
  </w:font>
  <w:font w:name="Mangal">
    <w:panose1 w:val="02040503050406030204"/>
  </w:font>
  <w:font w:name="Microsoft YaHei">
    <w:panose1 w:val="020F050202020403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2"/>
      <w:pBdr/>
      <w:spacing/>
      <w:ind w:right="360" w:firstLine="0"/>
      <w:rPr>
        <w:lang w:eastAsia="es-ES"/>
      </w:rPr>
    </w:pPr>
    <w:r>
      <w:rPr>
        <w:lang w:eastAsia="es-E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9050" distB="19050" distL="19685" distR="19050" simplePos="0" relativeHeight="6" behindDoc="1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-12065</wp:posOffset>
              </wp:positionV>
              <wp:extent cx="5639435" cy="635"/>
              <wp:effectExtent l="19685" t="19050" r="19050" b="19050"/>
              <wp:wrapNone/>
              <wp:docPr id="4" name="Conector rect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5639400" cy="720"/>
                      </a:xfrm>
                      <a:prstGeom prst="line">
                        <a:avLst/>
                      </a:prstGeom>
                      <a:ln w="381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3" o:spid="_x0000_s3" style="position:absolute;left:0;text-align:left;z-index:-6;mso-wrap-distance-left:1.55pt;mso-wrap-distance-top:1.50pt;mso-wrap-distance-right:1.50pt;mso-wrap-distance-bottom:1.50pt;flip:y;visibility:visible;" from="0.0pt,-0.9pt" to="444.0pt,-0.9pt" filled="f" strokecolor="#000000" strokeweight="3.00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10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Square wrapText="bothSides"/>
              <wp:docPr id="5" name="Marc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892"/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rStyle w:val="871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871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871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871"/>
                              <w:color w:val="000000"/>
                            </w:rPr>
                            <w:t xml:space="preserve">1</w:t>
                          </w:r>
                          <w:r>
                            <w:rPr>
                              <w:rStyle w:val="871"/>
                              <w:color w:val="000000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1" type="#_x0000_t1" style="position:absolute;z-index:-10;o:allowoverlap:true;o:allowincell:false;mso-position-horizontal-relative:margin;mso-position-horizontal:right;mso-position-vertical-relative:text;margin-top:0.05pt;mso-position-vertical:absolute;width:6.05pt;height:13.70pt;mso-wrap-distance-left:0.00pt;mso-wrap-distance-top:0.00pt;mso-wrap-distance-right:0.00pt;mso-wrap-distance-bottom:0.00pt;v-text-anchor:top;visibility:visible;" filled="f" stroked="f" strokeweight="0.00pt">
              <w10:wrap type="square"/>
              <v:textbox inset="0,0,0,0">
                <w:txbxContent>
                  <w:p>
                    <w:pPr>
                      <w:pStyle w:val="892"/>
                      <w:pBdr/>
                      <w:spacing/>
                      <w:ind/>
                      <w:rPr/>
                    </w:pPr>
                    <w:r>
                      <w:rPr>
                        <w:rStyle w:val="871"/>
                        <w:color w:val="000000"/>
                      </w:rPr>
                      <w:fldChar w:fldCharType="begin"/>
                    </w:r>
                    <w:r>
                      <w:rPr>
                        <w:rStyle w:val="871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871"/>
                        <w:color w:val="000000"/>
                      </w:rPr>
                      <w:fldChar w:fldCharType="separate"/>
                    </w:r>
                    <w:r>
                      <w:rPr>
                        <w:rStyle w:val="871"/>
                        <w:color w:val="000000"/>
                      </w:rPr>
                      <w:t xml:space="preserve">1</w:t>
                    </w:r>
                    <w:r>
                      <w:rPr>
                        <w:rStyle w:val="871"/>
                        <w:color w:val="000000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lang w:eastAsia="es-ES"/>
      </w:rPr>
    </w:r>
  </w:p>
  <w:p>
    <w:pPr>
      <w:pStyle w:val="89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2"/>
      <w:pBdr/>
      <w:spacing/>
      <w:ind w:right="360" w:firstLine="0"/>
      <w:rPr>
        <w:lang w:eastAsia="es-ES"/>
      </w:rPr>
    </w:pPr>
    <w:r>
      <w:rPr>
        <w:lang w:eastAsia="es-E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9050" distB="19050" distL="19685" distR="19050" simplePos="0" relativeHeight="9" behindDoc="1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-12065</wp:posOffset>
              </wp:positionV>
              <wp:extent cx="5639435" cy="635"/>
              <wp:effectExtent l="19685" t="19050" r="19050" b="19050"/>
              <wp:wrapNone/>
              <wp:docPr id="6" name="Conector rect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5639400" cy="720"/>
                      </a:xfrm>
                      <a:prstGeom prst="line">
                        <a:avLst/>
                      </a:prstGeom>
                      <a:ln w="381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5" o:spid="_x0000_s5" style="position:absolute;left:0;text-align:left;z-index:-9;mso-wrap-distance-left:1.55pt;mso-wrap-distance-top:1.50pt;mso-wrap-distance-right:1.50pt;mso-wrap-distance-bottom:1.50pt;flip:y;visibility:visible;" from="0.0pt,-0.9pt" to="444.0pt,-0.9pt" filled="f" strokecolor="#000000" strokeweight="3.00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16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Square wrapText="bothSides"/>
              <wp:docPr id="7" name="Forma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892"/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rStyle w:val="871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871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871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871"/>
                              <w:color w:val="000000"/>
                            </w:rPr>
                            <w:t xml:space="preserve">4</w:t>
                          </w:r>
                          <w:r>
                            <w:rPr>
                              <w:rStyle w:val="871"/>
                              <w:color w:val="000000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" o:spid="_x0000_s6" o:spt="1" type="#_x0000_t1" style="position:absolute;z-index:-16;o:allowoverlap:true;o:allowincell:false;mso-position-horizontal-relative:margin;mso-position-horizontal:right;mso-position-vertical-relative:text;margin-top:0.05pt;mso-position-vertical:absolute;width:6.05pt;height:13.70pt;mso-wrap-distance-left:0.00pt;mso-wrap-distance-top:0.00pt;mso-wrap-distance-right:0.00pt;mso-wrap-distance-bottom:0.00pt;v-text-anchor:top;visibility:visible;" filled="f" stroked="f" strokeweight="0.00pt">
              <w10:wrap type="square"/>
              <v:textbox inset="0,0,0,0">
                <w:txbxContent>
                  <w:p>
                    <w:pPr>
                      <w:pStyle w:val="892"/>
                      <w:pBdr/>
                      <w:spacing/>
                      <w:ind/>
                      <w:rPr/>
                    </w:pPr>
                    <w:r>
                      <w:rPr>
                        <w:rStyle w:val="871"/>
                        <w:color w:val="000000"/>
                      </w:rPr>
                      <w:fldChar w:fldCharType="begin"/>
                    </w:r>
                    <w:r>
                      <w:rPr>
                        <w:rStyle w:val="871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871"/>
                        <w:color w:val="000000"/>
                      </w:rPr>
                      <w:fldChar w:fldCharType="separate"/>
                    </w:r>
                    <w:r>
                      <w:rPr>
                        <w:rStyle w:val="871"/>
                        <w:color w:val="000000"/>
                      </w:rPr>
                      <w:t xml:space="preserve">4</w:t>
                    </w:r>
                    <w:r>
                      <w:rPr>
                        <w:rStyle w:val="871"/>
                        <w:color w:val="000000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lang w:eastAsia="es-ES"/>
      </w:rPr>
    </w:r>
  </w:p>
  <w:p>
    <w:pPr>
      <w:pStyle w:val="89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1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4904740" cy="896620"/>
              <wp:effectExtent l="0" t="0" r="0" b="0"/>
              <wp:docPr id="1" name="Imagen 34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34" descr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4904740" cy="8966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386.20pt;height:70.6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>
    <w:pPr>
      <w:pStyle w:val="861"/>
      <w:pBdr/>
      <w:spacing/>
      <w:ind/>
      <w:rPr/>
    </w:pPr>
    <w:r/>
    <w:r/>
  </w:p>
  <w:p>
    <w:pPr>
      <w:pStyle w:val="861"/>
      <w:pBdr/>
      <w:spacing/>
      <w:ind/>
      <w:rPr/>
    </w:pPr>
    <w:r>
      <w:t xml:space="preserve">Nom:</w:t>
      <w:tab/>
      <w:tab/>
      <w:tab/>
      <w:tab/>
      <w:tab/>
      <w:tab/>
      <w:tab/>
      <w:tab/>
      <w:tab/>
      <w:tab/>
      <w:tab/>
      <w:t xml:space="preserve"> Grup:</w:t>
    </w:r>
    <w:r/>
  </w:p>
  <w:p>
    <w:pPr>
      <w:pStyle w:val="891"/>
      <w:pBdr/>
      <w:spacing/>
      <w:ind/>
      <w:rPr/>
    </w:pPr>
    <w:r>
      <w:t xml:space="preserve">Cognoms:</w:t>
      <w:tab/>
      <w:tab/>
      <w:t xml:space="preserve">Data:</w:t>
    </w:r>
    <w:r/>
  </w:p>
  <w:p>
    <w:pPr>
      <w:pStyle w:val="861"/>
      <w:pBdr/>
      <w:spacing/>
      <w:ind/>
      <w:rPr/>
    </w:pPr>
    <w:r/>
    <w:r/>
  </w:p>
  <w:p>
    <w:pPr>
      <w:pStyle w:val="89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9050" distB="19050" distL="19050" distR="19050" simplePos="0" relativeHeight="2" behindDoc="1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79375</wp:posOffset>
              </wp:positionV>
              <wp:extent cx="5639435" cy="635"/>
              <wp:effectExtent l="19050" t="19050" r="19050" b="19050"/>
              <wp:wrapNone/>
              <wp:docPr id="2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5639400" cy="720"/>
                      </a:xfrm>
                      <a:prstGeom prst="line">
                        <a:avLst/>
                      </a:prstGeom>
                      <a:ln w="381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1" o:spid="_x0000_s1" style="position:absolute;left:0;text-align:left;z-index:-2;mso-wrap-distance-left:1.50pt;mso-wrap-distance-top:1.50pt;mso-wrap-distance-right:1.50pt;mso-wrap-distance-bottom:1.50pt;flip:y;visibility:visible;" from="0.0pt,6.2pt" to="444.0pt,6.3pt" filled="f" strokecolor="#000000" strokeweight="3.00pt"/>
          </w:pict>
        </mc:Fallback>
      </mc:AlternateContent>
    </w:r>
    <w:r/>
  </w:p>
  <w:p>
    <w:pPr>
      <w:pStyle w:val="891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1"/>
      <w:pBdr/>
      <w:spacing/>
      <w:ind/>
      <w:rPr/>
    </w:pPr>
    <w:r/>
    <w:r/>
  </w:p>
  <w:p>
    <w:pPr>
      <w:pStyle w:val="89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9050" distB="19050" distL="19050" distR="19050" simplePos="0" relativeHeight="5" behindDoc="1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79375</wp:posOffset>
              </wp:positionV>
              <wp:extent cx="5639435" cy="635"/>
              <wp:effectExtent l="19050" t="19050" r="19050" b="19050"/>
              <wp:wrapNone/>
              <wp:docPr id="3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5639400" cy="720"/>
                      </a:xfrm>
                      <a:prstGeom prst="line">
                        <a:avLst/>
                      </a:prstGeom>
                      <a:ln w="381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2" o:spid="_x0000_s2" style="position:absolute;left:0;text-align:left;z-index:-5;mso-wrap-distance-left:1.50pt;mso-wrap-distance-top:1.50pt;mso-wrap-distance-right:1.50pt;mso-wrap-distance-bottom:1.50pt;flip:y;visibility:visible;" from="0.0pt,6.2pt" to="444.0pt,6.3pt" filled="f" strokecolor="#000000" strokeweight="3.00pt"/>
          </w:pict>
        </mc:Fallback>
      </mc:AlternateContent>
    </w:r>
    <w:r/>
  </w:p>
  <w:p>
    <w:pPr>
      <w:pStyle w:val="89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4">
    <w:nsid w:val="24BCB11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0B258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64456E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12FD14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DE35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40B4C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Mangal"/>
        <w:lang w:val="es-ES" w:eastAsia="es-E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861"/>
    <w:next w:val="86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61"/>
    <w:next w:val="86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61"/>
    <w:next w:val="86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61"/>
    <w:next w:val="86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61"/>
    <w:next w:val="86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61"/>
    <w:next w:val="86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61"/>
    <w:next w:val="86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61"/>
    <w:next w:val="86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63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6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6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6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6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6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6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6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6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61"/>
    <w:next w:val="86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6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61"/>
    <w:next w:val="86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6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61"/>
    <w:next w:val="86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6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6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61"/>
    <w:next w:val="86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6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6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6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6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6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63"/>
    <w:link w:val="891"/>
    <w:uiPriority w:val="99"/>
    <w:pPr>
      <w:pBdr/>
      <w:spacing/>
      <w:ind/>
    </w:pPr>
  </w:style>
  <w:style w:type="character" w:styleId="179">
    <w:name w:val="Footer Char"/>
    <w:basedOn w:val="863"/>
    <w:link w:val="892"/>
    <w:uiPriority w:val="99"/>
    <w:pPr>
      <w:pBdr/>
      <w:spacing/>
      <w:ind/>
    </w:pPr>
  </w:style>
  <w:style w:type="paragraph" w:styleId="181">
    <w:name w:val="footnote text"/>
    <w:basedOn w:val="8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6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6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861"/>
    <w:next w:val="861"/>
    <w:uiPriority w:val="39"/>
    <w:unhideWhenUsed/>
    <w:pPr>
      <w:pBdr/>
      <w:spacing w:after="100"/>
      <w:ind w:left="220"/>
    </w:pPr>
  </w:style>
  <w:style w:type="paragraph" w:styleId="191">
    <w:name w:val="toc 3"/>
    <w:basedOn w:val="861"/>
    <w:next w:val="861"/>
    <w:uiPriority w:val="39"/>
    <w:unhideWhenUsed/>
    <w:pPr>
      <w:pBdr/>
      <w:spacing w:after="100"/>
      <w:ind w:left="440"/>
    </w:pPr>
  </w:style>
  <w:style w:type="paragraph" w:styleId="192">
    <w:name w:val="toc 4"/>
    <w:basedOn w:val="861"/>
    <w:next w:val="861"/>
    <w:uiPriority w:val="39"/>
    <w:unhideWhenUsed/>
    <w:pPr>
      <w:pBdr/>
      <w:spacing w:after="100"/>
      <w:ind w:left="660"/>
    </w:pPr>
  </w:style>
  <w:style w:type="paragraph" w:styleId="193">
    <w:name w:val="toc 5"/>
    <w:basedOn w:val="861"/>
    <w:next w:val="861"/>
    <w:uiPriority w:val="39"/>
    <w:unhideWhenUsed/>
    <w:pPr>
      <w:pBdr/>
      <w:spacing w:after="100"/>
      <w:ind w:left="880"/>
    </w:pPr>
  </w:style>
  <w:style w:type="paragraph" w:styleId="194">
    <w:name w:val="toc 6"/>
    <w:basedOn w:val="861"/>
    <w:next w:val="861"/>
    <w:uiPriority w:val="39"/>
    <w:unhideWhenUsed/>
    <w:pPr>
      <w:pBdr/>
      <w:spacing w:after="100"/>
      <w:ind w:left="1100"/>
    </w:pPr>
  </w:style>
  <w:style w:type="paragraph" w:styleId="195">
    <w:name w:val="toc 7"/>
    <w:basedOn w:val="861"/>
    <w:next w:val="861"/>
    <w:uiPriority w:val="39"/>
    <w:unhideWhenUsed/>
    <w:pPr>
      <w:pBdr/>
      <w:spacing w:after="100"/>
      <w:ind w:left="1320"/>
    </w:pPr>
  </w:style>
  <w:style w:type="paragraph" w:styleId="196">
    <w:name w:val="toc 8"/>
    <w:basedOn w:val="861"/>
    <w:next w:val="861"/>
    <w:uiPriority w:val="39"/>
    <w:unhideWhenUsed/>
    <w:pPr>
      <w:pBdr/>
      <w:spacing w:after="100"/>
      <w:ind w:left="1540"/>
    </w:pPr>
  </w:style>
  <w:style w:type="paragraph" w:styleId="197">
    <w:name w:val="toc 9"/>
    <w:basedOn w:val="861"/>
    <w:next w:val="8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61"/>
    <w:next w:val="861"/>
    <w:uiPriority w:val="99"/>
    <w:unhideWhenUsed/>
    <w:pPr>
      <w:pBdr/>
      <w:spacing w:after="0" w:afterAutospacing="0"/>
      <w:ind/>
    </w:pPr>
  </w:style>
  <w:style w:type="paragraph" w:styleId="861" w:default="1">
    <w:name w:val="Normal"/>
    <w:qFormat/>
    <w:pPr>
      <w:widowControl w:val="false"/>
      <w:pBdr/>
      <w:bidi w:val="false"/>
      <w:spacing w:after="0" w:before="0"/>
      <w:ind/>
      <w:jc w:val="left"/>
    </w:pPr>
    <w:rPr>
      <w:rFonts w:ascii="Times New Roman" w:hAnsi="Times New Roman" w:eastAsia="SimSun" w:cs="Mangal"/>
      <w:color w:val="auto"/>
      <w:sz w:val="24"/>
      <w:szCs w:val="24"/>
      <w:lang w:val="ca-ES" w:eastAsia="zh-CN" w:bidi="hi-IN"/>
    </w:rPr>
  </w:style>
  <w:style w:type="paragraph" w:styleId="862">
    <w:name w:val="Heading 1"/>
    <w:basedOn w:val="861"/>
    <w:next w:val="861"/>
    <w:link w:val="87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mbria" w:hAnsi="Cambria" w:asciiTheme="majorHAnsi" w:hAnsiTheme="majorHAnsi" w:eastAsiaTheme="majorEastAsia"/>
      <w:b/>
      <w:bCs/>
      <w:color w:val="365f91" w:themeColor="accent1" w:themeShade="BF"/>
      <w:sz w:val="28"/>
      <w:szCs w:val="25"/>
    </w:rPr>
  </w:style>
  <w:style w:type="character" w:styleId="863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864" w:customStyle="1">
    <w:name w:val="Símbolos de numeración"/>
    <w:qFormat/>
    <w:pPr>
      <w:pBdr/>
      <w:spacing/>
      <w:ind/>
    </w:pPr>
  </w:style>
  <w:style w:type="character" w:styleId="865">
    <w:name w:val="Enlace de Internet"/>
    <w:uiPriority w:val="99"/>
    <w:unhideWhenUsed/>
    <w:qFormat/>
    <w:pPr>
      <w:pBdr/>
      <w:spacing/>
      <w:ind/>
    </w:pPr>
    <w:rPr>
      <w:color w:val="0000ff"/>
      <w:u w:val="single"/>
    </w:rPr>
  </w:style>
  <w:style w:type="character" w:styleId="866" w:customStyle="1">
    <w:name w:val="Texto de globo Car"/>
    <w:uiPriority w:val="99"/>
    <w:semiHidden/>
    <w:qFormat/>
    <w:pPr>
      <w:pBdr/>
      <w:spacing/>
      <w:ind/>
    </w:pPr>
    <w:rPr>
      <w:rFonts w:ascii="Tahoma" w:hAnsi="Tahoma"/>
      <w:sz w:val="16"/>
      <w:szCs w:val="14"/>
    </w:rPr>
  </w:style>
  <w:style w:type="character" w:styleId="867">
    <w:name w:val="Enllaç d'Internet visitat"/>
    <w:basedOn w:val="863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</w:rPr>
  </w:style>
  <w:style w:type="character" w:styleId="868" w:customStyle="1">
    <w:name w:val="Encabezado Car"/>
    <w:basedOn w:val="863"/>
    <w:qFormat/>
    <w:pPr>
      <w:pBdr/>
      <w:spacing/>
      <w:ind/>
    </w:pPr>
    <w:rPr>
      <w:sz w:val="24"/>
      <w:szCs w:val="21"/>
      <w:lang w:val="ca-ES" w:eastAsia="zh-CN" w:bidi="hi-IN"/>
    </w:rPr>
  </w:style>
  <w:style w:type="character" w:styleId="869" w:customStyle="1">
    <w:name w:val="Pie de página Car"/>
    <w:basedOn w:val="863"/>
    <w:qFormat/>
    <w:pPr>
      <w:pBdr/>
      <w:spacing/>
      <w:ind/>
    </w:pPr>
    <w:rPr>
      <w:sz w:val="24"/>
      <w:szCs w:val="21"/>
      <w:lang w:val="ca-ES" w:eastAsia="zh-CN" w:bidi="hi-IN"/>
    </w:rPr>
  </w:style>
  <w:style w:type="character" w:styleId="870" w:customStyle="1">
    <w:name w:val="Texto independiente Car"/>
    <w:basedOn w:val="863"/>
    <w:uiPriority w:val="99"/>
    <w:semiHidden/>
    <w:qFormat/>
    <w:pPr>
      <w:pBdr/>
      <w:spacing/>
      <w:ind/>
    </w:pPr>
    <w:rPr>
      <w:rFonts w:eastAsia="Times New Roman" w:cs="Times New Roman"/>
      <w:sz w:val="24"/>
      <w:szCs w:val="24"/>
      <w:lang w:val="ca-ES"/>
    </w:rPr>
  </w:style>
  <w:style w:type="character" w:styleId="871">
    <w:name w:val="page number"/>
    <w:semiHidden/>
    <w:unhideWhenUsed/>
    <w:qFormat/>
    <w:pPr>
      <w:pBdr/>
      <w:spacing/>
      <w:ind/>
    </w:pPr>
    <w:rPr>
      <w:rFonts w:ascii="Times New Roman" w:hAnsi="Times New Roman" w:cs="Times New Roman"/>
      <w:lang w:val="ca-ES"/>
    </w:rPr>
  </w:style>
  <w:style w:type="character" w:styleId="872" w:customStyle="1">
    <w:name w:val="Título 1 Car"/>
    <w:basedOn w:val="863"/>
    <w:uiPriority w:val="9"/>
    <w:qFormat/>
    <w:pPr>
      <w:pBdr/>
      <w:spacing/>
      <w:ind/>
    </w:pPr>
    <w:rPr>
      <w:rFonts w:ascii="Cambria" w:hAnsi="Cambria" w:asciiTheme="majorHAnsi" w:hAnsiTheme="majorHAnsi" w:eastAsiaTheme="majorEastAsia"/>
      <w:b/>
      <w:bCs/>
      <w:color w:val="365f91" w:themeColor="accent1" w:themeShade="BF"/>
      <w:sz w:val="28"/>
      <w:szCs w:val="25"/>
      <w:lang w:val="ca-ES" w:eastAsia="zh-CN" w:bidi="hi-IN"/>
    </w:rPr>
  </w:style>
  <w:style w:type="character" w:styleId="873">
    <w:name w:val="Enlace del índice"/>
    <w:qFormat/>
    <w:pPr>
      <w:pBdr/>
      <w:spacing/>
      <w:ind/>
    </w:pPr>
  </w:style>
  <w:style w:type="character" w:styleId="874">
    <w:name w:val="Enllaç d'Internet"/>
    <w:pPr>
      <w:pBdr/>
      <w:spacing/>
      <w:ind/>
    </w:pPr>
    <w:rPr>
      <w:color w:val="000080"/>
      <w:u w:val="single"/>
    </w:rPr>
  </w:style>
  <w:style w:type="character" w:styleId="875">
    <w:name w:val="Enllaç de l'índex"/>
    <w:qFormat/>
    <w:pPr>
      <w:pBdr/>
      <w:spacing/>
      <w:ind/>
    </w:pPr>
  </w:style>
  <w:style w:type="character" w:styleId="876">
    <w:name w:val="Pics"/>
    <w:qFormat/>
    <w:pPr>
      <w:pBdr/>
      <w:spacing/>
      <w:ind/>
    </w:pPr>
    <w:rPr>
      <w:rFonts w:ascii="OpenSymbol" w:hAnsi="OpenSymbol" w:eastAsia="OpenSymbol" w:cs="OpenSymbol"/>
    </w:rPr>
  </w:style>
  <w:style w:type="paragraph" w:styleId="877">
    <w:name w:val="Encapçalament"/>
    <w:basedOn w:val="861"/>
    <w:next w:val="878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878">
    <w:name w:val="Body Text"/>
    <w:basedOn w:val="861"/>
    <w:link w:val="870"/>
    <w:uiPriority w:val="99"/>
    <w:semiHidden/>
    <w:unhideWhenUsed/>
    <w:pPr>
      <w:pBdr/>
      <w:spacing w:after="120" w:before="0"/>
      <w:ind/>
    </w:pPr>
    <w:rPr>
      <w:rFonts w:eastAsia="Times New Roman" w:cs="Times New Roman"/>
      <w:lang w:eastAsia="es-ES" w:bidi="ar-SA"/>
    </w:rPr>
  </w:style>
  <w:style w:type="paragraph" w:styleId="879">
    <w:name w:val="List"/>
    <w:basedOn w:val="885"/>
    <w:pPr>
      <w:pBdr/>
      <w:spacing/>
      <w:ind/>
    </w:pPr>
  </w:style>
  <w:style w:type="paragraph" w:styleId="880">
    <w:name w:val="Caption"/>
    <w:basedOn w:val="86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881">
    <w:name w:val="Índex"/>
    <w:basedOn w:val="861"/>
    <w:qFormat/>
    <w:pPr>
      <w:suppressLineNumbers w:val="true"/>
      <w:pBdr/>
      <w:spacing/>
      <w:ind/>
    </w:pPr>
    <w:rPr>
      <w:rFonts w:cs="Lohit Devanagari"/>
    </w:rPr>
  </w:style>
  <w:style w:type="paragraph" w:styleId="882" w:customStyle="1">
    <w:name w:val="Título"/>
    <w:basedOn w:val="884"/>
    <w:next w:val="878"/>
    <w:qFormat/>
    <w:pPr>
      <w:keepNext w:val="true"/>
      <w:pBdr/>
      <w:spacing w:after="120" w:before="240"/>
      <w:ind/>
    </w:pPr>
    <w:rPr>
      <w:rFonts w:ascii="Arial" w:hAnsi="Arial" w:eastAsia="Microsoft YaHei"/>
      <w:sz w:val="28"/>
      <w:szCs w:val="28"/>
    </w:rPr>
  </w:style>
  <w:style w:type="paragraph" w:styleId="883" w:customStyle="1">
    <w:name w:val="Índice"/>
    <w:basedOn w:val="884"/>
    <w:qFormat/>
    <w:pPr>
      <w:suppressLineNumbers w:val="true"/>
      <w:pBdr/>
      <w:spacing/>
      <w:ind/>
    </w:pPr>
  </w:style>
  <w:style w:type="paragraph" w:styleId="884" w:customStyle="1">
    <w:name w:val="Standard"/>
    <w:qFormat/>
    <w:pPr>
      <w:widowControl w:val="false"/>
      <w:pBdr/>
      <w:bidi w:val="false"/>
      <w:spacing w:after="0" w:before="0"/>
      <w:ind/>
      <w:jc w:val="left"/>
    </w:pPr>
    <w:rPr>
      <w:rFonts w:ascii="Times New Roman" w:hAnsi="Times New Roman" w:eastAsia="SimSun" w:cs="Mangal"/>
      <w:color w:val="auto"/>
      <w:sz w:val="24"/>
      <w:szCs w:val="24"/>
      <w:lang w:val="ca-ES" w:eastAsia="zh-CN" w:bidi="hi-IN"/>
    </w:rPr>
  </w:style>
  <w:style w:type="paragraph" w:styleId="885" w:customStyle="1">
    <w:name w:val="Text body"/>
    <w:basedOn w:val="884"/>
    <w:qFormat/>
    <w:pPr>
      <w:pBdr/>
      <w:spacing w:after="120" w:before="0"/>
      <w:ind/>
    </w:pPr>
  </w:style>
  <w:style w:type="paragraph" w:styleId="886">
    <w:name w:val="Caption"/>
    <w:basedOn w:val="884"/>
    <w:qFormat/>
    <w:pPr>
      <w:suppressLineNumbers w:val="true"/>
      <w:pBdr/>
      <w:spacing w:after="120" w:before="120"/>
      <w:ind/>
    </w:pPr>
    <w:rPr>
      <w:i/>
      <w:iCs/>
    </w:rPr>
  </w:style>
  <w:style w:type="paragraph" w:styleId="887" w:customStyle="1">
    <w:name w:val="Contenido de la tabla"/>
    <w:basedOn w:val="884"/>
    <w:qFormat/>
    <w:pPr>
      <w:suppressLineNumbers w:val="true"/>
      <w:pBdr/>
      <w:spacing/>
      <w:ind/>
    </w:pPr>
  </w:style>
  <w:style w:type="paragraph" w:styleId="888" w:customStyle="1">
    <w:name w:val="Título de la tabla"/>
    <w:basedOn w:val="887"/>
    <w:qFormat/>
    <w:pPr>
      <w:pBdr/>
      <w:spacing/>
      <w:ind/>
      <w:jc w:val="center"/>
    </w:pPr>
    <w:rPr>
      <w:b/>
      <w:bCs/>
    </w:rPr>
  </w:style>
  <w:style w:type="paragraph" w:styleId="889">
    <w:name w:val="Balloon Text"/>
    <w:basedOn w:val="861"/>
    <w:link w:val="866"/>
    <w:uiPriority w:val="99"/>
    <w:semiHidden/>
    <w:unhideWhenUsed/>
    <w:qFormat/>
    <w:pPr>
      <w:pBdr/>
      <w:spacing/>
      <w:ind/>
    </w:pPr>
    <w:rPr>
      <w:rFonts w:ascii="Tahoma" w:hAnsi="Tahoma"/>
      <w:sz w:val="16"/>
      <w:szCs w:val="14"/>
    </w:rPr>
  </w:style>
  <w:style w:type="paragraph" w:styleId="890">
    <w:name w:val="Capçalera i peu"/>
    <w:basedOn w:val="861"/>
    <w:qFormat/>
    <w:pPr>
      <w:pBdr/>
      <w:spacing/>
      <w:ind/>
    </w:pPr>
  </w:style>
  <w:style w:type="paragraph" w:styleId="891">
    <w:name w:val="Header"/>
    <w:basedOn w:val="861"/>
    <w:link w:val="868"/>
    <w:unhideWhenUsed/>
    <w:pPr>
      <w:pBdr/>
      <w:tabs>
        <w:tab w:val="clear" w:leader="none" w:pos="709"/>
        <w:tab w:val="center" w:leader="none" w:pos="4252"/>
        <w:tab w:val="right" w:leader="none" w:pos="8504"/>
      </w:tabs>
      <w:spacing/>
      <w:ind/>
    </w:pPr>
    <w:rPr>
      <w:szCs w:val="21"/>
    </w:rPr>
  </w:style>
  <w:style w:type="paragraph" w:styleId="892">
    <w:name w:val="Footer"/>
    <w:basedOn w:val="861"/>
    <w:link w:val="869"/>
    <w:unhideWhenUsed/>
    <w:pPr>
      <w:pBdr/>
      <w:tabs>
        <w:tab w:val="clear" w:leader="none" w:pos="709"/>
        <w:tab w:val="center" w:leader="none" w:pos="4252"/>
        <w:tab w:val="right" w:leader="none" w:pos="8504"/>
      </w:tabs>
      <w:spacing/>
      <w:ind/>
    </w:pPr>
    <w:rPr>
      <w:szCs w:val="21"/>
    </w:rPr>
  </w:style>
  <w:style w:type="paragraph" w:styleId="893">
    <w:name w:val="Normal (Web)"/>
    <w:basedOn w:val="861"/>
    <w:uiPriority w:val="99"/>
    <w:semiHidden/>
    <w:unhideWhenUsed/>
    <w:qFormat/>
    <w:pPr>
      <w:widowControl w:val="true"/>
      <w:pBdr/>
      <w:spacing w:afterAutospacing="1" w:beforeAutospacing="1"/>
      <w:ind/>
    </w:pPr>
    <w:rPr>
      <w:rFonts w:eastAsia="Times New Roman" w:cs="Times New Roman"/>
      <w:lang w:val="es-ES" w:eastAsia="es-ES" w:bidi="ar-SA"/>
    </w:rPr>
  </w:style>
  <w:style w:type="paragraph" w:styleId="894">
    <w:name w:val="Index Heading"/>
    <w:basedOn w:val="877"/>
    <w:pPr>
      <w:pBdr/>
      <w:spacing/>
      <w:ind/>
    </w:pPr>
  </w:style>
  <w:style w:type="paragraph" w:styleId="895">
    <w:name w:val="TOC Heading"/>
    <w:basedOn w:val="862"/>
    <w:next w:val="861"/>
    <w:uiPriority w:val="39"/>
    <w:semiHidden/>
    <w:unhideWhenUsed/>
    <w:qFormat/>
    <w:pPr>
      <w:widowControl w:val="true"/>
      <w:pBdr/>
      <w:spacing w:line="276" w:lineRule="auto"/>
      <w:ind/>
    </w:pPr>
    <w:rPr>
      <w:rFonts w:cstheme="majorBidi"/>
      <w:szCs w:val="28"/>
      <w:lang w:val="es-ES" w:eastAsia="es-ES" w:bidi="ar-SA"/>
    </w:rPr>
  </w:style>
  <w:style w:type="paragraph" w:styleId="896">
    <w:name w:val="toc 1"/>
    <w:basedOn w:val="861"/>
    <w:next w:val="861"/>
    <w:uiPriority w:val="39"/>
    <w:unhideWhenUsed/>
    <w:pPr>
      <w:pBdr/>
      <w:spacing w:after="100" w:before="0"/>
      <w:ind/>
    </w:pPr>
    <w:rPr>
      <w:szCs w:val="21"/>
    </w:rPr>
  </w:style>
  <w:style w:type="paragraph" w:styleId="897">
    <w:name w:val="Contenido del marco"/>
    <w:basedOn w:val="861"/>
    <w:qFormat/>
    <w:pPr>
      <w:pBdr/>
      <w:spacing/>
      <w:ind/>
    </w:pPr>
  </w:style>
  <w:style w:type="paragraph" w:styleId="898">
    <w:name w:val="Contingut del marc"/>
    <w:basedOn w:val="861"/>
    <w:qFormat/>
    <w:pPr>
      <w:pBdr/>
      <w:spacing/>
      <w:ind/>
    </w:pPr>
  </w:style>
  <w:style w:type="numbering" w:styleId="899" w:default="1">
    <w:name w:val="No List"/>
    <w:uiPriority w:val="99"/>
    <w:semiHidden/>
    <w:unhideWhenUsed/>
    <w:qFormat/>
    <w:pPr>
      <w:pBdr/>
      <w:spacing/>
      <w:ind/>
    </w:pPr>
  </w:style>
  <w:style w:type="table" w:styleId="900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2.png"/><Relationship Id="rId15" Type="http://schemas.openxmlformats.org/officeDocument/2006/relationships/hyperlink" Target="https://www.microsoft.com/es-es/dynamics/erp-nav-vision-general.aspx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hyperlink" Target="http://www.sage.es/" TargetMode="External"/><Relationship Id="rId19" Type="http://schemas.openxmlformats.org/officeDocument/2006/relationships/image" Target="media/image5.png"/><Relationship Id="rId20" Type="http://schemas.openxmlformats.org/officeDocument/2006/relationships/hyperlink" Target="https://www.odoo.com/documentation/19.0/administration/on_premise/source.html?utm_source=chatgpt.com" TargetMode="External"/><Relationship Id="rId21" Type="http://schemas.openxmlformats.org/officeDocument/2006/relationships/hyperlink" Target="https://www.odoo.com/pricing?utm_source=chatgpt.com" TargetMode="External"/><Relationship Id="rId22" Type="http://schemas.openxmlformats.org/officeDocument/2006/relationships/hyperlink" Target="https://www.odoo.com/documentation/19.0/administration/on_premise/source.html?utm_source=chatgpt.com" TargetMode="External"/><Relationship Id="rId23" Type="http://schemas.openxmlformats.org/officeDocument/2006/relationships/hyperlink" Target="https://www.odoo.com/documentation/19.0/legal/terms/enterprise.html?utm_source=chatgpt.com" TargetMode="External"/><Relationship Id="rId24" Type="http://schemas.openxmlformats.org/officeDocument/2006/relationships/hyperlink" Target="https://www.odoo.com/documentation/19.0/administration/on_premise/source.html?utm_source=chatgpt.com" TargetMode="External"/><Relationship Id="rId25" Type="http://schemas.openxmlformats.org/officeDocument/2006/relationships/hyperlink" Target="https://www.odoo.com/documentation/19.0/administration/on_premise/source.html?utm_source=chatgpt.com" TargetMode="External"/><Relationship Id="rId26" Type="http://schemas.openxmlformats.org/officeDocument/2006/relationships/hyperlink" Target="https://www.odoo.com/documentation/19.0/administration/on_premise/source.html?utm_source=chatgpt.com" TargetMode="External"/><Relationship Id="rId27" Type="http://schemas.openxmlformats.org/officeDocument/2006/relationships/hyperlink" Target="https://www.odoo.com/pricing?utm_source=chatgpt.com" TargetMode="External"/><Relationship Id="rId28" Type="http://schemas.openxmlformats.org/officeDocument/2006/relationships/hyperlink" Target="https://learn.microsoft.com/en-us/dynamics365/release-plan/2025wave2/smb/dynamics365-business-central/?utm_source=chatgpt.com" TargetMode="External"/><Relationship Id="rId29" Type="http://schemas.openxmlformats.org/officeDocument/2006/relationships/hyperlink" Target="https://learn.microsoft.com/en-us/dynamics365/business-central/dev-itpro/deployment/licensing?utm_source=chatgpt.com" TargetMode="External"/><Relationship Id="rId30" Type="http://schemas.openxmlformats.org/officeDocument/2006/relationships/hyperlink" Target="https://learn.microsoft.com/en-us/dynamics365/business-central/dev-itpro/deployment/system-requirements-business-central-v26?utm_source=chatgpt.com" TargetMode="External"/><Relationship Id="rId31" Type="http://schemas.openxmlformats.org/officeDocument/2006/relationships/hyperlink" Target="https://learn.microsoft.com/en-us/dynamics365/release-plan/2025wave2/smb/dynamics365-business-central/?utm_source=chatgpt.com" TargetMode="External"/><Relationship Id="rId32" Type="http://schemas.openxmlformats.org/officeDocument/2006/relationships/hyperlink" Target="https://learn.microsoft.com/en-us/dynamics365/business-central/dev-itpro/deployment/system-requirements-business-central-v26?utm_source=chatgpt.com" TargetMode="External"/><Relationship Id="rId33" Type="http://schemas.openxmlformats.org/officeDocument/2006/relationships/hyperlink" Target="https://learn.microsoft.com/en-us/dynamics365/business-central/dev-itpro/deployment/licensing?utm_source=chatgpt.com" TargetMode="External"/><Relationship Id="rId34" Type="http://schemas.openxmlformats.org/officeDocument/2006/relationships/hyperlink" Target="https://learn.microsoft.com/en-us/dynamics365/release-plan/2025wave2/smb/dynamics365-business-central/?utm_source=chatgpt.com" TargetMode="External"/><Relationship Id="rId35" Type="http://schemas.openxmlformats.org/officeDocument/2006/relationships/hyperlink" Target="https://learn.microsoft.com/en-us/dynamics365/release-plan/2025wave2/smb/dynamics365-business-central/?utm_source=chatgp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88BA08-0937-4202-BAB3-F6D7E4D9D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dc:description/>
  <dc:language>es-ES</dc:language>
  <cp:revision>19</cp:revision>
  <dcterms:created xsi:type="dcterms:W3CDTF">2015-09-20T21:04:00Z</dcterms:created>
  <dcterms:modified xsi:type="dcterms:W3CDTF">2025-12-02T15:58:20Z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