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CEF" w:rsidRPr="00F34847" w:rsidRDefault="00E96839">
      <w:pPr>
        <w:rPr>
          <w:sz w:val="36"/>
          <w:szCs w:val="36"/>
        </w:rPr>
      </w:pPr>
      <w:r>
        <w:rPr>
          <w:sz w:val="36"/>
          <w:szCs w:val="36"/>
        </w:rPr>
        <w:t>Ground Track P</w:t>
      </w:r>
      <w:r w:rsidR="00FE0CD8" w:rsidRPr="00F34847">
        <w:rPr>
          <w:sz w:val="36"/>
          <w:szCs w:val="36"/>
        </w:rPr>
        <w:t xml:space="preserve">lot </w:t>
      </w:r>
      <w:r>
        <w:rPr>
          <w:sz w:val="36"/>
          <w:szCs w:val="36"/>
        </w:rPr>
        <w:t>Design</w:t>
      </w:r>
    </w:p>
    <w:p w:rsidR="00FE0CD8" w:rsidRDefault="00FE0CD8"/>
    <w:p w:rsidR="00FE0CD8" w:rsidRDefault="00723514" w:rsidP="00FE0CD8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  <w:sz w:val="24"/>
          <w:szCs w:val="24"/>
        </w:rPr>
      </w:pPr>
      <w:r>
        <w:rPr>
          <w:rFonts w:ascii="SFBX1200" w:hAnsi="SFBX1200" w:cs="SFBX1200"/>
          <w:sz w:val="24"/>
          <w:szCs w:val="24"/>
        </w:rPr>
        <w:t>1.</w:t>
      </w:r>
      <w:r w:rsidR="00FE0CD8">
        <w:rPr>
          <w:rFonts w:ascii="SFBX1200" w:hAnsi="SFBX1200" w:cs="SFBX1200"/>
          <w:sz w:val="24"/>
          <w:szCs w:val="24"/>
        </w:rPr>
        <w:t xml:space="preserve"> Purpose</w:t>
      </w:r>
    </w:p>
    <w:p w:rsidR="00723514" w:rsidRDefault="00723514" w:rsidP="00FE0CD8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  <w:sz w:val="24"/>
          <w:szCs w:val="24"/>
        </w:rPr>
      </w:pPr>
    </w:p>
    <w:p w:rsidR="00FE0CD8" w:rsidRPr="00F34847" w:rsidRDefault="00FE0CD8" w:rsidP="00FE0CD8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</w:rPr>
      </w:pPr>
      <w:r w:rsidRPr="00F34847">
        <w:rPr>
          <w:rFonts w:ascii="SFRM1000" w:hAnsi="SFRM1000" w:cs="SFRM1000"/>
        </w:rPr>
        <w:t xml:space="preserve">The purpose of this document is to describe the </w:t>
      </w:r>
      <w:r w:rsidR="0096053F" w:rsidRPr="00F34847">
        <w:rPr>
          <w:rFonts w:ascii="SFRM1000" w:hAnsi="SFRM1000" w:cs="SFRM1000"/>
        </w:rPr>
        <w:t>design</w:t>
      </w:r>
      <w:r w:rsidRPr="00F34847">
        <w:rPr>
          <w:rFonts w:ascii="SFRM1000" w:hAnsi="SFRM1000" w:cs="SFRM1000"/>
        </w:rPr>
        <w:t xml:space="preserve"> of the ground track plot described in the</w:t>
      </w:r>
    </w:p>
    <w:p w:rsidR="00FE0CD8" w:rsidRPr="00F34847" w:rsidRDefault="00723514" w:rsidP="00FE0CD8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</w:rPr>
      </w:pPr>
      <w:proofErr w:type="gramStart"/>
      <w:r w:rsidRPr="00F34847">
        <w:rPr>
          <w:rFonts w:ascii="SFRM1000" w:hAnsi="SFRM1000" w:cs="SFRM1000"/>
        </w:rPr>
        <w:t>GMAT Requirement</w:t>
      </w:r>
      <w:r w:rsidR="00135170">
        <w:rPr>
          <w:rFonts w:ascii="SFRM1000" w:hAnsi="SFRM1000" w:cs="SFRM1000"/>
        </w:rPr>
        <w:t>s</w:t>
      </w:r>
      <w:r w:rsidRPr="00F34847">
        <w:rPr>
          <w:rFonts w:ascii="SFRM1000" w:hAnsi="SFRM1000" w:cs="SFRM1000"/>
        </w:rPr>
        <w:t>.</w:t>
      </w:r>
      <w:proofErr w:type="gramEnd"/>
      <w:r w:rsidR="00FE0CD8" w:rsidRPr="00F34847">
        <w:rPr>
          <w:rFonts w:ascii="SFRM1000" w:hAnsi="SFRM1000" w:cs="SFRM1000"/>
        </w:rPr>
        <w:t xml:space="preserve"> The ground track plot displays spherical latitude and longitude over a Poincare projection of a body’</w:t>
      </w:r>
      <w:r w:rsidR="00F34847">
        <w:rPr>
          <w:rFonts w:ascii="SFRM1000" w:hAnsi="SFRM1000" w:cs="SFRM1000"/>
        </w:rPr>
        <w:t>s surface geography of the propagated spacecraft. [</w:t>
      </w:r>
      <w:proofErr w:type="gramStart"/>
      <w:r w:rsidR="00F34847">
        <w:rPr>
          <w:rFonts w:ascii="SFRM1000" w:hAnsi="SFRM1000" w:cs="SFRM1000"/>
        </w:rPr>
        <w:t>ref</w:t>
      </w:r>
      <w:proofErr w:type="gramEnd"/>
      <w:r w:rsidR="00F34847">
        <w:rPr>
          <w:rFonts w:ascii="SFRM1000" w:hAnsi="SFRM1000" w:cs="SFRM1000"/>
        </w:rPr>
        <w:t xml:space="preserve">. </w:t>
      </w:r>
      <w:r w:rsidR="00625C83">
        <w:rPr>
          <w:rFonts w:ascii="SFRM1000" w:hAnsi="SFRM1000" w:cs="SFRM1000"/>
        </w:rPr>
        <w:t>Requirements]</w:t>
      </w:r>
    </w:p>
    <w:p w:rsidR="00FE0CD8" w:rsidRDefault="00FE0CD8" w:rsidP="00FE0CD8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FE0CD8" w:rsidRDefault="00FE0CD8" w:rsidP="00FE0CD8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723514" w:rsidRPr="0096053F" w:rsidRDefault="00723514" w:rsidP="0072351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4"/>
          <w:szCs w:val="24"/>
        </w:rPr>
      </w:pPr>
      <w:r w:rsidRPr="0096053F">
        <w:rPr>
          <w:rFonts w:ascii="SFRM1000" w:hAnsi="SFRM1000" w:cs="SFRM1000"/>
          <w:sz w:val="24"/>
          <w:szCs w:val="24"/>
        </w:rPr>
        <w:t>Requirement Traceability</w:t>
      </w:r>
    </w:p>
    <w:p w:rsidR="00723514" w:rsidRDefault="00723514" w:rsidP="00723514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723514" w:rsidRDefault="00723514" w:rsidP="00723514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1368"/>
        <w:gridCol w:w="3960"/>
        <w:gridCol w:w="4140"/>
      </w:tblGrid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Requirement</w:t>
            </w:r>
          </w:p>
        </w:tc>
        <w:tc>
          <w:tcPr>
            <w:tcW w:w="396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Description</w:t>
            </w:r>
          </w:p>
        </w:tc>
        <w:tc>
          <w:tcPr>
            <w:tcW w:w="414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Design Reference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3.1.1</w:t>
            </w:r>
          </w:p>
        </w:tc>
        <w:tc>
          <w:tcPr>
            <w:tcW w:w="396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Input - </w:t>
            </w:r>
            <w:r w:rsidR="0096053F">
              <w:rPr>
                <w:rFonts w:ascii="SFRM1000" w:hAnsi="SFRM1000" w:cs="SFRM1000"/>
                <w:sz w:val="20"/>
                <w:szCs w:val="20"/>
              </w:rPr>
              <w:t>C</w:t>
            </w:r>
            <w:r>
              <w:rPr>
                <w:rFonts w:ascii="SFRM1000" w:hAnsi="SFRM1000" w:cs="SFRM1000"/>
                <w:sz w:val="20"/>
                <w:szCs w:val="20"/>
              </w:rPr>
              <w:t>entral body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Figure 2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3.2.1</w:t>
            </w:r>
          </w:p>
        </w:tc>
        <w:tc>
          <w:tcPr>
            <w:tcW w:w="3960" w:type="dxa"/>
          </w:tcPr>
          <w:p w:rsidR="00F3007A" w:rsidRDefault="0096053F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Output -</w:t>
            </w:r>
            <w:r w:rsidR="00F3007A">
              <w:rPr>
                <w:rFonts w:ascii="SFRM1000" w:hAnsi="SFRM1000" w:cs="SFRM1000"/>
                <w:sz w:val="20"/>
                <w:szCs w:val="20"/>
              </w:rPr>
              <w:t xml:space="preserve"> </w:t>
            </w:r>
            <w:r>
              <w:rPr>
                <w:rFonts w:ascii="SFRM1000" w:hAnsi="SFRM1000" w:cs="SFRM1000"/>
                <w:sz w:val="20"/>
                <w:szCs w:val="20"/>
              </w:rPr>
              <w:t>Display</w:t>
            </w:r>
            <w:r w:rsidR="00F3007A">
              <w:rPr>
                <w:rFonts w:ascii="SFRM1000" w:hAnsi="SFRM1000" w:cs="SFRM1000"/>
                <w:sz w:val="20"/>
                <w:szCs w:val="20"/>
              </w:rPr>
              <w:t xml:space="preserve"> plot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Figure </w:t>
            </w:r>
            <w:r w:rsidR="009C4531">
              <w:rPr>
                <w:rFonts w:ascii="SFRM1000" w:hAnsi="SFRM1000" w:cs="SFRM1000"/>
                <w:sz w:val="20"/>
                <w:szCs w:val="20"/>
              </w:rPr>
              <w:t>6, 7</w:t>
            </w:r>
            <w:r w:rsidR="00AC7FB4">
              <w:rPr>
                <w:rFonts w:ascii="SFRM1000" w:hAnsi="SFRM1000" w:cs="SFRM1000"/>
                <w:sz w:val="20"/>
                <w:szCs w:val="20"/>
              </w:rPr>
              <w:t>, 8, 9, 10</w:t>
            </w:r>
            <w:r w:rsidR="00F3186C">
              <w:rPr>
                <w:rFonts w:ascii="SFRM1000" w:hAnsi="SFRM1000" w:cs="SFRM1000"/>
                <w:sz w:val="20"/>
                <w:szCs w:val="20"/>
              </w:rPr>
              <w:t>, 11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3.4</w:t>
            </w:r>
          </w:p>
        </w:tc>
        <w:tc>
          <w:tcPr>
            <w:tcW w:w="396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Output - Display epoch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Figure </w:t>
            </w:r>
            <w:r w:rsidR="009C4531">
              <w:rPr>
                <w:rFonts w:ascii="SFRM1000" w:hAnsi="SFRM1000" w:cs="SFRM1000"/>
                <w:sz w:val="20"/>
                <w:szCs w:val="20"/>
              </w:rPr>
              <w:t>6, 7</w:t>
            </w:r>
            <w:r w:rsidR="00AC7FB4">
              <w:rPr>
                <w:rFonts w:ascii="SFRM1000" w:hAnsi="SFRM1000" w:cs="SFRM1000"/>
                <w:sz w:val="20"/>
                <w:szCs w:val="20"/>
              </w:rPr>
              <w:t>, 8, 9, 10</w:t>
            </w:r>
            <w:r w:rsidR="00F3186C">
              <w:rPr>
                <w:rFonts w:ascii="SFRM1000" w:hAnsi="SFRM1000" w:cs="SFRM1000"/>
                <w:sz w:val="20"/>
                <w:szCs w:val="20"/>
              </w:rPr>
              <w:t>, 11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3.6.1</w:t>
            </w:r>
          </w:p>
        </w:tc>
        <w:tc>
          <w:tcPr>
            <w:tcW w:w="396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Input - Data collection rate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Figure 2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3.6.2</w:t>
            </w:r>
          </w:p>
        </w:tc>
        <w:tc>
          <w:tcPr>
            <w:tcW w:w="3960" w:type="dxa"/>
          </w:tcPr>
          <w:p w:rsidR="00F3007A" w:rsidRDefault="00F3007A" w:rsidP="0096053F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Input </w:t>
            </w:r>
            <w:r w:rsidR="0096053F">
              <w:rPr>
                <w:rFonts w:ascii="SFRM1000" w:hAnsi="SFRM1000" w:cs="SFRM1000"/>
                <w:sz w:val="20"/>
                <w:szCs w:val="20"/>
              </w:rPr>
              <w:t>-</w:t>
            </w:r>
            <w:r>
              <w:rPr>
                <w:rFonts w:ascii="SFRM1000" w:hAnsi="SFRM1000" w:cs="SFRM1000"/>
                <w:sz w:val="20"/>
                <w:szCs w:val="20"/>
              </w:rPr>
              <w:t xml:space="preserve"> </w:t>
            </w:r>
            <w:r w:rsidR="0096053F">
              <w:rPr>
                <w:rFonts w:ascii="SFRM1000" w:hAnsi="SFRM1000" w:cs="SFRM1000"/>
                <w:sz w:val="20"/>
                <w:szCs w:val="20"/>
              </w:rPr>
              <w:t>Plot update rate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Figure 2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3.6.3</w:t>
            </w:r>
          </w:p>
        </w:tc>
        <w:tc>
          <w:tcPr>
            <w:tcW w:w="396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Input </w:t>
            </w:r>
            <w:r w:rsidR="0096053F">
              <w:rPr>
                <w:rFonts w:ascii="SFRM1000" w:hAnsi="SFRM1000" w:cs="SFRM1000"/>
                <w:sz w:val="20"/>
                <w:szCs w:val="20"/>
              </w:rPr>
              <w:t>-</w:t>
            </w:r>
            <w:r>
              <w:rPr>
                <w:rFonts w:ascii="SFRM1000" w:hAnsi="SFRM1000" w:cs="SFRM1000"/>
                <w:sz w:val="20"/>
                <w:szCs w:val="20"/>
              </w:rPr>
              <w:t xml:space="preserve"> Number </w:t>
            </w:r>
            <w:r w:rsidR="0096053F">
              <w:rPr>
                <w:rFonts w:ascii="SFRM1000" w:hAnsi="SFRM1000" w:cs="SFRM1000"/>
                <w:sz w:val="20"/>
                <w:szCs w:val="20"/>
              </w:rPr>
              <w:t>of points to redraw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Figure 2</w:t>
            </w:r>
          </w:p>
        </w:tc>
      </w:tr>
      <w:tr w:rsidR="00F3007A" w:rsidTr="0096053F">
        <w:tc>
          <w:tcPr>
            <w:tcW w:w="1368" w:type="dxa"/>
          </w:tcPr>
          <w:p w:rsidR="00F3007A" w:rsidRDefault="0096053F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3.13</w:t>
            </w:r>
          </w:p>
        </w:tc>
        <w:tc>
          <w:tcPr>
            <w:tcW w:w="3960" w:type="dxa"/>
          </w:tcPr>
          <w:p w:rsidR="00F3007A" w:rsidRDefault="0096053F" w:rsidP="0096053F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Input - Option to show or now show plot 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Figure 2</w:t>
            </w:r>
          </w:p>
        </w:tc>
      </w:tr>
    </w:tbl>
    <w:p w:rsidR="00723514" w:rsidRDefault="00723514" w:rsidP="00723514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96053F" w:rsidRPr="00723514" w:rsidRDefault="0096053F" w:rsidP="00723514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FE0CD8" w:rsidRDefault="00723514" w:rsidP="0072351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BX1200" w:hAnsi="SFBX1200" w:cs="SFBX1200"/>
          <w:sz w:val="24"/>
          <w:szCs w:val="24"/>
        </w:rPr>
      </w:pPr>
      <w:r w:rsidRPr="00723514">
        <w:rPr>
          <w:rFonts w:ascii="SFBX1200" w:hAnsi="SFBX1200" w:cs="SFBX1200"/>
          <w:sz w:val="24"/>
          <w:szCs w:val="24"/>
        </w:rPr>
        <w:t>Design</w:t>
      </w:r>
      <w:r w:rsidR="00F34847">
        <w:rPr>
          <w:rFonts w:ascii="SFBX1200" w:hAnsi="SFBX1200" w:cs="SFBX1200"/>
          <w:sz w:val="24"/>
          <w:szCs w:val="24"/>
        </w:rPr>
        <w:t xml:space="preserve"> Approach</w:t>
      </w:r>
    </w:p>
    <w:p w:rsidR="00723514" w:rsidRDefault="00723514" w:rsidP="00723514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  <w:sz w:val="24"/>
          <w:szCs w:val="24"/>
        </w:rPr>
      </w:pPr>
    </w:p>
    <w:p w:rsidR="00723514" w:rsidRDefault="00F34847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 w:rsidRPr="00F34847">
        <w:rPr>
          <w:rFonts w:ascii="SFBX1200" w:hAnsi="SFBX1200" w:cs="SFBX1200"/>
        </w:rPr>
        <w:t xml:space="preserve">The </w:t>
      </w:r>
      <w:proofErr w:type="spellStart"/>
      <w:r w:rsidR="0014170E" w:rsidRPr="00F34847">
        <w:rPr>
          <w:rFonts w:ascii="SFBX1200" w:hAnsi="SFBX1200" w:cs="SFBX1200"/>
        </w:rPr>
        <w:t>GroundTrackPlot</w:t>
      </w:r>
      <w:proofErr w:type="spellEnd"/>
      <w:r w:rsidR="0014170E" w:rsidRPr="00F34847">
        <w:rPr>
          <w:rFonts w:ascii="SFBX1200" w:hAnsi="SFBX1200" w:cs="SFBX1200"/>
        </w:rPr>
        <w:t xml:space="preserve"> is designed so that it follows the publisher and subscriber </w:t>
      </w:r>
      <w:r>
        <w:rPr>
          <w:rFonts w:ascii="SFBX1200" w:hAnsi="SFBX1200" w:cs="SFBX1200"/>
        </w:rPr>
        <w:t>scheme</w:t>
      </w:r>
      <w:r w:rsidR="0014170E" w:rsidRPr="00F34847">
        <w:rPr>
          <w:rFonts w:ascii="SFBX1200" w:hAnsi="SFBX1200" w:cs="SFBX1200"/>
        </w:rPr>
        <w:t xml:space="preserve"> </w:t>
      </w:r>
      <w:r>
        <w:rPr>
          <w:rFonts w:ascii="SFBX1200" w:hAnsi="SFBX1200" w:cs="SFBX1200"/>
        </w:rPr>
        <w:t xml:space="preserve">of the GMAT </w:t>
      </w:r>
      <w:r w:rsidR="00625C83">
        <w:rPr>
          <w:rFonts w:ascii="SFBX1200" w:hAnsi="SFBX1200" w:cs="SFBX1200"/>
        </w:rPr>
        <w:t xml:space="preserve">system </w:t>
      </w:r>
      <w:r>
        <w:rPr>
          <w:rFonts w:ascii="SFBX1200" w:hAnsi="SFBX1200" w:cs="SFBX1200"/>
        </w:rPr>
        <w:t xml:space="preserve">architecture. </w:t>
      </w:r>
      <w:r w:rsidR="00685B15">
        <w:rPr>
          <w:rFonts w:ascii="SFBX1200" w:hAnsi="SFBX1200" w:cs="SFBX1200"/>
        </w:rPr>
        <w:t xml:space="preserve">In other words </w:t>
      </w:r>
      <w:proofErr w:type="spellStart"/>
      <w:r w:rsidR="00685B15">
        <w:rPr>
          <w:rFonts w:ascii="SFBX1200" w:hAnsi="SFBX1200" w:cs="SFBX1200"/>
        </w:rPr>
        <w:t>GroundTrackPlot</w:t>
      </w:r>
      <w:proofErr w:type="spellEnd"/>
      <w:r w:rsidR="00685B15">
        <w:rPr>
          <w:rFonts w:ascii="SFBX1200" w:hAnsi="SFBX1200" w:cs="SFBX1200"/>
        </w:rPr>
        <w:t xml:space="preserve"> </w:t>
      </w:r>
      <w:r w:rsidR="00135170">
        <w:rPr>
          <w:rFonts w:ascii="SFBX1200" w:hAnsi="SFBX1200" w:cs="SFBX1200"/>
        </w:rPr>
        <w:t>can be plotted only when there are</w:t>
      </w:r>
      <w:r w:rsidR="00685B15">
        <w:rPr>
          <w:rFonts w:ascii="SFBX1200" w:hAnsi="SFBX1200" w:cs="SFBX1200"/>
        </w:rPr>
        <w:t xml:space="preserve"> data </w:t>
      </w:r>
      <w:r w:rsidR="00135170">
        <w:rPr>
          <w:rFonts w:ascii="SFBX1200" w:hAnsi="SFBX1200" w:cs="SFBX1200"/>
        </w:rPr>
        <w:t>published</w:t>
      </w:r>
      <w:r w:rsidR="00685B15">
        <w:rPr>
          <w:rFonts w:ascii="SFBX1200" w:hAnsi="SFBX1200" w:cs="SFBX1200"/>
        </w:rPr>
        <w:t xml:space="preserve"> through the Publisher. </w:t>
      </w:r>
      <w:r w:rsidR="00135170">
        <w:rPr>
          <w:rFonts w:ascii="SFBX1200" w:hAnsi="SFBX1200" w:cs="SFBX1200"/>
        </w:rPr>
        <w:t xml:space="preserve">Usually </w:t>
      </w:r>
      <w:r w:rsidR="00E012F0">
        <w:rPr>
          <w:rFonts w:ascii="SFBX1200" w:hAnsi="SFBX1200" w:cs="SFBX1200"/>
        </w:rPr>
        <w:t xml:space="preserve">a </w:t>
      </w:r>
      <w:r w:rsidR="00135170">
        <w:rPr>
          <w:rFonts w:ascii="SFBX1200" w:hAnsi="SFBX1200" w:cs="SFBX1200"/>
        </w:rPr>
        <w:t xml:space="preserve">Propagate command publishes data for the propagating </w:t>
      </w:r>
      <w:r w:rsidR="0080350D">
        <w:rPr>
          <w:rFonts w:ascii="SFBX1200" w:hAnsi="SFBX1200" w:cs="SFBX1200"/>
        </w:rPr>
        <w:t>spacecraft</w:t>
      </w:r>
      <w:r w:rsidR="00E012F0">
        <w:rPr>
          <w:rFonts w:ascii="SFBX1200" w:hAnsi="SFBX1200" w:cs="SFBX1200"/>
        </w:rPr>
        <w:t xml:space="preserve"> during </w:t>
      </w:r>
      <w:r w:rsidR="00903A7E">
        <w:rPr>
          <w:rFonts w:ascii="SFBX1200" w:hAnsi="SFBX1200" w:cs="SFBX1200"/>
        </w:rPr>
        <w:t>execution</w:t>
      </w:r>
      <w:r w:rsidR="00135170">
        <w:rPr>
          <w:rFonts w:ascii="SFBX1200" w:hAnsi="SFBX1200" w:cs="SFBX1200"/>
        </w:rPr>
        <w:t xml:space="preserve">. </w:t>
      </w:r>
      <w:r w:rsidR="00E012F0">
        <w:rPr>
          <w:rFonts w:ascii="SFBX1200" w:hAnsi="SFBX1200" w:cs="SFBX1200"/>
        </w:rPr>
        <w:t>To perform the task it is</w:t>
      </w:r>
      <w:r>
        <w:rPr>
          <w:rFonts w:ascii="SFBX1200" w:hAnsi="SFBX1200" w:cs="SFBX1200"/>
        </w:rPr>
        <w:t xml:space="preserve"> divided i</w:t>
      </w:r>
      <w:r w:rsidR="00625C83">
        <w:rPr>
          <w:rFonts w:ascii="SFBX1200" w:hAnsi="SFBX1200" w:cs="SFBX1200"/>
        </w:rPr>
        <w:t>nto three components</w:t>
      </w:r>
      <w:r w:rsidR="00E012F0">
        <w:rPr>
          <w:rFonts w:ascii="SFBX1200" w:hAnsi="SFBX1200" w:cs="SFBX1200"/>
        </w:rPr>
        <w:t>:</w:t>
      </w:r>
      <w:r w:rsidR="00625C83">
        <w:rPr>
          <w:rFonts w:ascii="SFBX1200" w:hAnsi="SFBX1200" w:cs="SFBX1200"/>
        </w:rPr>
        <w:t xml:space="preserve"> base, GUI</w:t>
      </w:r>
      <w:r>
        <w:rPr>
          <w:rFonts w:ascii="SFBX1200" w:hAnsi="SFBX1200" w:cs="SFBX1200"/>
        </w:rPr>
        <w:t xml:space="preserve"> </w:t>
      </w:r>
      <w:r w:rsidR="00E012F0">
        <w:rPr>
          <w:rFonts w:ascii="SFBX1200" w:hAnsi="SFBX1200" w:cs="SFBX1200"/>
        </w:rPr>
        <w:t>and interface</w:t>
      </w:r>
      <w:r>
        <w:rPr>
          <w:rFonts w:ascii="SFBX1200" w:hAnsi="SFBX1200" w:cs="SFBX1200"/>
        </w:rPr>
        <w:t xml:space="preserve">. The base component is derived from the base </w:t>
      </w:r>
      <w:r w:rsidR="00625C83">
        <w:rPr>
          <w:rFonts w:ascii="SFBX1200" w:hAnsi="SFBX1200" w:cs="SFBX1200"/>
        </w:rPr>
        <w:t xml:space="preserve">Subscriber class. The GUI </w:t>
      </w:r>
      <w:r>
        <w:rPr>
          <w:rFonts w:ascii="SFBX1200" w:hAnsi="SFBX1200" w:cs="SFBX1200"/>
        </w:rPr>
        <w:t xml:space="preserve">component is derived from the </w:t>
      </w:r>
      <w:proofErr w:type="spellStart"/>
      <w:r>
        <w:rPr>
          <w:rFonts w:ascii="SFBX1200" w:hAnsi="SFBX1200" w:cs="SFBX1200"/>
        </w:rPr>
        <w:t>wxWidgets</w:t>
      </w:r>
      <w:proofErr w:type="spellEnd"/>
      <w:r>
        <w:rPr>
          <w:rFonts w:ascii="SFBX1200" w:hAnsi="SFBX1200" w:cs="SFBX1200"/>
        </w:rPr>
        <w:t xml:space="preserve"> classes. </w:t>
      </w:r>
      <w:r w:rsidR="00625C83">
        <w:rPr>
          <w:rFonts w:ascii="SFBX1200" w:hAnsi="SFBX1200" w:cs="SFBX1200"/>
        </w:rPr>
        <w:t xml:space="preserve">The </w:t>
      </w:r>
      <w:proofErr w:type="spellStart"/>
      <w:r w:rsidR="00625C83">
        <w:rPr>
          <w:rFonts w:ascii="SFBX1200" w:hAnsi="SFBX1200" w:cs="SFBX1200"/>
        </w:rPr>
        <w:t>PlotInterface</w:t>
      </w:r>
      <w:proofErr w:type="spellEnd"/>
      <w:r w:rsidR="00625C83">
        <w:rPr>
          <w:rFonts w:ascii="SFBX1200" w:hAnsi="SFBX1200" w:cs="SFBX1200"/>
        </w:rPr>
        <w:t xml:space="preserve"> component interfaces between </w:t>
      </w:r>
      <w:r w:rsidR="00E012F0">
        <w:rPr>
          <w:rFonts w:ascii="SFBX1200" w:hAnsi="SFBX1200" w:cs="SFBX1200"/>
        </w:rPr>
        <w:t xml:space="preserve">the </w:t>
      </w:r>
      <w:r w:rsidR="00625C83">
        <w:rPr>
          <w:rFonts w:ascii="SFBX1200" w:hAnsi="SFBX1200" w:cs="SFBX1200"/>
        </w:rPr>
        <w:t>base and GUI components.</w:t>
      </w:r>
    </w:p>
    <w:p w:rsidR="00A958BC" w:rsidRDefault="00A958BC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2376A" w:rsidRDefault="0052376A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8C70DD" w:rsidRDefault="008C70DD" w:rsidP="008C70DD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drawing>
          <wp:inline distT="0" distB="0" distL="0" distR="0">
            <wp:extent cx="4914900" cy="838200"/>
            <wp:effectExtent l="19050" t="0" r="0" b="0"/>
            <wp:docPr id="2" name="Picture 1" descr="GroundTrackPlotComponet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ComponetDiagram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DD" w:rsidRDefault="008C70DD" w:rsidP="008C70DD">
      <w:pPr>
        <w:pStyle w:val="Caption"/>
      </w:pPr>
      <w:r>
        <w:t xml:space="preserve">Figure </w:t>
      </w:r>
      <w:fldSimple w:instr=" SEQ Figure \* ARABIC ">
        <w:r w:rsidR="00AC7FB4">
          <w:rPr>
            <w:noProof/>
          </w:rPr>
          <w:t>1</w:t>
        </w:r>
      </w:fldSimple>
    </w:p>
    <w:p w:rsidR="008C70DD" w:rsidRDefault="008C70DD" w:rsidP="008C70DD"/>
    <w:p w:rsidR="008C70DD" w:rsidRPr="008C70DD" w:rsidRDefault="00F20EB9" w:rsidP="008C70DD">
      <w:r>
        <w:t>The detailed class diagram</w:t>
      </w:r>
      <w:r w:rsidR="008C70DD">
        <w:t xml:space="preserve"> is shown in Figure 2.</w:t>
      </w:r>
    </w:p>
    <w:p w:rsidR="008C70DD" w:rsidRDefault="00920CDC" w:rsidP="008C70DD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765550"/>
            <wp:effectExtent l="19050" t="0" r="0" b="0"/>
            <wp:docPr id="5" name="Picture 4" descr="GroundTrackPlot_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_CD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6A" w:rsidRDefault="008C70DD" w:rsidP="008C70DD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C7FB4">
          <w:rPr>
            <w:noProof/>
          </w:rPr>
          <w:t>2</w:t>
        </w:r>
      </w:fldSimple>
    </w:p>
    <w:p w:rsidR="008C70DD" w:rsidRDefault="008C70DD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8C70DD" w:rsidRDefault="008C70DD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8C70DD" w:rsidRDefault="008C70DD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8C70DD" w:rsidRDefault="0076680B" w:rsidP="00F20EB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 xml:space="preserve">Creation and </w:t>
      </w:r>
      <w:r w:rsidR="00B6393E">
        <w:rPr>
          <w:rFonts w:ascii="SFBX1200" w:hAnsi="SFBX1200" w:cs="SFBX1200"/>
        </w:rPr>
        <w:t xml:space="preserve">Setting </w:t>
      </w:r>
      <w:r w:rsidR="002A6C40">
        <w:rPr>
          <w:rFonts w:ascii="SFBX1200" w:hAnsi="SFBX1200" w:cs="SFBX1200"/>
        </w:rPr>
        <w:t>Properties</w:t>
      </w:r>
    </w:p>
    <w:p w:rsidR="00F20EB9" w:rsidRDefault="00F20EB9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F20EB9" w:rsidRPr="00597BEE" w:rsidRDefault="00597BEE" w:rsidP="00597BEE">
      <w:pPr>
        <w:rPr>
          <w:rFonts w:eastAsia="Times New Roman"/>
        </w:rPr>
      </w:pPr>
      <w:r>
        <w:rPr>
          <w:rFonts w:ascii="SFBX1200" w:hAnsi="SFBX1200" w:cs="SFBX1200"/>
        </w:rPr>
        <w:t xml:space="preserve">The 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 xml:space="preserve"> object is created when GMAT parses the script with a “Create 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>” line or when the user adds a new subscriber “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>” onto the GUI Resource Tree.</w:t>
      </w:r>
      <w:r>
        <w:rPr>
          <w:rFonts w:eastAsia="Times New Roman"/>
        </w:rPr>
        <w:t xml:space="preserve"> </w:t>
      </w:r>
      <w:r w:rsidR="00F20EB9">
        <w:rPr>
          <w:rFonts w:ascii="SFBX1200" w:hAnsi="SFBX1200" w:cs="SFBX1200"/>
        </w:rPr>
        <w:t xml:space="preserve">The create action from the Interpreter is sent to </w:t>
      </w:r>
      <w:r w:rsidR="00E012F0">
        <w:rPr>
          <w:rFonts w:ascii="SFBX1200" w:hAnsi="SFBX1200" w:cs="SFBX1200"/>
        </w:rPr>
        <w:t xml:space="preserve">the </w:t>
      </w:r>
      <w:r w:rsidR="00F20EB9">
        <w:rPr>
          <w:rFonts w:ascii="SFBX1200" w:hAnsi="SFBX1200" w:cs="SFBX1200"/>
        </w:rPr>
        <w:t>Moderator</w:t>
      </w:r>
      <w:r w:rsidR="001B5FB8">
        <w:rPr>
          <w:rFonts w:ascii="SFBX1200" w:hAnsi="SFBX1200" w:cs="SFBX1200"/>
        </w:rPr>
        <w:t xml:space="preserve"> and the </w:t>
      </w:r>
      <w:proofErr w:type="spellStart"/>
      <w:r w:rsidR="00F20EB9">
        <w:rPr>
          <w:rFonts w:ascii="SFBX1200" w:hAnsi="SFBX1200" w:cs="SFBX1200"/>
        </w:rPr>
        <w:t>SubscriberFactory</w:t>
      </w:r>
      <w:proofErr w:type="spellEnd"/>
      <w:r w:rsidR="00F20EB9">
        <w:rPr>
          <w:rFonts w:ascii="SFBX1200" w:hAnsi="SFBX1200" w:cs="SFBX1200"/>
        </w:rPr>
        <w:t xml:space="preserve"> create</w:t>
      </w:r>
      <w:r w:rsidR="001B5FB8">
        <w:rPr>
          <w:rFonts w:ascii="SFBX1200" w:hAnsi="SFBX1200" w:cs="SFBX1200"/>
        </w:rPr>
        <w:t>s</w:t>
      </w:r>
      <w:r w:rsidR="00F20EB9">
        <w:rPr>
          <w:rFonts w:ascii="SFBX1200" w:hAnsi="SFBX1200" w:cs="SFBX1200"/>
        </w:rPr>
        <w:t xml:space="preserve"> a new </w:t>
      </w:r>
      <w:r w:rsidR="001B5FB8">
        <w:rPr>
          <w:rFonts w:ascii="SFBX1200" w:hAnsi="SFBX1200" w:cs="SFBX1200"/>
        </w:rPr>
        <w:t xml:space="preserve">Subscriber of type </w:t>
      </w:r>
      <w:proofErr w:type="spellStart"/>
      <w:r w:rsidR="001B5FB8">
        <w:rPr>
          <w:rFonts w:ascii="SFBX1200" w:hAnsi="SFBX1200" w:cs="SFBX1200"/>
        </w:rPr>
        <w:t>GroundTrackPlot</w:t>
      </w:r>
      <w:proofErr w:type="spellEnd"/>
      <w:r w:rsidR="00F20EB9">
        <w:rPr>
          <w:rFonts w:ascii="SFBX1200" w:hAnsi="SFBX1200" w:cs="SFBX1200"/>
        </w:rPr>
        <w:t xml:space="preserve"> and returns </w:t>
      </w:r>
      <w:r w:rsidR="001B5FB8">
        <w:rPr>
          <w:rFonts w:ascii="SFBX1200" w:hAnsi="SFBX1200" w:cs="SFBX1200"/>
        </w:rPr>
        <w:t xml:space="preserve">its pointer </w:t>
      </w:r>
      <w:r w:rsidR="00F20EB9">
        <w:rPr>
          <w:rFonts w:ascii="SFBX1200" w:hAnsi="SFBX1200" w:cs="SFBX1200"/>
        </w:rPr>
        <w:t xml:space="preserve">to </w:t>
      </w:r>
      <w:r w:rsidR="00E012F0">
        <w:rPr>
          <w:rFonts w:ascii="SFBX1200" w:hAnsi="SFBX1200" w:cs="SFBX1200"/>
        </w:rPr>
        <w:t xml:space="preserve">the </w:t>
      </w:r>
      <w:r w:rsidR="00F20EB9">
        <w:rPr>
          <w:rFonts w:ascii="SFBX1200" w:hAnsi="SFBX1200" w:cs="SFBX1200"/>
        </w:rPr>
        <w:t>Moderator.</w:t>
      </w:r>
      <w:r w:rsidR="001B5FB8">
        <w:rPr>
          <w:rFonts w:ascii="SFBX1200" w:hAnsi="SFBX1200" w:cs="SFBX1200"/>
        </w:rPr>
        <w:t xml:space="preserve"> Then </w:t>
      </w:r>
      <w:r w:rsidR="00E012F0">
        <w:rPr>
          <w:rFonts w:ascii="SFBX1200" w:hAnsi="SFBX1200" w:cs="SFBX1200"/>
        </w:rPr>
        <w:t xml:space="preserve">the </w:t>
      </w:r>
      <w:proofErr w:type="spellStart"/>
      <w:r w:rsidR="001B5FB8">
        <w:rPr>
          <w:rFonts w:ascii="SFBX1200" w:hAnsi="SFBX1200" w:cs="SFBX1200"/>
        </w:rPr>
        <w:t>ConfigManager</w:t>
      </w:r>
      <w:proofErr w:type="spellEnd"/>
      <w:r w:rsidR="001B5FB8">
        <w:rPr>
          <w:rFonts w:ascii="SFBX1200" w:hAnsi="SFBX1200" w:cs="SFBX1200"/>
        </w:rPr>
        <w:t xml:space="preserve"> </w:t>
      </w:r>
      <w:r w:rsidR="0076680B">
        <w:rPr>
          <w:rFonts w:ascii="SFBX1200" w:hAnsi="SFBX1200" w:cs="SFBX1200"/>
        </w:rPr>
        <w:t>adds</w:t>
      </w:r>
      <w:r w:rsidR="001B5FB8">
        <w:rPr>
          <w:rFonts w:ascii="SFBX1200" w:hAnsi="SFBX1200" w:cs="SFBX1200"/>
        </w:rPr>
        <w:t xml:space="preserve"> its object pointer to </w:t>
      </w:r>
      <w:r w:rsidR="00E012F0">
        <w:rPr>
          <w:rFonts w:ascii="SFBX1200" w:hAnsi="SFBX1200" w:cs="SFBX1200"/>
        </w:rPr>
        <w:t xml:space="preserve">the </w:t>
      </w:r>
      <w:r w:rsidR="001B5FB8">
        <w:rPr>
          <w:rFonts w:ascii="SFBX1200" w:hAnsi="SFBX1200" w:cs="SFBX1200"/>
        </w:rPr>
        <w:t>object store.</w:t>
      </w:r>
    </w:p>
    <w:p w:rsidR="0076680B" w:rsidRDefault="0076680B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6680B" w:rsidRDefault="0076680B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>When GMAT parses the script with the property setting syntax</w:t>
      </w:r>
      <w:r w:rsidR="00B6393E">
        <w:rPr>
          <w:rFonts w:ascii="SFBX1200" w:hAnsi="SFBX1200" w:cs="SFBX1200"/>
        </w:rPr>
        <w:t xml:space="preserve"> or </w:t>
      </w:r>
      <w:r w:rsidR="00E012F0">
        <w:rPr>
          <w:rFonts w:ascii="SFBX1200" w:hAnsi="SFBX1200" w:cs="SFBX1200"/>
        </w:rPr>
        <w:t xml:space="preserve">when the user is </w:t>
      </w:r>
      <w:r w:rsidR="00B6393E">
        <w:rPr>
          <w:rFonts w:ascii="SFBX1200" w:hAnsi="SFBX1200" w:cs="SFBX1200"/>
        </w:rPr>
        <w:t>entering values via the GUI</w:t>
      </w:r>
      <w:r w:rsidR="00E012F0">
        <w:rPr>
          <w:rFonts w:ascii="SFBX1200" w:hAnsi="SFBX1200" w:cs="SFBX1200"/>
        </w:rPr>
        <w:t xml:space="preserve">, the property </w:t>
      </w:r>
      <w:r>
        <w:rPr>
          <w:rFonts w:ascii="SFBX1200" w:hAnsi="SFBX1200" w:cs="SFBX1200"/>
        </w:rPr>
        <w:t>values are set through generic Set</w:t>
      </w:r>
      <w:r w:rsidR="00636F86">
        <w:rPr>
          <w:rFonts w:ascii="SFBX1200" w:hAnsi="SFBX1200" w:cs="SFBX1200"/>
        </w:rPr>
        <w:t>*</w:t>
      </w:r>
      <w:r>
        <w:rPr>
          <w:rFonts w:ascii="SFBX1200" w:hAnsi="SFBX1200" w:cs="SFBX1200"/>
        </w:rPr>
        <w:t xml:space="preserve">Parameter() methods which are inherited from the </w:t>
      </w:r>
      <w:proofErr w:type="spellStart"/>
      <w:r>
        <w:rPr>
          <w:rFonts w:ascii="SFBX1200" w:hAnsi="SFBX1200" w:cs="SFBX1200"/>
        </w:rPr>
        <w:t>GmatBase</w:t>
      </w:r>
      <w:proofErr w:type="spellEnd"/>
      <w:r>
        <w:rPr>
          <w:rFonts w:ascii="SFBX1200" w:hAnsi="SFBX1200" w:cs="SFBX1200"/>
        </w:rPr>
        <w:t xml:space="preserve"> class.</w:t>
      </w:r>
      <w:r w:rsidR="000B70FC">
        <w:rPr>
          <w:rFonts w:ascii="SFBX1200" w:hAnsi="SFBX1200" w:cs="SFBX1200"/>
        </w:rPr>
        <w:t xml:space="preserve"> </w:t>
      </w:r>
    </w:p>
    <w:p w:rsidR="00B6393E" w:rsidRDefault="00B6393E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6680B" w:rsidRDefault="00F20EB9" w:rsidP="0076680B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lastRenderedPageBreak/>
        <w:drawing>
          <wp:inline distT="0" distB="0" distL="0" distR="0">
            <wp:extent cx="5943600" cy="2921000"/>
            <wp:effectExtent l="19050" t="0" r="0" b="0"/>
            <wp:docPr id="3" name="Picture 2" descr="GroundTrackPlotCreate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CreateS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B9" w:rsidRDefault="0076680B" w:rsidP="0076680B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C7FB4">
          <w:rPr>
            <w:noProof/>
          </w:rPr>
          <w:t>3</w:t>
        </w:r>
      </w:fldSimple>
    </w:p>
    <w:p w:rsidR="0076680B" w:rsidRDefault="0076680B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6680B" w:rsidRDefault="0076680B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9C4531" w:rsidRDefault="005054B5" w:rsidP="009C4531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drawing>
          <wp:inline distT="0" distB="0" distL="0" distR="0">
            <wp:extent cx="4991100" cy="2743200"/>
            <wp:effectExtent l="19050" t="0" r="0" b="0"/>
            <wp:docPr id="4" name="Picture 3" descr="GroundTrackPlotSetting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SettingSD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0B" w:rsidRDefault="009C4531" w:rsidP="009C4531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C7FB4">
          <w:rPr>
            <w:noProof/>
          </w:rPr>
          <w:t>4</w:t>
        </w:r>
      </w:fldSimple>
    </w:p>
    <w:p w:rsidR="005054B5" w:rsidRDefault="005054B5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054B5" w:rsidRDefault="005054B5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6680B" w:rsidRPr="00B6393E" w:rsidRDefault="0076680B" w:rsidP="0076680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BX1200" w:hAnsi="SFBX1200" w:cs="SFBX1200"/>
          <w:sz w:val="24"/>
          <w:szCs w:val="24"/>
        </w:rPr>
      </w:pPr>
      <w:r w:rsidRPr="00B6393E">
        <w:rPr>
          <w:rFonts w:ascii="SFBX1200" w:hAnsi="SFBX1200" w:cs="SFBX1200"/>
          <w:sz w:val="24"/>
          <w:szCs w:val="24"/>
        </w:rPr>
        <w:t>Initialization</w:t>
      </w:r>
      <w:r w:rsidR="00B6393E">
        <w:rPr>
          <w:rFonts w:ascii="SFBX1200" w:hAnsi="SFBX1200" w:cs="SFBX1200"/>
          <w:sz w:val="24"/>
          <w:szCs w:val="24"/>
        </w:rPr>
        <w:t xml:space="preserve"> and Execution</w:t>
      </w:r>
    </w:p>
    <w:p w:rsidR="0076680B" w:rsidRDefault="0076680B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4A3A90" w:rsidRPr="00FC157F" w:rsidRDefault="00E038AD" w:rsidP="004A3A90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 xml:space="preserve">When objects are added to </w:t>
      </w:r>
      <w:r w:rsidR="002A6C40">
        <w:rPr>
          <w:rFonts w:ascii="SFBX1200" w:hAnsi="SFBX1200" w:cs="SFBX1200"/>
        </w:rPr>
        <w:t xml:space="preserve">the </w:t>
      </w:r>
      <w:r>
        <w:rPr>
          <w:rFonts w:ascii="SFBX1200" w:hAnsi="SFBX1200" w:cs="SFBX1200"/>
        </w:rPr>
        <w:t xml:space="preserve">Sandbox for initialization and execution, </w:t>
      </w:r>
      <w:r w:rsidR="002A6C40">
        <w:rPr>
          <w:rFonts w:ascii="SFBX1200" w:hAnsi="SFBX1200" w:cs="SFBX1200"/>
        </w:rPr>
        <w:t xml:space="preserve">pointers to the </w:t>
      </w:r>
      <w:proofErr w:type="gramStart"/>
      <w:r>
        <w:rPr>
          <w:rFonts w:ascii="SFBX1200" w:hAnsi="SFBX1200" w:cs="SFBX1200"/>
        </w:rPr>
        <w:t>subscribers  -</w:t>
      </w:r>
      <w:proofErr w:type="gramEnd"/>
      <w:r w:rsidR="002A6C40">
        <w:rPr>
          <w:rFonts w:ascii="SFBX1200" w:hAnsi="SFBX1200" w:cs="SFBX1200"/>
        </w:rPr>
        <w:t xml:space="preserve"> </w:t>
      </w:r>
      <w:proofErr w:type="spellStart"/>
      <w:r>
        <w:rPr>
          <w:rFonts w:ascii="SFBX1200" w:hAnsi="SFBX1200" w:cs="SFBX1200"/>
        </w:rPr>
        <w:t>GroundTrackPlots</w:t>
      </w:r>
      <w:proofErr w:type="spellEnd"/>
      <w:r>
        <w:rPr>
          <w:rFonts w:ascii="SFBX1200" w:hAnsi="SFBX1200" w:cs="SFBX1200"/>
        </w:rPr>
        <w:t xml:space="preserve"> - are added to the Publisher.</w:t>
      </w:r>
      <w:r w:rsidR="005054B5">
        <w:rPr>
          <w:rFonts w:ascii="SFBX1200" w:hAnsi="SFBX1200" w:cs="SFBX1200"/>
        </w:rPr>
        <w:t xml:space="preserve"> When </w:t>
      </w:r>
      <w:r w:rsidR="002A6C40">
        <w:rPr>
          <w:rFonts w:ascii="SFBX1200" w:hAnsi="SFBX1200" w:cs="SFBX1200"/>
        </w:rPr>
        <w:t xml:space="preserve">a </w:t>
      </w:r>
      <w:proofErr w:type="spellStart"/>
      <w:r w:rsidR="005054B5">
        <w:rPr>
          <w:rFonts w:ascii="SFBX1200" w:hAnsi="SFBX1200" w:cs="SFBX1200"/>
        </w:rPr>
        <w:t>GroundTrackPlot</w:t>
      </w:r>
      <w:proofErr w:type="spellEnd"/>
      <w:r w:rsidR="005054B5">
        <w:rPr>
          <w:rFonts w:ascii="SFBX1200" w:hAnsi="SFBX1200" w:cs="SFBX1200"/>
        </w:rPr>
        <w:t xml:space="preserve"> object is initialized it </w:t>
      </w:r>
      <w:r w:rsidR="004A3A90">
        <w:rPr>
          <w:rFonts w:ascii="SFBX1200" w:hAnsi="SFBX1200" w:cs="SFBX1200"/>
        </w:rPr>
        <w:t xml:space="preserve">sends </w:t>
      </w:r>
      <w:r w:rsidR="002A6C40">
        <w:rPr>
          <w:rFonts w:ascii="SFBX1200" w:hAnsi="SFBX1200" w:cs="SFBX1200"/>
        </w:rPr>
        <w:t xml:space="preserve">an </w:t>
      </w:r>
      <w:r w:rsidR="004A3A90">
        <w:rPr>
          <w:rFonts w:ascii="SFBX1200" w:hAnsi="SFBX1200" w:cs="SFBX1200"/>
        </w:rPr>
        <w:t xml:space="preserve">action to </w:t>
      </w:r>
      <w:proofErr w:type="spellStart"/>
      <w:r w:rsidR="004A3A90">
        <w:rPr>
          <w:rFonts w:ascii="SFBX1200" w:hAnsi="SFBX1200" w:cs="SFBX1200"/>
        </w:rPr>
        <w:t>PlotInterface</w:t>
      </w:r>
      <w:proofErr w:type="spellEnd"/>
      <w:r w:rsidR="004A3A90">
        <w:rPr>
          <w:rFonts w:ascii="SFBX1200" w:hAnsi="SFBX1200" w:cs="SFBX1200"/>
        </w:rPr>
        <w:t xml:space="preserve"> to create</w:t>
      </w:r>
      <w:r w:rsidR="005054B5">
        <w:rPr>
          <w:rFonts w:ascii="SFBX1200" w:hAnsi="SFBX1200" w:cs="SFBX1200"/>
        </w:rPr>
        <w:t xml:space="preserve"> an instance of </w:t>
      </w:r>
      <w:proofErr w:type="spellStart"/>
      <w:r w:rsidR="005054B5">
        <w:rPr>
          <w:rFonts w:ascii="SFBX1200" w:hAnsi="SFBX1200" w:cs="SFBX1200"/>
        </w:rPr>
        <w:t>MDIChildViewFrame</w:t>
      </w:r>
      <w:proofErr w:type="spellEnd"/>
      <w:r w:rsidR="005054B5">
        <w:rPr>
          <w:rFonts w:ascii="SFBX1200" w:hAnsi="SFBX1200" w:cs="SFBX1200"/>
        </w:rPr>
        <w:t xml:space="preserve"> which can be managed </w:t>
      </w:r>
      <w:r>
        <w:rPr>
          <w:rFonts w:ascii="SFBX1200" w:hAnsi="SFBX1200" w:cs="SFBX1200"/>
        </w:rPr>
        <w:t>by</w:t>
      </w:r>
      <w:r w:rsidR="005054B5">
        <w:rPr>
          <w:rFonts w:ascii="SFBX1200" w:hAnsi="SFBX1200" w:cs="SFBX1200"/>
        </w:rPr>
        <w:t xml:space="preserve"> its parent </w:t>
      </w:r>
      <w:r w:rsidR="002A6C40">
        <w:rPr>
          <w:rFonts w:ascii="SFBX1200" w:hAnsi="SFBX1200" w:cs="SFBX1200"/>
        </w:rPr>
        <w:t xml:space="preserve">MDI frame - </w:t>
      </w:r>
      <w:proofErr w:type="spellStart"/>
      <w:r w:rsidR="002A6C40">
        <w:rPr>
          <w:rFonts w:ascii="SFBX1200" w:hAnsi="SFBX1200" w:cs="SFBX1200"/>
        </w:rPr>
        <w:t>GmatMainFrame</w:t>
      </w:r>
      <w:proofErr w:type="spellEnd"/>
      <w:r w:rsidR="002A6C40">
        <w:rPr>
          <w:rFonts w:ascii="SFBX1200" w:hAnsi="SFBX1200" w:cs="SFBX1200"/>
        </w:rPr>
        <w:t>. T</w:t>
      </w:r>
      <w:r>
        <w:rPr>
          <w:rFonts w:ascii="SFBX1200" w:hAnsi="SFBX1200" w:cs="SFBX1200"/>
        </w:rPr>
        <w:t xml:space="preserve">hen </w:t>
      </w:r>
      <w:r w:rsidR="002A6C40">
        <w:rPr>
          <w:rFonts w:ascii="SFBX1200" w:hAnsi="SFBX1200" w:cs="SFBX1200"/>
        </w:rPr>
        <w:t xml:space="preserve">the </w:t>
      </w:r>
      <w:proofErr w:type="spellStart"/>
      <w:r w:rsidR="005054B5">
        <w:rPr>
          <w:rFonts w:ascii="SFBX1200" w:hAnsi="SFBX1200" w:cs="SFBX1200"/>
        </w:rPr>
        <w:t>MDIChildViewFram</w:t>
      </w:r>
      <w:r w:rsidR="002A6C40">
        <w:rPr>
          <w:rFonts w:ascii="SFBX1200" w:hAnsi="SFBX1200" w:cs="SFBX1200"/>
        </w:rPr>
        <w:t>e</w:t>
      </w:r>
      <w:proofErr w:type="spellEnd"/>
      <w:r w:rsidR="002A6C40">
        <w:rPr>
          <w:rFonts w:ascii="SFBX1200" w:hAnsi="SFBX1200" w:cs="SFBX1200"/>
        </w:rPr>
        <w:t xml:space="preserve"> creates an instance of </w:t>
      </w:r>
      <w:proofErr w:type="spellStart"/>
      <w:r w:rsidR="002A6C40">
        <w:rPr>
          <w:rFonts w:ascii="SFBX1200" w:hAnsi="SFBX1200" w:cs="SFBX1200"/>
        </w:rPr>
        <w:t>GroundT</w:t>
      </w:r>
      <w:r w:rsidR="005054B5">
        <w:rPr>
          <w:rFonts w:ascii="SFBX1200" w:hAnsi="SFBX1200" w:cs="SFBX1200"/>
        </w:rPr>
        <w:t>rackCanvas</w:t>
      </w:r>
      <w:proofErr w:type="spellEnd"/>
      <w:r w:rsidR="005054B5">
        <w:rPr>
          <w:rFonts w:ascii="SFBX1200" w:hAnsi="SFBX1200" w:cs="SFBX1200"/>
        </w:rPr>
        <w:t xml:space="preserve"> where </w:t>
      </w:r>
      <w:r w:rsidR="002A6C40">
        <w:rPr>
          <w:rFonts w:ascii="SFBX1200" w:hAnsi="SFBX1200" w:cs="SFBX1200"/>
        </w:rPr>
        <w:t xml:space="preserve">the </w:t>
      </w:r>
      <w:r w:rsidR="005054B5">
        <w:rPr>
          <w:rFonts w:ascii="SFBX1200" w:hAnsi="SFBX1200" w:cs="SFBX1200"/>
        </w:rPr>
        <w:t>plot is drawn.</w:t>
      </w:r>
      <w:r w:rsidR="00685B15">
        <w:rPr>
          <w:rFonts w:ascii="SFBX1200" w:hAnsi="SFBX1200" w:cs="SFBX1200"/>
        </w:rPr>
        <w:t xml:space="preserve"> </w:t>
      </w:r>
      <w:r w:rsidR="004A3A90">
        <w:rPr>
          <w:rFonts w:ascii="SFBX1200" w:hAnsi="SFBX1200" w:cs="SFBX1200"/>
        </w:rPr>
        <w:t xml:space="preserve">Then </w:t>
      </w:r>
      <w:r w:rsidR="004A3A90">
        <w:rPr>
          <w:rFonts w:ascii="SFBX1200" w:hAnsi="SFBX1200" w:cs="SFBX1200"/>
        </w:rPr>
        <w:lastRenderedPageBreak/>
        <w:t xml:space="preserve">it sends plotting information such as central body, drawing color, texture map file, etc. to </w:t>
      </w:r>
      <w:proofErr w:type="spellStart"/>
      <w:r w:rsidR="004A3A90">
        <w:rPr>
          <w:rFonts w:ascii="SFBX1200" w:hAnsi="SFBX1200" w:cs="SFBX1200"/>
        </w:rPr>
        <w:t>GroundTrackCanvas</w:t>
      </w:r>
      <w:proofErr w:type="spellEnd"/>
      <w:r w:rsidR="004A3A90">
        <w:rPr>
          <w:rFonts w:ascii="SFBX1200" w:hAnsi="SFBX1200" w:cs="SFBX1200"/>
        </w:rPr>
        <w:t xml:space="preserve"> via </w:t>
      </w:r>
      <w:proofErr w:type="spellStart"/>
      <w:r w:rsidR="004A3A90">
        <w:rPr>
          <w:rFonts w:ascii="SFBX1200" w:hAnsi="SFBX1200" w:cs="SFBX1200"/>
        </w:rPr>
        <w:t>PlotInterface</w:t>
      </w:r>
      <w:proofErr w:type="spellEnd"/>
      <w:r w:rsidR="004A3A90">
        <w:rPr>
          <w:rFonts w:ascii="SFBX1200" w:hAnsi="SFBX1200" w:cs="SFBX1200"/>
        </w:rPr>
        <w:t>.</w:t>
      </w:r>
    </w:p>
    <w:p w:rsidR="0076680B" w:rsidRDefault="0076680B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685B15" w:rsidRDefault="00685B1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 xml:space="preserve">When </w:t>
      </w:r>
      <w:r w:rsidR="002A6C40">
        <w:rPr>
          <w:rFonts w:ascii="SFBX1200" w:hAnsi="SFBX1200" w:cs="SFBX1200"/>
        </w:rPr>
        <w:t xml:space="preserve">the </w:t>
      </w:r>
      <w:r>
        <w:rPr>
          <w:rFonts w:ascii="SFBX1200" w:hAnsi="SFBX1200" w:cs="SFBX1200"/>
        </w:rPr>
        <w:t xml:space="preserve">Sandbox executes </w:t>
      </w:r>
      <w:r w:rsidR="002A6C40">
        <w:rPr>
          <w:rFonts w:ascii="SFBX1200" w:hAnsi="SFBX1200" w:cs="SFBX1200"/>
        </w:rPr>
        <w:t xml:space="preserve">a </w:t>
      </w:r>
      <w:r>
        <w:rPr>
          <w:rFonts w:ascii="SFBX1200" w:hAnsi="SFBX1200" w:cs="SFBX1200"/>
        </w:rPr>
        <w:t xml:space="preserve">Propagate command, it publishes current states of the propagating </w:t>
      </w:r>
      <w:r w:rsidR="0080350D">
        <w:rPr>
          <w:rFonts w:ascii="SFBX1200" w:hAnsi="SFBX1200" w:cs="SFBX1200"/>
        </w:rPr>
        <w:t>spacecraft</w:t>
      </w:r>
      <w:r>
        <w:rPr>
          <w:rFonts w:ascii="SFBX1200" w:hAnsi="SFBX1200" w:cs="SFBX1200"/>
        </w:rPr>
        <w:t xml:space="preserve"> through the Publisher. The Publisher then distributes the data to </w:t>
      </w:r>
      <w:r w:rsidR="00220FDD">
        <w:rPr>
          <w:rFonts w:ascii="SFBX1200" w:hAnsi="SFBX1200" w:cs="SFBX1200"/>
        </w:rPr>
        <w:t xml:space="preserve">its known list of </w:t>
      </w:r>
      <w:r>
        <w:rPr>
          <w:rFonts w:ascii="SFBX1200" w:hAnsi="SFBX1200" w:cs="SFBX1200"/>
        </w:rPr>
        <w:t xml:space="preserve">subscribers. The 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 xml:space="preserve"> </w:t>
      </w:r>
      <w:r w:rsidR="00135170">
        <w:rPr>
          <w:rFonts w:ascii="SFBX1200" w:hAnsi="SFBX1200" w:cs="SFBX1200"/>
        </w:rPr>
        <w:t xml:space="preserve">receives </w:t>
      </w:r>
      <w:r w:rsidR="00220FDD">
        <w:rPr>
          <w:rFonts w:ascii="SFBX1200" w:hAnsi="SFBX1200" w:cs="SFBX1200"/>
        </w:rPr>
        <w:t xml:space="preserve">the </w:t>
      </w:r>
      <w:r w:rsidR="00135170">
        <w:rPr>
          <w:rFonts w:ascii="SFBX1200" w:hAnsi="SFBX1200" w:cs="SFBX1200"/>
        </w:rPr>
        <w:t>data and send</w:t>
      </w:r>
      <w:r w:rsidR="00220FDD">
        <w:rPr>
          <w:rFonts w:ascii="SFBX1200" w:hAnsi="SFBX1200" w:cs="SFBX1200"/>
        </w:rPr>
        <w:t>s</w:t>
      </w:r>
      <w:r w:rsidR="00135170">
        <w:rPr>
          <w:rFonts w:ascii="SFBX1200" w:hAnsi="SFBX1200" w:cs="SFBX1200"/>
        </w:rPr>
        <w:t xml:space="preserve"> it to </w:t>
      </w:r>
      <w:r w:rsidR="00220FDD">
        <w:rPr>
          <w:rFonts w:ascii="SFBX1200" w:hAnsi="SFBX1200" w:cs="SFBX1200"/>
        </w:rPr>
        <w:t xml:space="preserve">the </w:t>
      </w:r>
      <w:proofErr w:type="spellStart"/>
      <w:r w:rsidR="00135170">
        <w:rPr>
          <w:rFonts w:ascii="SFBX1200" w:hAnsi="SFBX1200" w:cs="SFBX1200"/>
        </w:rPr>
        <w:t>GroundTrackCanvas</w:t>
      </w:r>
      <w:proofErr w:type="spellEnd"/>
      <w:r w:rsidR="00135170">
        <w:rPr>
          <w:rFonts w:ascii="SFBX1200" w:hAnsi="SFBX1200" w:cs="SFBX1200"/>
        </w:rPr>
        <w:t xml:space="preserve"> for drawing.</w:t>
      </w:r>
    </w:p>
    <w:p w:rsidR="00A704F8" w:rsidRDefault="00A704F8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A704F8" w:rsidRDefault="00A704F8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135170" w:rsidRPr="00DF4368" w:rsidRDefault="003E3C41" w:rsidP="00DF4368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  <w:noProof/>
        </w:rPr>
        <w:drawing>
          <wp:inline distT="0" distB="0" distL="0" distR="0">
            <wp:extent cx="5943600" cy="2618740"/>
            <wp:effectExtent l="19050" t="0" r="0" b="0"/>
            <wp:docPr id="18" name="Picture 17" descr="GroundTrackCanvasInit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CanvasInitSD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B5" w:rsidRDefault="00135170" w:rsidP="00135170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C7FB4">
          <w:rPr>
            <w:noProof/>
          </w:rPr>
          <w:t>5</w:t>
        </w:r>
      </w:fldSimple>
    </w:p>
    <w:p w:rsidR="005D6205" w:rsidRDefault="005D620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D6205" w:rsidRDefault="005D620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 xml:space="preserve">The figure 6 shows how incoming data to 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>::</w:t>
      </w:r>
      <w:proofErr w:type="gramStart"/>
      <w:r>
        <w:rPr>
          <w:rFonts w:ascii="SFBX1200" w:hAnsi="SFBX1200" w:cs="SFBX1200"/>
        </w:rPr>
        <w:t>Distribute(</w:t>
      </w:r>
      <w:proofErr w:type="gramEnd"/>
      <w:r>
        <w:rPr>
          <w:rFonts w:ascii="SFBX1200" w:hAnsi="SFBX1200" w:cs="SFBX1200"/>
        </w:rPr>
        <w:t xml:space="preserve">) is processed and passed to the drawing canvas through </w:t>
      </w:r>
      <w:proofErr w:type="spellStart"/>
      <w:r>
        <w:rPr>
          <w:rFonts w:ascii="SFBX1200" w:hAnsi="SFBX1200" w:cs="SFBX1200"/>
        </w:rPr>
        <w:t>PlotInterface</w:t>
      </w:r>
      <w:proofErr w:type="spellEnd"/>
      <w:r>
        <w:rPr>
          <w:rFonts w:ascii="SFBX1200" w:hAnsi="SFBX1200" w:cs="SFBX1200"/>
        </w:rPr>
        <w:t>.</w:t>
      </w:r>
    </w:p>
    <w:p w:rsidR="005D6205" w:rsidRDefault="005D620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E820BC" w:rsidRDefault="00AC74F7" w:rsidP="00E820BC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061970"/>
            <wp:effectExtent l="19050" t="0" r="0" b="0"/>
            <wp:docPr id="10" name="Picture 9" descr="GroundTrackPlot_Distribute_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_Distribute_A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B5" w:rsidRDefault="00E820BC" w:rsidP="00E820BC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C7FB4">
          <w:rPr>
            <w:noProof/>
          </w:rPr>
          <w:t>6</w:t>
        </w:r>
      </w:fldSimple>
    </w:p>
    <w:p w:rsidR="00E820BC" w:rsidRDefault="005D620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lastRenderedPageBreak/>
        <w:t xml:space="preserve">The figure 7 shows how solver iteration data is processed and passed to drawing canvas through </w:t>
      </w:r>
      <w:proofErr w:type="spellStart"/>
      <w:r>
        <w:rPr>
          <w:rFonts w:ascii="SFBX1200" w:hAnsi="SFBX1200" w:cs="SFBX1200"/>
        </w:rPr>
        <w:t>PlotInterface</w:t>
      </w:r>
      <w:proofErr w:type="spellEnd"/>
      <w:r>
        <w:rPr>
          <w:rFonts w:ascii="SFBX1200" w:hAnsi="SFBX1200" w:cs="SFBX1200"/>
        </w:rPr>
        <w:t>.</w:t>
      </w:r>
    </w:p>
    <w:p w:rsidR="00E820BC" w:rsidRDefault="00E820BC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E820BC" w:rsidRDefault="00E820BC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0C39B5" w:rsidRDefault="00AC74F7" w:rsidP="00E820BC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212850"/>
            <wp:effectExtent l="19050" t="0" r="0" b="0"/>
            <wp:docPr id="12" name="Picture 11" descr="GroundTrackPlot_UpdateSolverData_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_UpdateSolverData_A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BC" w:rsidRDefault="00E820BC" w:rsidP="00E820BC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C7FB4">
          <w:rPr>
            <w:noProof/>
          </w:rPr>
          <w:t>7</w:t>
        </w:r>
      </w:fldSimple>
    </w:p>
    <w:p w:rsidR="00135170" w:rsidRDefault="00135170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0C39B5" w:rsidRDefault="000C39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524B5" w:rsidRDefault="00FC157F" w:rsidP="00FC15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>Plotting</w:t>
      </w:r>
    </w:p>
    <w:p w:rsidR="00FC157F" w:rsidRDefault="00FC157F" w:rsidP="00FC157F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FC157F" w:rsidRDefault="004A3A90" w:rsidP="00FC157F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 xml:space="preserve">When </w:t>
      </w:r>
      <w:r w:rsidR="00FC391F">
        <w:rPr>
          <w:rFonts w:ascii="SFBX1200" w:hAnsi="SFBX1200" w:cs="SFBX1200"/>
        </w:rPr>
        <w:t xml:space="preserve">the </w:t>
      </w:r>
      <w:proofErr w:type="spellStart"/>
      <w:r>
        <w:rPr>
          <w:rFonts w:ascii="SFBX1200" w:hAnsi="SFBX1200" w:cs="SFBX1200"/>
        </w:rPr>
        <w:t>GroundTrackCanvas</w:t>
      </w:r>
      <w:proofErr w:type="spellEnd"/>
      <w:r>
        <w:rPr>
          <w:rFonts w:ascii="SFBX1200" w:hAnsi="SFBX1200" w:cs="SFBX1200"/>
        </w:rPr>
        <w:t xml:space="preserve"> EVT_PAINT event is triggered the canvas checks if GL is initialized or not.  If not initialized</w:t>
      </w:r>
      <w:r w:rsidR="00FC391F">
        <w:rPr>
          <w:rFonts w:ascii="SFBX1200" w:hAnsi="SFBX1200" w:cs="SFBX1200"/>
        </w:rPr>
        <w:t>,</w:t>
      </w:r>
      <w:r>
        <w:rPr>
          <w:rFonts w:ascii="SFBX1200" w:hAnsi="SFBX1200" w:cs="SFBX1200"/>
        </w:rPr>
        <w:t xml:space="preserve"> it calls </w:t>
      </w:r>
      <w:proofErr w:type="spellStart"/>
      <w:proofErr w:type="gramStart"/>
      <w:r>
        <w:rPr>
          <w:rFonts w:ascii="SFBX1200" w:hAnsi="SFBX1200" w:cs="SFBX1200"/>
        </w:rPr>
        <w:t>InitOpenGL</w:t>
      </w:r>
      <w:proofErr w:type="spellEnd"/>
      <w:r>
        <w:rPr>
          <w:rFonts w:ascii="SFBX1200" w:hAnsi="SFBX1200" w:cs="SFBX1200"/>
        </w:rPr>
        <w:t>(</w:t>
      </w:r>
      <w:proofErr w:type="gramEnd"/>
      <w:r>
        <w:rPr>
          <w:rFonts w:ascii="SFBX1200" w:hAnsi="SFBX1200" w:cs="SFBX1200"/>
        </w:rPr>
        <w:t xml:space="preserve">) to initialize GL and load textures from texture map file. </w:t>
      </w:r>
      <w:r w:rsidR="00636F86">
        <w:rPr>
          <w:rFonts w:ascii="SFBX1200" w:hAnsi="SFBX1200" w:cs="SFBX1200"/>
        </w:rPr>
        <w:t>During the execution of the command sequence, t</w:t>
      </w:r>
      <w:r>
        <w:rPr>
          <w:rFonts w:ascii="SFBX1200" w:hAnsi="SFBX1200" w:cs="SFBX1200"/>
        </w:rPr>
        <w:t xml:space="preserve">he base subscriber 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 xml:space="preserve"> collects data distributed via the Publisher and send</w:t>
      </w:r>
      <w:r w:rsidR="00FC391F">
        <w:rPr>
          <w:rFonts w:ascii="SFBX1200" w:hAnsi="SFBX1200" w:cs="SFBX1200"/>
        </w:rPr>
        <w:t>s</w:t>
      </w:r>
      <w:r>
        <w:rPr>
          <w:rFonts w:ascii="SFBX1200" w:hAnsi="SFBX1200" w:cs="SFBX1200"/>
        </w:rPr>
        <w:t xml:space="preserve"> them to </w:t>
      </w:r>
      <w:r w:rsidR="00FC391F">
        <w:rPr>
          <w:rFonts w:ascii="SFBX1200" w:hAnsi="SFBX1200" w:cs="SFBX1200"/>
        </w:rPr>
        <w:t xml:space="preserve">the </w:t>
      </w:r>
      <w:proofErr w:type="spellStart"/>
      <w:r>
        <w:rPr>
          <w:rFonts w:ascii="SFBX1200" w:hAnsi="SFBX1200" w:cs="SFBX1200"/>
        </w:rPr>
        <w:t>GroundTrackCanvas</w:t>
      </w:r>
      <w:proofErr w:type="spellEnd"/>
      <w:r>
        <w:rPr>
          <w:rFonts w:ascii="SFBX1200" w:hAnsi="SFBX1200" w:cs="SFBX1200"/>
        </w:rPr>
        <w:t xml:space="preserve"> base</w:t>
      </w:r>
      <w:r w:rsidR="00636F86">
        <w:rPr>
          <w:rFonts w:ascii="SFBX1200" w:hAnsi="SFBX1200" w:cs="SFBX1200"/>
        </w:rPr>
        <w:t>d</w:t>
      </w:r>
      <w:r>
        <w:rPr>
          <w:rFonts w:ascii="SFBX1200" w:hAnsi="SFBX1200" w:cs="SFBX1200"/>
        </w:rPr>
        <w:t xml:space="preserve"> on the user specified </w:t>
      </w:r>
      <w:r w:rsidR="00636F86">
        <w:rPr>
          <w:rFonts w:ascii="SFBX1200" w:hAnsi="SFBX1200" w:cs="SFBX1200"/>
        </w:rPr>
        <w:t xml:space="preserve">sampling </w:t>
      </w:r>
      <w:r>
        <w:rPr>
          <w:rFonts w:ascii="SFBX1200" w:hAnsi="SFBX1200" w:cs="SFBX1200"/>
        </w:rPr>
        <w:t xml:space="preserve">rate. </w:t>
      </w:r>
      <w:r w:rsidR="00636F86">
        <w:rPr>
          <w:rFonts w:ascii="SFBX1200" w:hAnsi="SFBX1200" w:cs="SFBX1200"/>
        </w:rPr>
        <w:t xml:space="preserve">When it is time to update </w:t>
      </w:r>
      <w:r w:rsidR="00FC391F">
        <w:rPr>
          <w:rFonts w:ascii="SFBX1200" w:hAnsi="SFBX1200" w:cs="SFBX1200"/>
        </w:rPr>
        <w:t xml:space="preserve">the </w:t>
      </w:r>
      <w:r w:rsidR="00636F86">
        <w:rPr>
          <w:rFonts w:ascii="SFBX1200" w:hAnsi="SFBX1200" w:cs="SFBX1200"/>
        </w:rPr>
        <w:t xml:space="preserve">plot, based on </w:t>
      </w:r>
      <w:r w:rsidR="00FC391F">
        <w:rPr>
          <w:rFonts w:ascii="SFBX1200" w:hAnsi="SFBX1200" w:cs="SFBX1200"/>
        </w:rPr>
        <w:t xml:space="preserve">the </w:t>
      </w:r>
      <w:r w:rsidR="00636F86">
        <w:rPr>
          <w:rFonts w:ascii="SFBX1200" w:hAnsi="SFBX1200" w:cs="SFBX1200"/>
        </w:rPr>
        <w:t xml:space="preserve">user specified update plot rate, it sends </w:t>
      </w:r>
      <w:r w:rsidR="00FC391F">
        <w:rPr>
          <w:rFonts w:ascii="SFBX1200" w:hAnsi="SFBX1200" w:cs="SFBX1200"/>
        </w:rPr>
        <w:t xml:space="preserve">a </w:t>
      </w:r>
      <w:r w:rsidR="00636F86">
        <w:rPr>
          <w:rFonts w:ascii="SFBX1200" w:hAnsi="SFBX1200" w:cs="SFBX1200"/>
        </w:rPr>
        <w:t xml:space="preserve">signal to </w:t>
      </w:r>
      <w:proofErr w:type="spellStart"/>
      <w:r w:rsidR="00636F86">
        <w:rPr>
          <w:rFonts w:ascii="SFBX1200" w:hAnsi="SFBX1200" w:cs="SFBX1200"/>
        </w:rPr>
        <w:t>PlotInterface</w:t>
      </w:r>
      <w:proofErr w:type="spellEnd"/>
      <w:r w:rsidR="00636F86">
        <w:rPr>
          <w:rFonts w:ascii="SFBX1200" w:hAnsi="SFBX1200" w:cs="SFBX1200"/>
        </w:rPr>
        <w:t xml:space="preserve"> and then to </w:t>
      </w:r>
      <w:proofErr w:type="spellStart"/>
      <w:r w:rsidR="00636F86">
        <w:rPr>
          <w:rFonts w:ascii="SFBX1200" w:hAnsi="SFBX1200" w:cs="SFBX1200"/>
        </w:rPr>
        <w:t>MDIChildGroundTrackFrame</w:t>
      </w:r>
      <w:proofErr w:type="spellEnd"/>
      <w:r w:rsidR="00636F86">
        <w:rPr>
          <w:rFonts w:ascii="SFBX1200" w:hAnsi="SFBX1200" w:cs="SFBX1200"/>
        </w:rPr>
        <w:t xml:space="preserve"> to update the canvas. Then the canvas redraws the plot.</w:t>
      </w:r>
    </w:p>
    <w:p w:rsidR="00787E49" w:rsidRDefault="00787E49" w:rsidP="00FC157F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87E49" w:rsidRDefault="00787E49" w:rsidP="00FC157F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873F43" w:rsidRDefault="00873F43" w:rsidP="00636F86">
      <w:pPr>
        <w:keepNext/>
        <w:autoSpaceDE w:val="0"/>
        <w:autoSpaceDN w:val="0"/>
        <w:adjustRightInd w:val="0"/>
        <w:spacing w:after="0" w:line="240" w:lineRule="auto"/>
        <w:rPr>
          <w:rFonts w:ascii="SFBX1200" w:hAnsi="SFBX1200" w:cs="SFBX1200"/>
          <w:noProof/>
        </w:rPr>
      </w:pPr>
    </w:p>
    <w:p w:rsidR="00873F43" w:rsidRDefault="001B03F1" w:rsidP="00636F86">
      <w:pPr>
        <w:keepNext/>
        <w:autoSpaceDE w:val="0"/>
        <w:autoSpaceDN w:val="0"/>
        <w:adjustRightInd w:val="0"/>
        <w:spacing w:after="0" w:line="240" w:lineRule="auto"/>
        <w:rPr>
          <w:rFonts w:ascii="SFBX1200" w:hAnsi="SFBX1200" w:cs="SFBX1200"/>
          <w:noProof/>
        </w:rPr>
      </w:pPr>
      <w:r>
        <w:rPr>
          <w:rFonts w:ascii="SFBX1200" w:hAnsi="SFBX1200" w:cs="SFBX1200"/>
          <w:noProof/>
        </w:rPr>
        <w:drawing>
          <wp:inline distT="0" distB="0" distL="0" distR="0">
            <wp:extent cx="5581650" cy="838200"/>
            <wp:effectExtent l="19050" t="0" r="0" b="0"/>
            <wp:docPr id="13" name="Picture 12" descr="GroundTrackCanvas_Initialize_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Canvas_Initialize_A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B5" w:rsidRDefault="00636F86" w:rsidP="00636F86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C7FB4">
          <w:rPr>
            <w:noProof/>
          </w:rPr>
          <w:t>8</w:t>
        </w:r>
      </w:fldSimple>
    </w:p>
    <w:p w:rsidR="007B1961" w:rsidRDefault="007B1961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B1961" w:rsidRDefault="007B1961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524B5" w:rsidRDefault="005524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AC7FB4" w:rsidRDefault="001B03F1" w:rsidP="00AC7FB4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drawing>
          <wp:inline distT="0" distB="0" distL="0" distR="0">
            <wp:extent cx="4533900" cy="1981200"/>
            <wp:effectExtent l="19050" t="0" r="0" b="0"/>
            <wp:docPr id="14" name="Picture 13" descr="GroundTrackCanvas_UpdatePlot_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Canvas_UpdatePlot_A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B5" w:rsidRDefault="00AC7FB4" w:rsidP="00AC7FB4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</w:p>
    <w:p w:rsidR="005524B5" w:rsidRDefault="005524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AC7FB4" w:rsidRDefault="00AC7FB4" w:rsidP="00AC7FB4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drawing>
          <wp:inline distT="0" distB="0" distL="0" distR="0">
            <wp:extent cx="5943600" cy="977900"/>
            <wp:effectExtent l="19050" t="0" r="0" b="0"/>
            <wp:docPr id="15" name="Picture 14" descr="GroundTrackCanvas_OnPaint_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Canvas_OnPaint_A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B5" w:rsidRDefault="00AC7FB4" w:rsidP="00AC7FB4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p w:rsidR="00AC7FB4" w:rsidRDefault="00AC7FB4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AC7FB4" w:rsidRDefault="00AC7FB4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AC7FB4" w:rsidRDefault="00AC7FB4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057E7A" w:rsidRDefault="00693CBA" w:rsidP="00057E7A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drawing>
          <wp:inline distT="0" distB="0" distL="0" distR="0">
            <wp:extent cx="5943600" cy="2835910"/>
            <wp:effectExtent l="19050" t="0" r="0" b="0"/>
            <wp:docPr id="20" name="Picture 19" descr="GroundTrackCanvasDraw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CanvasDrawAD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B5" w:rsidRDefault="00057E7A" w:rsidP="00057E7A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C7FB4">
          <w:rPr>
            <w:noProof/>
          </w:rPr>
          <w:t>11</w:t>
        </w:r>
      </w:fldSimple>
    </w:p>
    <w:p w:rsidR="005524B5" w:rsidRDefault="005524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524B5" w:rsidRDefault="005524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524B5" w:rsidRDefault="005524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E82E49" w:rsidRDefault="00E82E49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E82E49" w:rsidRDefault="00E82E49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693CBA" w:rsidRDefault="00693CBA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1B03F1" w:rsidRDefault="001B03F1" w:rsidP="001B03F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>User interaction with the plot</w:t>
      </w:r>
    </w:p>
    <w:p w:rsidR="001B03F1" w:rsidRDefault="001B03F1" w:rsidP="001B03F1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1B03F1" w:rsidRDefault="001B03F1" w:rsidP="001B03F1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>To be designed at the next iteration.</w:t>
      </w:r>
    </w:p>
    <w:p w:rsidR="001B03F1" w:rsidRDefault="001B03F1" w:rsidP="001B03F1">
      <w:pPr>
        <w:keepNext/>
        <w:autoSpaceDE w:val="0"/>
        <w:autoSpaceDN w:val="0"/>
        <w:adjustRightInd w:val="0"/>
        <w:spacing w:after="0" w:line="240" w:lineRule="auto"/>
        <w:rPr>
          <w:rFonts w:ascii="SFBX1200" w:hAnsi="SFBX1200" w:cs="SFBX1200"/>
          <w:noProof/>
        </w:rPr>
      </w:pPr>
    </w:p>
    <w:p w:rsidR="00693CBA" w:rsidRPr="0076680B" w:rsidRDefault="00693CBA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sectPr w:rsidR="00693CBA" w:rsidRPr="0076680B" w:rsidSect="005E3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FBX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FBX1200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1000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D77F1"/>
    <w:multiLevelType w:val="hybridMultilevel"/>
    <w:tmpl w:val="C764D3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E896F2C"/>
    <w:multiLevelType w:val="hybridMultilevel"/>
    <w:tmpl w:val="06646E46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E14366E"/>
    <w:multiLevelType w:val="hybridMultilevel"/>
    <w:tmpl w:val="3404D280"/>
    <w:lvl w:ilvl="0" w:tplc="C5169394">
      <w:start w:val="1"/>
      <w:numFmt w:val="decimal"/>
      <w:lvlText w:val="%1."/>
      <w:lvlJc w:val="left"/>
      <w:pPr>
        <w:ind w:left="720" w:hanging="360"/>
      </w:pPr>
      <w:rPr>
        <w:rFonts w:ascii="SFBX1000" w:hAnsi="SFBX1000" w:cs="SFBX1000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E0CD8"/>
    <w:rsid w:val="00057E7A"/>
    <w:rsid w:val="000B70FC"/>
    <w:rsid w:val="000C39B5"/>
    <w:rsid w:val="00135170"/>
    <w:rsid w:val="0014170E"/>
    <w:rsid w:val="001B03F1"/>
    <w:rsid w:val="001B5FB8"/>
    <w:rsid w:val="001D3821"/>
    <w:rsid w:val="001E4F20"/>
    <w:rsid w:val="00220FDD"/>
    <w:rsid w:val="002930F2"/>
    <w:rsid w:val="002A6C40"/>
    <w:rsid w:val="00351092"/>
    <w:rsid w:val="003E3C41"/>
    <w:rsid w:val="004A3A90"/>
    <w:rsid w:val="004E3B78"/>
    <w:rsid w:val="005054B5"/>
    <w:rsid w:val="0052376A"/>
    <w:rsid w:val="005524B5"/>
    <w:rsid w:val="00597BEE"/>
    <w:rsid w:val="005B63E2"/>
    <w:rsid w:val="005D6205"/>
    <w:rsid w:val="005E3CEF"/>
    <w:rsid w:val="00625C83"/>
    <w:rsid w:val="00636F86"/>
    <w:rsid w:val="00685B15"/>
    <w:rsid w:val="00693CBA"/>
    <w:rsid w:val="007040C0"/>
    <w:rsid w:val="00723514"/>
    <w:rsid w:val="0076680B"/>
    <w:rsid w:val="00787E49"/>
    <w:rsid w:val="007B1961"/>
    <w:rsid w:val="0080350D"/>
    <w:rsid w:val="008541A9"/>
    <w:rsid w:val="00873F43"/>
    <w:rsid w:val="00886509"/>
    <w:rsid w:val="008C70DD"/>
    <w:rsid w:val="00903A7E"/>
    <w:rsid w:val="00920CDC"/>
    <w:rsid w:val="0096053F"/>
    <w:rsid w:val="009C309F"/>
    <w:rsid w:val="009C4531"/>
    <w:rsid w:val="00A704F8"/>
    <w:rsid w:val="00A958BC"/>
    <w:rsid w:val="00AB05D6"/>
    <w:rsid w:val="00AC74F7"/>
    <w:rsid w:val="00AC7FB4"/>
    <w:rsid w:val="00B018CA"/>
    <w:rsid w:val="00B6393E"/>
    <w:rsid w:val="00BD1E83"/>
    <w:rsid w:val="00C30A08"/>
    <w:rsid w:val="00CC5A73"/>
    <w:rsid w:val="00D932C6"/>
    <w:rsid w:val="00DF4368"/>
    <w:rsid w:val="00E012F0"/>
    <w:rsid w:val="00E02450"/>
    <w:rsid w:val="00E038AD"/>
    <w:rsid w:val="00E820BC"/>
    <w:rsid w:val="00E82E49"/>
    <w:rsid w:val="00E96839"/>
    <w:rsid w:val="00F20EB9"/>
    <w:rsid w:val="00F3007A"/>
    <w:rsid w:val="00F3186C"/>
    <w:rsid w:val="00F34847"/>
    <w:rsid w:val="00F51F3F"/>
    <w:rsid w:val="00FC157F"/>
    <w:rsid w:val="00FC391F"/>
    <w:rsid w:val="00FE0C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C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CD8"/>
    <w:pPr>
      <w:ind w:left="720"/>
      <w:contextualSpacing/>
    </w:pPr>
  </w:style>
  <w:style w:type="table" w:styleId="TableGrid">
    <w:name w:val="Table Grid"/>
    <w:basedOn w:val="TableNormal"/>
    <w:uiPriority w:val="59"/>
    <w:rsid w:val="007235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70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0D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C70DD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3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6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NASA/ODIN</Company>
  <LinksUpToDate>false</LinksUpToDate>
  <CharactersWithSpaces>4356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ljun</dc:creator>
  <cp:lastModifiedBy>ljun</cp:lastModifiedBy>
  <cp:revision>37</cp:revision>
  <cp:lastPrinted>2011-05-19T21:36:00Z</cp:lastPrinted>
  <dcterms:created xsi:type="dcterms:W3CDTF">2011-05-17T19:24:00Z</dcterms:created>
  <dcterms:modified xsi:type="dcterms:W3CDTF">2011-05-26T18:50:00Z</dcterms:modified>
</cp:coreProperties>
</file>