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body>
    <w:p>
      <w:pPr>
        <w:jc w:val="center"/>
      </w:pPr>
      <w:r>
        <w:rPr>
          <w:rFonts w:ascii="Aptos Display" w:hAnsi="Aptos Display"/>
          <w:b/>
          <w:sz w:val="40"/>
        </w:rPr>
        <w:t>Two-Week Workplan</w:t>
      </w:r>
    </w:p>
    <w:p>
      <w:pPr>
        <w:jc w:val="center"/>
      </w:pPr>
      <w:r>
        <w:rPr>
          <w:sz w:val="22"/>
        </w:rPr>
        <w:t>Separate RSI Article/Thesis Package and Minimum Real-Hardware UI Development</w:t>
        <w:br/>
        <w:t>June 12-25, 2026</w:t>
      </w:r>
    </w:p>
    <w:p>
      <w:pPr>
        <w:pStyle w:val="Heading1"/>
      </w:pPr>
      <w:r>
        <w:t>Objective and separation rule</w:t>
      </w:r>
    </w:p>
    <w:p>
      <w:r>
        <w:rPr>
          <w:b/>
        </w:rPr>
        <w:t>Objective:</w:t>
      </w:r>
      <w:r>
        <w:t xml:space="preserve"> by June 25, have a coauthor-review-ready Review of Scientific Instruments article package in the Thesis Article 1 location, plus only the minimum real-hardware UI/instrument-control capability needed to acquire, log, and reproduce the article evidence. The RSI article and thesis materials are not part of the UI project scaffold.</w:t>
      </w:r>
    </w:p>
    <w:p>
      <w:r>
        <w:rPr>
          <w:b/>
        </w:rPr>
        <w:t>Separation rule:</w:t>
      </w:r>
      <w:r>
        <w:t xml:space="preserve"> the UI repository contains control code, configuration access, recipes, calibration data, runs, logs, and manifests only. The RSI draft, figures, tables, supplement, cover letter, thesis notes, and article-specific analysis outputs live only in the Article 1 RSI folder below.</w:t>
      </w:r>
    </w:p>
    <w:p>
      <w:pPr>
        <w:pStyle w:val="Heading1"/>
      </w:pPr>
      <w:r>
        <w:t>Fixed Article 1 RSI locations</w:t>
      </w:r>
    </w:p>
    <w:p>
      <w:r>
        <w:rPr>
          <w:b/>
        </w:rPr>
        <w:t xml:space="preserve">Draft file: </w:t>
      </w:r>
      <w:r>
        <w:rPr>
          <w:rFonts w:ascii="Consolas" w:hAnsi="Consolas" w:eastAsia="Consolas"/>
          <w:sz w:val="18"/>
        </w:rPr>
        <w:t>C:\Users\Chris\Documents\UC Davis\SETI\Thesis\Article 1 - Review of Scientific Instruments\&lt;RSI_draft_v#.docx&gt;</w:t>
      </w:r>
    </w:p>
    <w:p>
      <w:r>
        <w:rPr>
          <w:b/>
        </w:rPr>
        <w:t xml:space="preserve">Figures folder: </w:t>
      </w:r>
      <w:r>
        <w:rPr>
          <w:rFonts w:ascii="Consolas" w:hAnsi="Consolas" w:eastAsia="Consolas"/>
          <w:sz w:val="18"/>
        </w:rPr>
        <w:t>C:\Users\Chris\Documents\UC Davis\SETI\Thesis\Article 1 - Review of Scientific Instruments\Figures</w:t>
      </w:r>
    </w:p>
    <w:p>
      <w:r>
        <w:rPr>
          <w:b/>
        </w:rPr>
        <w:t xml:space="preserve">Tables folder: </w:t>
      </w:r>
      <w:r>
        <w:rPr>
          <w:rFonts w:ascii="Consolas" w:hAnsi="Consolas" w:eastAsia="Consolas"/>
          <w:sz w:val="18"/>
        </w:rPr>
        <w:t>C:\Users\Chris\Documents\UC Davis\SETI\Thesis\Article 1 - Review of Scientific Instruments\Tables</w:t>
      </w:r>
    </w:p>
    <w:p>
      <w:r>
        <w:t>Use these paths directly in the workplan. Do not create an article, thesis, manuscript, figures, tables, or supplement directory inside the UI/instrument-control repository.</w:t>
      </w:r>
    </w:p>
    <w:p>
      <w:pPr>
        <w:pStyle w:val="Heading1"/>
      </w:pPr>
      <w:r>
        <w:t>Operating assumptions</w:t>
      </w:r>
    </w:p>
    <w:p>
      <w:pPr>
        <w:pStyle w:val="ListBullet"/>
      </w:pPr>
      <w:r>
        <w:t>hardware_configuration.yaml already exists and remains the source of truth for ports, baud rates, communication protocols, device IDs, signal names, T660 channel assignments, direct timing routes, MUX route identity, and acquisition-channel capability contracts. Scenario-specific PicoScope capture settings live in editable recipe/profile files that are hashed and recorded in run manifests. This plan reads and hashes the hardware configuration; it does not recreate it.</w:t>
      </w:r>
    </w:p>
    <w:p>
      <w:pPr>
        <w:pStyle w:val="ListBullet"/>
      </w:pPr>
      <w:r>
        <w:t>Both T660 units have already been confirmed to control the laser and HF2LI timing paths. The work starts from reproducible real-hardware operation, measured calibration, logging, and article evidence.</w:t>
      </w:r>
    </w:p>
    <w:p>
      <w:pPr>
        <w:pStyle w:val="ListBullet"/>
      </w:pPr>
      <w:r>
        <w:t>No fake device models, simulator backends, stub data streams, demo modes, synthetic traces, or artificial device responses are used. If a device is unavailable, the corresponding deliverable is marked blocked rather than passed.</w:t>
      </w:r>
    </w:p>
    <w:p>
      <w:pPr>
        <w:pStyle w:val="ListBullet"/>
      </w:pPr>
      <w:r>
        <w:t>Safe no-emission states, shutters, beam blocks, disabled outputs, terminators, and status-only hardware queries may be used. These remain real-hardware checks.</w:t>
      </w:r>
    </w:p>
    <w:p>
      <w:r>
        <w:t>The UI is developed only to the point needed for submission evidence: real device status, configuration loading, timing recipe application/readback, independent Arduino MUX diagnostics, independent PicoScope settings/capture checks, HF2LI acquisition, MIRcat/QCL state handling, a controlled pump-probe run, emergency stop, and run manifests. The final UI target is a packaged Windows desktop application composed from independent device widgets tied together by workflow routines; Day 5 widgets must be foldable into that unified interface with minimal refactoring.</w:t>
      </w:r>
    </w:p>
    <w:p>
      <w:pPr>
        <w:pStyle w:val="ListBullet"/>
      </w:pPr>
      <w:r>
        <w:t>After the workflow interface is frozen, UI development is add-only: new pages, recipes, devices, and plots may be added, but existing callbacks are not rewritten into direct hardware calls.</w:t>
      </w:r>
    </w:p>
    <w:p>
      <w:pPr>
        <w:pStyle w:val="Heading1"/>
      </w:pPr>
      <w:r>
        <w:t>Non-negotiable implementation rules</w:t>
      </w:r>
    </w:p>
    <w:p>
      <w:r>
        <w:t>No UI callback or device widget calls an SDK, serial port, TCP socket, or LabOne node directly. UI callbacks and widgets dispatch named workflow commands only.</w:t>
      </w:r>
    </w:p>
    <w:p>
      <w:pPr>
        <w:pStyle w:val="ListBullet"/>
      </w:pPr>
      <w:r>
        <w:t>No workflow proceeds unless hardware_configuration.yaml has been loaded, hashed, and stored in the run manifest.</w:t>
      </w:r>
    </w:p>
    <w:p>
      <w:pPr>
        <w:pStyle w:val="ListBullet"/>
      </w:pPr>
      <w:r>
        <w:t>No scan proceeds if a required real device handshake fails, a route is undefined in the configuration, or an interlock/status check is unresolved.</w:t>
      </w:r>
    </w:p>
    <w:p>
      <w:pPr>
        <w:pStyle w:val="ListBullet"/>
      </w:pPr>
      <w:r>
        <w:t>Derived UI/control files stay beside the configuration or run data, not inside the hardware configuration: timing_offsets.yaml, scan_recipes.yaml, hf2li_presets.yaml, ui_defaults.yaml, run_manifest.json, command logs, and raw data files.</w:t>
      </w:r>
    </w:p>
    <w:p>
      <w:pPr>
        <w:pStyle w:val="ListBullet"/>
      </w:pPr>
      <w:r>
        <w:t>Article-specific files are external: manuscript drafts, exported figures, exported tables, supplement drafts, cover letters, claim tables, and source-data index files go under the Article 1 RSI path only.</w:t>
      </w:r>
    </w:p>
    <w:p>
      <w:pPr>
        <w:pStyle w:val="ListBullet"/>
      </w:pPr>
      <w:r>
        <w:t>Every data-producing action writes raw data, a machine-readable summary, a human-readable log, and the exact configuration hash used for that action.</w:t>
      </w:r>
    </w:p>
    <w:p>
      <w:pPr>
        <w:pStyle w:val="ListBullet"/>
      </w:pPr>
      <w:r>
        <w:t>The RSI article uses only values that can be traced from a figure or table cell to raw data and a run manifest.</w:t>
      </w:r>
    </w:p>
    <w:p>
      <w:pPr>
        <w:pStyle w:val="Heading1"/>
      </w:pPr>
      <w:r>
        <w:t>Allowed UI project scaffold</w:t>
      </w:r>
    </w:p>
    <w:p>
      <w:r>
        <w:t>Create or verify only the following directories in the UI/instrument-control project. Do not add manuscript, article, thesis, supplement, figures, tables, or review folders to this scaffold.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56"/>
        <w:gridCol w:w="5256"/>
      </w:tblGrid>
      <w:tr>
        <w:trPr>
          <w:tblHeader w:val="true"/>
        </w:trPr>
        <w:tc>
          <w:tcPr>
            <w:tcW w:type="dxa" w:w="5256"/>
            <w:vAlign w:val="top"/>
            <w:shd w:fill="D9EAF7"/>
          </w:tcPr>
          <w:p>
            <w:r/>
            <w:r>
              <w:rPr>
                <w:b/>
                <w:sz w:val="17"/>
              </w:rPr>
              <w:t>Allowed UI/control path</w:t>
            </w:r>
          </w:p>
        </w:tc>
        <w:tc>
          <w:tcPr>
            <w:tcW w:type="dxa" w:w="5256"/>
            <w:vAlign w:val="top"/>
            <w:shd w:fill="D9EAF7"/>
          </w:tcPr>
          <w:p>
            <w:r/>
            <w:r>
              <w:rPr>
                <w:b/>
                <w:sz w:val="17"/>
              </w:rPr>
              <w:t>Purpose</w:t>
            </w:r>
          </w:p>
        </w:tc>
      </w:tr>
      <w:tr>
        <w:tc>
          <w:tcPr>
            <w:tcW w:type="dxa" w:w="5256"/>
            <w:vAlign w:val="top"/>
          </w:tcPr>
          <w:p>
            <w:r/>
            <w:r>
              <w:rPr>
                <w:b w:val="0"/>
                <w:sz w:val="16"/>
              </w:rPr>
              <w:t>control_app/</w:t>
            </w:r>
          </w:p>
        </w:tc>
        <w:tc>
          <w:tcPr>
            <w:tcW w:type="dxa" w:w="5256"/>
            <w:vAlign w:val="top"/>
          </w:tcPr>
          <w:p>
            <w:r/>
            <w:r>
              <w:rPr>
                <w:b w:val="0"/>
                <w:sz w:val="16"/>
              </w:rPr>
              <w:t>Application source package only.</w:t>
            </w:r>
          </w:p>
        </w:tc>
      </w:tr>
      <w:tr>
        <w:tc>
          <w:tcPr>
            <w:tcW w:type="dxa" w:w="5256"/>
            <w:vAlign w:val="top"/>
          </w:tcPr>
          <w:p>
            <w:r/>
            <w:r>
              <w:rPr>
                <w:b w:val="0"/>
                <w:sz w:val="16"/>
              </w:rPr>
              <w:t>control_app/devices/</w:t>
            </w:r>
          </w:p>
        </w:tc>
        <w:tc>
          <w:tcPr>
            <w:tcW w:type="dxa" w:w="5256"/>
            <w:vAlign w:val="top"/>
          </w:tcPr>
          <w:p>
            <w:r/>
            <w:r>
              <w:rPr>
                <w:b w:val="0"/>
                <w:sz w:val="16"/>
              </w:rPr>
              <w:t>Real hardware adapters/services only; no fake-device modules.</w:t>
            </w:r>
          </w:p>
        </w:tc>
      </w:tr>
      <w:tr>
        <w:tc>
          <w:tcPr>
            <w:tcW w:type="dxa" w:w="5256"/>
            <w:vAlign w:val="top"/>
          </w:tcPr>
          <w:p>
            <w:r/>
            <w:r>
              <w:rPr>
                <w:b w:val="0"/>
                <w:sz w:val="16"/>
              </w:rPr>
              <w:t>control_app/workflows/</w:t>
            </w:r>
          </w:p>
        </w:tc>
        <w:tc>
          <w:tcPr>
            <w:tcW w:type="dxa" w:w="5256"/>
            <w:vAlign w:val="top"/>
          </w:tcPr>
          <w:p>
            <w:r/>
            <w:r>
              <w:rPr>
                <w:b w:val="0"/>
                <w:sz w:val="16"/>
              </w:rPr>
              <w:t>Startup, shutdown, route, recipe, acquire, abort, and scan workflows.</w:t>
            </w:r>
          </w:p>
        </w:tc>
      </w:tr>
      <w:tr>
        <w:tc>
          <w:tcPr>
            <w:tcW w:type="dxa" w:w="5256"/>
            <w:vAlign w:val="top"/>
          </w:tcPr>
          <w:p>
            <w:r/>
            <w:r>
              <w:rPr>
                <w:b w:val="0"/>
                <w:sz w:val="16"/>
              </w:rPr>
              <w:t>control_app/ui/</w:t>
            </w:r>
          </w:p>
        </w:tc>
        <w:tc>
          <w:tcPr>
            <w:tcW w:type="dxa" w:w="5256"/>
            <w:vAlign w:val="top"/>
          </w:tcPr>
          <w:p>
            <w:r/>
            <w:r>
              <w:rPr>
                <w:b w:val="0"/>
                <w:sz w:val="16"/>
              </w:rPr>
              <w:t>UI pages and widgets that dispatch workflow commands only.</w:t>
            </w:r>
          </w:p>
        </w:tc>
      </w:tr>
      <w:tr>
        <w:tc>
          <w:tcPr>
            <w:tcW w:type="dxa" w:w="5256"/>
            <w:vAlign w:val="top"/>
          </w:tcPr>
          <w:p>
            <w:r/>
            <w:r>
              <w:rPr>
                <w:b w:val="0"/>
                <w:sz w:val="16"/>
              </w:rPr>
              <w:t>config/</w:t>
            </w:r>
          </w:p>
        </w:tc>
        <w:tc>
          <w:tcPr>
            <w:tcW w:type="dxa" w:w="5256"/>
            <w:vAlign w:val="top"/>
          </w:tcPr>
          <w:p>
            <w:r/>
            <w:r>
              <w:rPr>
                <w:b w:val="0"/>
                <w:sz w:val="16"/>
              </w:rPr>
              <w:t>Existing hardware_configuration.yaml and read-only config utilities.</w:t>
            </w:r>
          </w:p>
        </w:tc>
      </w:tr>
      <w:tr>
        <w:tc>
          <w:tcPr>
            <w:tcW w:type="dxa" w:w="5256"/>
            <w:vAlign w:val="top"/>
          </w:tcPr>
          <w:p>
            <w:r/>
            <w:r>
              <w:rPr>
                <w:b w:val="0"/>
                <w:sz w:val="16"/>
              </w:rPr>
              <w:t>recipes/</w:t>
            </w:r>
          </w:p>
        </w:tc>
        <w:tc>
          <w:tcPr>
            <w:tcW w:type="dxa" w:w="5256"/>
            <w:vAlign w:val="top"/>
          </w:tcPr>
          <w:p>
            <w:r/>
            <w:r>
              <w:rPr>
                <w:b w:val="0"/>
                <w:sz w:val="16"/>
              </w:rPr>
              <w:t>Timing recipes, HF2LI presets, scan recipes, and UI defaults.</w:t>
            </w:r>
          </w:p>
        </w:tc>
      </w:tr>
      <w:tr>
        <w:tc>
          <w:tcPr>
            <w:tcW w:type="dxa" w:w="5256"/>
            <w:vAlign w:val="top"/>
          </w:tcPr>
          <w:p>
            <w:r/>
            <w:r>
              <w:rPr>
                <w:b w:val="0"/>
                <w:sz w:val="16"/>
              </w:rPr>
              <w:t>calibration/</w:t>
            </w:r>
          </w:p>
        </w:tc>
        <w:tc>
          <w:tcPr>
            <w:tcW w:type="dxa" w:w="5256"/>
            <w:vAlign w:val="top"/>
          </w:tcPr>
          <w:p>
            <w:r/>
            <w:r>
              <w:rPr>
                <w:b w:val="0"/>
                <w:sz w:val="16"/>
              </w:rPr>
              <w:t>Raw calibration outputs, calibration summaries, and timing_offsets.yaml.</w:t>
            </w:r>
          </w:p>
        </w:tc>
      </w:tr>
      <w:tr>
        <w:tc>
          <w:tcPr>
            <w:tcW w:type="dxa" w:w="5256"/>
            <w:vAlign w:val="top"/>
          </w:tcPr>
          <w:p>
            <w:r/>
            <w:r>
              <w:rPr>
                <w:b w:val="0"/>
                <w:sz w:val="16"/>
              </w:rPr>
              <w:t>runs/</w:t>
            </w:r>
          </w:p>
        </w:tc>
        <w:tc>
          <w:tcPr>
            <w:tcW w:type="dxa" w:w="5256"/>
            <w:vAlign w:val="top"/>
          </w:tcPr>
          <w:p>
            <w:r/>
            <w:r>
              <w:rPr>
                <w:b w:val="0"/>
                <w:sz w:val="16"/>
              </w:rPr>
              <w:t>Raw acquisition runs, run manifests, command logs, and device readbacks.</w:t>
            </w:r>
          </w:p>
        </w:tc>
      </w:tr>
      <w:tr>
        <w:tc>
          <w:tcPr>
            <w:tcW w:type="dxa" w:w="5256"/>
            <w:vAlign w:val="top"/>
          </w:tcPr>
          <w:p>
            <w:r/>
            <w:r>
              <w:rPr>
                <w:b w:val="0"/>
                <w:sz w:val="16"/>
              </w:rPr>
              <w:t>logs/</w:t>
            </w:r>
          </w:p>
        </w:tc>
        <w:tc>
          <w:tcPr>
            <w:tcW w:type="dxa" w:w="5256"/>
            <w:vAlign w:val="top"/>
          </w:tcPr>
          <w:p>
            <w:r/>
            <w:r>
              <w:rPr>
                <w:b w:val="0"/>
                <w:sz w:val="16"/>
              </w:rPr>
              <w:t>Application logs and exception/error records.</w:t>
            </w:r>
          </w:p>
        </w:tc>
      </w:tr>
      <w:tr>
        <w:tc>
          <w:tcPr>
            <w:tcW w:type="dxa" w:w="5256"/>
            <w:vAlign w:val="top"/>
          </w:tcPr>
          <w:p>
            <w:r/>
            <w:r>
              <w:rPr>
                <w:b w:val="0"/>
                <w:sz w:val="16"/>
              </w:rPr>
              <w:t>tests/hardware_checks/</w:t>
            </w:r>
          </w:p>
        </w:tc>
        <w:tc>
          <w:tcPr>
            <w:tcW w:type="dxa" w:w="5256"/>
            <w:vAlign w:val="top"/>
          </w:tcPr>
          <w:p>
            <w:r/>
            <w:r>
              <w:rPr>
                <w:b w:val="0"/>
                <w:sz w:val="16"/>
              </w:rPr>
              <w:t>Real-hardware smoke/check scripts only; no simulators or fake data.</w:t>
            </w:r>
          </w:p>
        </w:tc>
      </w:tr>
    </w:tbl>
    <w:p>
      <w:pPr>
        <w:pStyle w:val="Heading1"/>
      </w:pPr>
      <w:r>
        <w:t>Minimum UI needed before RSI submission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56"/>
        <w:gridCol w:w="5256"/>
      </w:tblGrid>
      <w:tr>
        <w:trPr>
          <w:tblHeader w:val="true"/>
        </w:trPr>
        <w:tc>
          <w:tcPr>
            <w:tcW w:type="dxa" w:w="5256"/>
            <w:vAlign w:val="top"/>
            <w:shd w:fill="D9EAF7"/>
          </w:tcPr>
          <w:p>
            <w:r/>
            <w:r>
              <w:rPr>
                <w:b/>
                <w:sz w:val="17"/>
              </w:rPr>
              <w:t>UI area</w:t>
            </w:r>
          </w:p>
        </w:tc>
        <w:tc>
          <w:tcPr>
            <w:tcW w:type="dxa" w:w="5256"/>
            <w:vAlign w:val="top"/>
            <w:shd w:fill="D9EAF7"/>
          </w:tcPr>
          <w:p>
            <w:r/>
            <w:r>
              <w:rPr>
                <w:b/>
                <w:sz w:val="17"/>
              </w:rPr>
              <w:t>Submission-relevant capability only</w:t>
            </w:r>
          </w:p>
        </w:tc>
      </w:tr>
      <w:tr>
        <w:tc>
          <w:tcPr>
            <w:tcW w:type="dxa" w:w="5256"/>
            <w:vAlign w:val="top"/>
          </w:tcPr>
          <w:p>
            <w:r/>
            <w:r>
              <w:rPr>
                <w:b w:val="0"/>
                <w:sz w:val="16"/>
              </w:rPr>
              <w:t>Dashboard/status</w:t>
            </w:r>
          </w:p>
        </w:tc>
        <w:tc>
          <w:tcPr>
            <w:tcW w:type="dxa" w:w="5256"/>
            <w:vAlign w:val="top"/>
          </w:tcPr>
          <w:p>
            <w:r/>
            <w:r>
              <w:rPr>
                <w:b w:val="0"/>
                <w:sz w:val="16"/>
              </w:rPr>
              <w:t>Real connection state, device IDs, interlocks, armed/emission state, T660 clock/trigger state, HF2LI streaming state, Pico connection, MUX route state, and last error.</w:t>
            </w:r>
          </w:p>
        </w:tc>
      </w:tr>
      <w:tr>
        <w:tc>
          <w:tcPr>
            <w:tcW w:type="dxa" w:w="5256"/>
            <w:vAlign w:val="top"/>
          </w:tcPr>
          <w:p>
            <w:r/>
            <w:r>
              <w:rPr>
                <w:b w:val="0"/>
                <w:sz w:val="16"/>
              </w:rPr>
              <w:t>Timing recipes</w:t>
            </w:r>
          </w:p>
        </w:tc>
        <w:tc>
          <w:tcPr>
            <w:tcW w:type="dxa" w:w="5256"/>
            <w:vAlign w:val="top"/>
          </w:tcPr>
          <w:p>
            <w:r/>
            <w:r>
              <w:rPr>
                <w:b w:val="0"/>
                <w:sz w:val="16"/>
              </w:rPr>
              <w:t>Load a named recipe, apply it to T660-1/T660-2, force EOD, read back active channel delays/widths, and save a readback report.</w:t>
            </w:r>
          </w:p>
        </w:tc>
      </w:tr>
      <w:tr>
        <w:tc>
          <w:tcPr>
            <w:tcW w:type="dxa" w:w="5256"/>
            <w:vAlign w:val="top"/>
          </w:tcPr>
          <w:p>
            <w:r/>
            <w:r>
              <w:rPr>
                <w:b w:val="0"/>
                <w:sz w:val="16"/>
              </w:rPr>
              <w:t>Independent Arduino MUX and PicoScope diagnostics</w:t>
            </w:r>
          </w:p>
        </w:tc>
        <w:tc>
          <w:tcPr>
            <w:tcW w:type="dxa" w:w="5256"/>
            <w:vAlign w:val="top"/>
          </w:tcPr>
          <w:p>
            <w:r/>
            <w:r>
              <w:rPr>
                <w:b w:val="0"/>
                <w:sz w:val="16"/>
              </w:rPr>
              <w:t>Select documented routes only, lock the route before capture, capture TTL/analog traces, and save raw trace plus route log.</w:t>
            </w:r>
          </w:p>
        </w:tc>
      </w:tr>
      <w:tr>
        <w:tc>
          <w:tcPr>
            <w:tcW w:type="dxa" w:w="5256"/>
            <w:vAlign w:val="top"/>
          </w:tcPr>
          <w:p>
            <w:r/>
            <w:r>
              <w:rPr>
                <w:b w:val="0"/>
                <w:sz w:val="16"/>
              </w:rPr>
              <w:t>HF2LI acquisition</w:t>
            </w:r>
          </w:p>
        </w:tc>
        <w:tc>
          <w:tcPr>
            <w:tcW w:type="dxa" w:w="5256"/>
            <w:vAlign w:val="top"/>
          </w:tcPr>
          <w:p>
            <w:r/>
            <w:r>
              <w:rPr>
                <w:b w:val="0"/>
                <w:sz w:val="16"/>
              </w:rPr>
              <w:t>Load a preset, start/stop real acquisition, and save CH1, CH2, ratio, phase, time constants, sample rates, and settings snapshot.</w:t>
            </w:r>
          </w:p>
        </w:tc>
      </w:tr>
      <w:tr>
        <w:tc>
          <w:tcPr>
            <w:tcW w:type="dxa" w:w="5256"/>
            <w:vAlign w:val="top"/>
          </w:tcPr>
          <w:p>
            <w:r/>
            <w:r>
              <w:rPr>
                <w:b w:val="0"/>
                <w:sz w:val="16"/>
              </w:rPr>
              <w:t>MIRcat/QCL control</w:t>
            </w:r>
          </w:p>
        </w:tc>
        <w:tc>
          <w:tcPr>
            <w:tcW w:type="dxa" w:w="5256"/>
            <w:vAlign w:val="top"/>
          </w:tcPr>
          <w:p>
            <w:r>
              <w:t>Reusable MIRcat device widget for the Windows desktop UI: initialize SDK, check interlock/key switch, arm/wait for TEC readiness, expose operator parameter inputs, tune setpoint, poll actual wavelength, control emission only as permitted, cancel manual tune, disarm, and report exclusive-connection blockers when the manufacturer MIRcat UI owns the controller.</w:t>
            </w:r>
          </w:p>
        </w:tc>
      </w:tr>
      <w:tr>
        <w:tc>
          <w:tcPr>
            <w:tcW w:type="dxa" w:w="5256"/>
            <w:vAlign w:val="top"/>
          </w:tcPr>
          <w:p>
            <w:r/>
            <w:r>
              <w:rPr>
                <w:b w:val="0"/>
                <w:sz w:val="16"/>
              </w:rPr>
              <w:t>Pump-probe run</w:t>
            </w:r>
          </w:p>
        </w:tc>
        <w:tc>
          <w:tcPr>
            <w:tcW w:type="dxa" w:w="5256"/>
            <w:vAlign w:val="top"/>
          </w:tcPr>
          <w:p>
            <w:r/>
            <w:r>
              <w:rPr>
                <w:b w:val="0"/>
                <w:sz w:val="16"/>
              </w:rPr>
              <w:t>Select wavelength, delay list, acquisition duration/shot count, timing recipe, Arduino MUX checkpoints, and PicoScope capture profile; then run the article-relevant scan using real hardware.</w:t>
            </w:r>
          </w:p>
        </w:tc>
      </w:tr>
      <w:tr>
        <w:tc>
          <w:tcPr>
            <w:tcW w:type="dxa" w:w="5256"/>
            <w:vAlign w:val="top"/>
          </w:tcPr>
          <w:p>
            <w:r/>
            <w:r>
              <w:rPr>
                <w:b w:val="0"/>
                <w:sz w:val="16"/>
              </w:rPr>
              <w:t>Emergency action</w:t>
            </w:r>
          </w:p>
        </w:tc>
        <w:tc>
          <w:tcPr>
            <w:tcW w:type="dxa" w:w="5256"/>
            <w:vAlign w:val="top"/>
          </w:tcPr>
          <w:p>
            <w:r/>
            <w:r>
              <w:rPr>
                <w:b w:val="0"/>
                <w:sz w:val="16"/>
              </w:rPr>
              <w:t>One visible action that stops acquisition, turns MIRcat emission off, disarms as appropriate, forces T660 EOD, records stop reason, and returns UI to an error or safe-idle state.</w:t>
            </w:r>
          </w:p>
        </w:tc>
      </w:tr>
    </w:tbl>
    <w:p>
      <w:r>
        <w:t>Post-submission UI items intentionally omitted: plotting polish, batch experiment builder, preferences panels, convenience report generation, noncritical device pages, and offline or simulated demonstration modes.</w:t>
      </w:r>
    </w:p>
    <w:p>
      <w:pPr>
        <w:pStyle w:val="Heading1"/>
      </w:pPr>
      <w:r>
        <w:t>Fourteen-day summary matrix</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28"/>
        <w:gridCol w:w="2628"/>
        <w:gridCol w:w="2628"/>
        <w:gridCol w:w="2628"/>
      </w:tblGrid>
      <w:tr>
        <w:trPr>
          <w:tblHeader w:val="true"/>
        </w:trPr>
        <w:tc>
          <w:tcPr>
            <w:tcW w:type="dxa" w:w="2628"/>
            <w:vAlign w:val="top"/>
            <w:shd w:fill="D9EAF7"/>
          </w:tcPr>
          <w:p>
            <w:r/>
            <w:r>
              <w:rPr>
                <w:b/>
                <w:sz w:val="15"/>
              </w:rPr>
              <w:t>Day/date</w:t>
            </w:r>
          </w:p>
        </w:tc>
        <w:tc>
          <w:tcPr>
            <w:tcW w:type="dxa" w:w="2628"/>
            <w:vAlign w:val="top"/>
            <w:shd w:fill="D9EAF7"/>
          </w:tcPr>
          <w:p>
            <w:r/>
            <w:r>
              <w:rPr>
                <w:b/>
                <w:sz w:val="15"/>
              </w:rPr>
              <w:t>Article/Thesis package deliverable</w:t>
            </w:r>
          </w:p>
        </w:tc>
        <w:tc>
          <w:tcPr>
            <w:tcW w:type="dxa" w:w="2628"/>
            <w:vAlign w:val="top"/>
            <w:shd w:fill="D9EAF7"/>
          </w:tcPr>
          <w:p>
            <w:r/>
            <w:r>
              <w:rPr>
                <w:b/>
                <w:sz w:val="15"/>
              </w:rPr>
              <w:t>UI/instrument-control deliverable</w:t>
            </w:r>
          </w:p>
        </w:tc>
        <w:tc>
          <w:tcPr>
            <w:tcW w:type="dxa" w:w="2628"/>
            <w:vAlign w:val="top"/>
            <w:shd w:fill="D9EAF7"/>
          </w:tcPr>
          <w:p>
            <w:r/>
            <w:r>
              <w:rPr>
                <w:b/>
                <w:sz w:val="15"/>
              </w:rPr>
              <w:t>Hard gate</w:t>
            </w:r>
          </w:p>
        </w:tc>
      </w:tr>
      <w:tr>
        <w:tc>
          <w:tcPr>
            <w:tcW w:type="dxa" w:w="2628"/>
            <w:vAlign w:val="top"/>
          </w:tcPr>
          <w:p>
            <w:r/>
            <w:r>
              <w:rPr>
                <w:b w:val="0"/>
                <w:sz w:val="14"/>
              </w:rPr>
              <w:t>Day 1 - Fri Jun 12</w:t>
            </w:r>
          </w:p>
        </w:tc>
        <w:tc>
          <w:tcPr>
            <w:tcW w:type="dxa" w:w="2628"/>
            <w:vAlign w:val="top"/>
          </w:tcPr>
          <w:p>
            <w:r/>
            <w:r>
              <w:rPr>
                <w:b w:val="0"/>
                <w:sz w:val="14"/>
              </w:rPr>
              <w:t>Article root confirmed; RSI draft skeleton and figure and table dependency records created in the Article 1 folder.</w:t>
            </w:r>
          </w:p>
        </w:tc>
        <w:tc>
          <w:tcPr>
            <w:tcW w:type="dxa" w:w="2628"/>
            <w:vAlign w:val="top"/>
          </w:tcPr>
          <w:p>
            <w:r/>
            <w:r>
              <w:rPr>
                <w:b w:val="0"/>
                <w:sz w:val="14"/>
              </w:rPr>
              <w:t>UI scaffold verified with no article folders; config loader hashes existing hardware_configuration.yaml.</w:t>
            </w:r>
          </w:p>
        </w:tc>
        <w:tc>
          <w:tcPr>
            <w:tcW w:type="dxa" w:w="2628"/>
            <w:vAlign w:val="top"/>
          </w:tcPr>
          <w:p>
            <w:r/>
            <w:r>
              <w:rPr>
                <w:b w:val="0"/>
                <w:sz w:val="14"/>
              </w:rPr>
              <w:t>No article artifacts exist in UI repo.</w:t>
            </w:r>
          </w:p>
        </w:tc>
      </w:tr>
      <w:tr>
        <w:tc>
          <w:tcPr>
            <w:tcW w:type="dxa" w:w="2628"/>
            <w:vAlign w:val="top"/>
          </w:tcPr>
          <w:p>
            <w:r/>
            <w:r>
              <w:rPr>
                <w:b w:val="0"/>
                <w:sz w:val="14"/>
              </w:rPr>
              <w:t>Day 2 - Sat Jun 13</w:t>
            </w:r>
          </w:p>
        </w:tc>
        <w:tc>
          <w:tcPr>
            <w:tcW w:type="dxa" w:w="2628"/>
            <w:vAlign w:val="top"/>
          </w:tcPr>
          <w:p>
            <w:r/>
            <w:r>
              <w:rPr>
                <w:b w:val="0"/>
                <w:sz w:val="14"/>
              </w:rPr>
              <w:t>Instrument overview draft and component table saved under Article root.</w:t>
            </w:r>
          </w:p>
        </w:tc>
        <w:tc>
          <w:tcPr>
            <w:tcW w:type="dxa" w:w="2628"/>
            <w:vAlign w:val="top"/>
          </w:tcPr>
          <w:p>
            <w:r/>
            <w:r>
              <w:rPr>
                <w:b w:val="0"/>
                <w:sz w:val="14"/>
              </w:rPr>
              <w:t>T660 reproducibility/readback log from real T660-1/T660-2.</w:t>
            </w:r>
          </w:p>
        </w:tc>
        <w:tc>
          <w:tcPr>
            <w:tcW w:type="dxa" w:w="2628"/>
            <w:vAlign w:val="top"/>
          </w:tcPr>
          <w:p>
            <w:r/>
            <w:r>
              <w:rPr>
                <w:b w:val="0"/>
                <w:sz w:val="14"/>
              </w:rPr>
              <w:t>safe_idle applies/readbacks five times.</w:t>
            </w:r>
          </w:p>
        </w:tc>
      </w:tr>
      <w:tr>
        <w:tc>
          <w:tcPr>
            <w:tcW w:type="dxa" w:w="2628"/>
            <w:vAlign w:val="top"/>
          </w:tcPr>
          <w:p>
            <w:r/>
            <w:r>
              <w:rPr>
                <w:b w:val="0"/>
                <w:sz w:val="14"/>
              </w:rPr>
              <w:t>Day 3 - Sun Jun 14</w:t>
            </w:r>
          </w:p>
        </w:tc>
        <w:tc>
          <w:tcPr>
            <w:tcW w:type="dxa" w:w="2628"/>
            <w:vAlign w:val="top"/>
          </w:tcPr>
          <w:p>
            <w:r/>
            <w:r>
              <w:rPr>
                <w:b w:val="0"/>
                <w:sz w:val="14"/>
              </w:rPr>
              <w:t>Timing/synchronization draft and timing diagram draft saved under Article root.</w:t>
            </w:r>
          </w:p>
        </w:tc>
        <w:tc>
          <w:tcPr>
            <w:tcW w:type="dxa" w:w="2628"/>
            <w:vAlign w:val="top"/>
          </w:tcPr>
          <w:p>
            <w:r/>
            <w:r>
              <w:rPr>
                <w:b w:val="0"/>
                <w:sz w:val="14"/>
              </w:rPr>
              <w:t>Timing recipe manager applies safe_idle, timing_calibration, and pump_probe_single_point to real T660s.</w:t>
            </w:r>
          </w:p>
        </w:tc>
        <w:tc>
          <w:tcPr>
            <w:tcW w:type="dxa" w:w="2628"/>
            <w:vAlign w:val="top"/>
          </w:tcPr>
          <w:p>
            <w:r/>
            <w:r>
              <w:rPr>
                <w:b w:val="0"/>
                <w:sz w:val="14"/>
              </w:rPr>
              <w:t>Readbacks match recipes.</w:t>
            </w:r>
          </w:p>
        </w:tc>
      </w:tr>
      <w:tr>
        <w:tc>
          <w:tcPr>
            <w:tcW w:type="dxa" w:w="2628"/>
            <w:vAlign w:val="top"/>
          </w:tcPr>
          <w:p>
            <w:r/>
            <w:r>
              <w:rPr>
                <w:b w:val="0"/>
                <w:sz w:val="14"/>
              </w:rPr>
              <w:t>Day 4 - Mon Jun 15</w:t>
            </w:r>
          </w:p>
        </w:tc>
        <w:tc>
          <w:tcPr>
            <w:tcW w:type="dxa" w:w="2628"/>
            <w:vAlign w:val="top"/>
          </w:tcPr>
          <w:p>
            <w:r/>
            <w:r>
              <w:rPr>
                <w:b w:val="0"/>
                <w:sz w:val="14"/>
              </w:rPr>
              <w:t>Control-software/method text drafted in RSI file; independent Arduino MUX and PicoScope diagnostic methods drafted.</w:t>
            </w:r>
          </w:p>
        </w:tc>
        <w:tc>
          <w:tcPr>
            <w:tcW w:type="dxa" w:w="2628"/>
            <w:vAlign w:val="top"/>
          </w:tcPr>
          <w:p>
            <w:r/>
            <w:r>
              <w:rPr>
                <w:b w:val="0"/>
                <w:sz w:val="14"/>
              </w:rPr>
              <w:t>Real Arduino MUX and real PicoScope route/capture path works.</w:t>
            </w:r>
          </w:p>
        </w:tc>
        <w:tc>
          <w:tcPr>
            <w:tcW w:type="dxa" w:w="2628"/>
            <w:vAlign w:val="top"/>
          </w:tcPr>
          <w:p>
            <w:r/>
            <w:r>
              <w:rPr>
                <w:b w:val="0"/>
                <w:sz w:val="14"/>
              </w:rPr>
              <w:t>100 real TTL pulses captured.</w:t>
            </w:r>
          </w:p>
        </w:tc>
      </w:tr>
      <w:tr>
        <w:tc>
          <w:tcPr>
            <w:tcW w:type="dxa" w:w="2628"/>
            <w:vAlign w:val="top"/>
          </w:tcPr>
          <w:p>
            <w:r/>
            <w:r>
              <w:rPr>
                <w:b w:val="0"/>
                <w:sz w:val="14"/>
              </w:rPr>
              <w:t>Day 5 - Tue Jun 16</w:t>
            </w:r>
          </w:p>
        </w:tc>
        <w:tc>
          <w:tcPr>
            <w:tcW w:type="dxa" w:w="2628"/>
            <w:vAlign w:val="top"/>
          </w:tcPr>
          <w:p>
            <w:r/>
            <w:r>
              <w:rPr>
                <w:b w:val="0"/>
                <w:sz w:val="14"/>
              </w:rPr>
              <w:t>Probe-laser operation subsection and safety/operating notes saved under Article root.</w:t>
            </w:r>
          </w:p>
        </w:tc>
        <w:tc>
          <w:tcPr>
            <w:tcW w:type="dxa" w:w="2628"/>
            <w:vAlign w:val="top"/>
          </w:tcPr>
          <w:p>
            <w:r/>
            <w:r>
              <w:rPr>
                <w:b w:val="0"/>
                <w:sz w:val="14"/>
              </w:rPr>
              <w:t>Real MIRcat connect/status/tune/disarm log.</w:t>
            </w:r>
          </w:p>
        </w:tc>
        <w:tc>
          <w:tcPr>
            <w:tcW w:type="dxa" w:w="2628"/>
            <w:vAlign w:val="top"/>
          </w:tcPr>
          <w:p>
            <w:r/>
            <w:r>
              <w:rPr>
                <w:b w:val="0"/>
                <w:sz w:val="14"/>
              </w:rPr>
              <w:t>Safe MIRcat sequence logged.</w:t>
            </w:r>
          </w:p>
        </w:tc>
      </w:tr>
      <w:tr>
        <w:tc>
          <w:tcPr>
            <w:tcW w:type="dxa" w:w="2628"/>
            <w:vAlign w:val="top"/>
          </w:tcPr>
          <w:p>
            <w:r>
              <w:t>Day 6 - Wed Jun 17</w:t>
            </w:r>
          </w:p>
        </w:tc>
        <w:tc>
          <w:tcPr>
            <w:tcW w:type="dxa" w:w="2628"/>
            <w:vAlign w:val="top"/>
          </w:tcPr>
          <w:p>
            <w:r>
              <w:t>HF2LI/detector variables table, Myoglobin-CO experiment design sheet, and Day 4 Arduino MUX and PicoScope blocker disposition saved.</w:t>
            </w:r>
          </w:p>
        </w:tc>
        <w:tc>
          <w:tcPr>
            <w:tcW w:type="dxa" w:w="2628"/>
            <w:vAlign w:val="top"/>
          </w:tcPr>
          <w:p>
            <w:r>
              <w:t>Real 60 s HF2LI record, settings snapshot/reload check, and confirmed diagnostic route or blocker log.</w:t>
            </w:r>
          </w:p>
        </w:tc>
        <w:tc>
          <w:tcPr>
            <w:tcW w:type="dxa" w:w="2628"/>
            <w:vAlign w:val="top"/>
          </w:tcPr>
          <w:p>
            <w:r>
              <w:t>Protocol, route, and settings acceptance gates are frozen before article measurements.</w:t>
            </w:r>
          </w:p>
        </w:tc>
      </w:tr>
      <w:tr>
        <w:tc>
          <w:tcPr>
            <w:tcW w:type="dxa" w:w="2628"/>
            <w:vAlign w:val="top"/>
          </w:tcPr>
          <w:p>
            <w:r>
              <w:t>Day 7 - Thu Jun 18</w:t>
            </w:r>
          </w:p>
        </w:tc>
        <w:tc>
          <w:tcPr>
            <w:tcW w:type="dxa" w:w="2628"/>
            <w:vAlign w:val="top"/>
          </w:tcPr>
          <w:p>
            <w:r>
              <w:t>Control architecture/method text updated for workflow state machine plus Myoglobin-CO acquisition recipe/source-data template.</w:t>
            </w:r>
          </w:p>
        </w:tc>
        <w:tc>
          <w:tcPr>
            <w:tcW w:type="dxa" w:w="2628"/>
            <w:vAlign w:val="top"/>
          </w:tcPr>
          <w:p>
            <w:r>
              <w:t>Add-only UI workflow exercised from startup through safe shutdown with MIRcat/T660/Pico/HF2LI widgets connected only through workflows.</w:t>
            </w:r>
          </w:p>
        </w:tc>
        <w:tc>
          <w:tcPr>
            <w:tcW w:type="dxa" w:w="2628"/>
            <w:vAlign w:val="top"/>
          </w:tcPr>
          <w:p>
            <w:r>
              <w:t>No direct UI hardware imports; Myoglobin-CO recipe dry-run or safe hardware exercise logged.</w:t>
            </w:r>
          </w:p>
        </w:tc>
      </w:tr>
      <w:tr>
        <w:tc>
          <w:tcPr>
            <w:tcW w:type="dxa" w:w="2628"/>
            <w:vAlign w:val="top"/>
          </w:tcPr>
          <w:p>
            <w:r>
              <w:t>Day 8 - Fri Jun 19</w:t>
            </w:r>
          </w:p>
        </w:tc>
        <w:tc>
          <w:tcPr>
            <w:tcW w:type="dxa" w:w="2628"/>
            <w:vAlign w:val="top"/>
          </w:tcPr>
          <w:p>
            <w:r>
              <w:t>Timing calibration table/figure inputs acquired for pump, probe, lock-in reference, Pico trigger, and Myoglobin-CO timing route.</w:t>
            </w:r>
          </w:p>
        </w:tc>
        <w:tc>
          <w:tcPr>
            <w:tcW w:type="dxa" w:w="2628"/>
            <w:vAlign w:val="top"/>
          </w:tcPr>
          <w:p>
            <w:r>
              <w:t>timing_offsets.yaml, raw Pico traces, Arduino MUX route logs, and uncertainty notes generated; direct Pico route used if a timing route remains blocked.</w:t>
            </w:r>
          </w:p>
        </w:tc>
        <w:tc>
          <w:tcPr>
            <w:tcW w:type="dxa" w:w="2628"/>
            <w:vAlign w:val="top"/>
          </w:tcPr>
          <w:p>
            <w:r>
              <w:t>Timing uncertainty is ready for manuscript values or an explicit limitation.</w:t>
            </w:r>
          </w:p>
        </w:tc>
      </w:tr>
      <w:tr>
        <w:tc>
          <w:tcPr>
            <w:tcW w:type="dxa" w:w="2628"/>
            <w:vAlign w:val="top"/>
          </w:tcPr>
          <w:p>
            <w:r>
              <w:t>Day 9 - Sat Jun 20</w:t>
            </w:r>
          </w:p>
        </w:tc>
        <w:tc>
          <w:tcPr>
            <w:tcW w:type="dxa" w:w="2628"/>
            <w:vAlign w:val="top"/>
          </w:tcPr>
          <w:p>
            <w:r>
              <w:t>Detector noise/baseline and ratioing evidence acquired at/near Myoglobin-CO probe region.</w:t>
            </w:r>
          </w:p>
        </w:tc>
        <w:tc>
          <w:tcPr>
            <w:tcW w:type="dxa" w:w="2628"/>
            <w:vAlign w:val="top"/>
          </w:tcPr>
          <w:p>
            <w:r>
              <w:t>Dark, QCL baseline, HF2LI/Pico synchronized records, and noise summary generated.</w:t>
            </w:r>
          </w:p>
        </w:tc>
        <w:tc>
          <w:tcPr>
            <w:tcW w:type="dxa" w:w="2628"/>
            <w:vAlign w:val="top"/>
          </w:tcPr>
          <w:p>
            <w:r>
              <w:t>Noise, drift, ratioing, and acquisition settings are locked for article scan.</w:t>
            </w:r>
          </w:p>
        </w:tc>
      </w:tr>
      <w:tr>
        <w:tc>
          <w:tcPr>
            <w:tcW w:type="dxa" w:w="2628"/>
            <w:vAlign w:val="top"/>
          </w:tcPr>
          <w:p>
            <w:r>
              <w:t>Day 10 - Sun Jun 21</w:t>
            </w:r>
          </w:p>
        </w:tc>
        <w:tc>
          <w:tcPr>
            <w:tcW w:type="dxa" w:w="2628"/>
            <w:vAlign w:val="top"/>
          </w:tcPr>
          <w:p>
            <w:r>
              <w:t>Myoglobin-CO QCL/FTIR spectral-validation data and MIRcat wavelength/trigger validation exported to Article Figures/Tables.</w:t>
            </w:r>
          </w:p>
        </w:tc>
        <w:tc>
          <w:tcPr>
            <w:tcW w:type="dxa" w:w="2628"/>
            <w:vAlign w:val="top"/>
          </w:tcPr>
          <w:p>
            <w:r>
              <w:t>QCL CO-band scan, actual wavelength/readback log, HF2LI records, FTIR reference metadata or blocker captured.</w:t>
            </w:r>
          </w:p>
        </w:tc>
        <w:tc>
          <w:tcPr>
            <w:tcW w:type="dxa" w:w="2628"/>
            <w:vAlign w:val="top"/>
          </w:tcPr>
          <w:p>
            <w:r>
              <w:t>Figure 7/table values are populated or a limitation is documented before pump-probe scan.</w:t>
            </w:r>
          </w:p>
        </w:tc>
      </w:tr>
      <w:tr>
        <w:tc>
          <w:tcPr>
            <w:tcW w:type="dxa" w:w="2628"/>
            <w:vAlign w:val="top"/>
          </w:tcPr>
          <w:p>
            <w:r>
              <w:t>Day 11 - Mon Jun 22</w:t>
            </w:r>
          </w:p>
        </w:tc>
        <w:tc>
          <w:tcPr>
            <w:tcW w:type="dxa" w:w="2628"/>
            <w:vAlign w:val="top"/>
          </w:tcPr>
          <w:p>
            <w:r>
              <w:t>First complete UI-controlled Myoglobin-CO pump-probe proof-of-concept scan replaces representative-scan placeholder.</w:t>
            </w:r>
          </w:p>
        </w:tc>
        <w:tc>
          <w:tcPr>
            <w:tcW w:type="dxa" w:w="2628"/>
            <w:vAlign w:val="top"/>
          </w:tcPr>
          <w:p>
            <w:r>
              <w:t>Run starts/ends in SAFE_IDLE, records pump/probe settings, timing recipe, detector data, Pico traces, and complete manifest.</w:t>
            </w:r>
          </w:p>
        </w:tc>
        <w:tc>
          <w:tcPr>
            <w:tcW w:type="dxa" w:w="2628"/>
            <w:vAlign w:val="top"/>
          </w:tcPr>
          <w:p>
            <w:r>
              <w:t>No manual intervention after Start except approved emergency stop.</w:t>
            </w:r>
          </w:p>
        </w:tc>
      </w:tr>
      <w:tr>
        <w:tc>
          <w:tcPr>
            <w:tcW w:type="dxa" w:w="2628"/>
            <w:vAlign w:val="top"/>
          </w:tcPr>
          <w:p>
            <w:r>
              <w:t>Day 12 - Tue Jun 23</w:t>
            </w:r>
          </w:p>
        </w:tc>
        <w:tc>
          <w:tcPr>
            <w:tcW w:type="dxa" w:w="2628"/>
            <w:vAlign w:val="top"/>
          </w:tcPr>
          <w:p>
            <w:r>
              <w:t>Myoglobin-CO repeatability/control scans and final claim table completed.</w:t>
            </w:r>
          </w:p>
        </w:tc>
        <w:tc>
          <w:tcPr>
            <w:tcW w:type="dxa" w:w="2628"/>
            <w:vAlign w:val="top"/>
          </w:tcPr>
          <w:p>
            <w:r>
              <w:t>Repeat scan, blocked-pump/control trace, performance_table.csv, dropped-point/error counts, and uncertainty rollup generated.</w:t>
            </w:r>
          </w:p>
        </w:tc>
        <w:tc>
          <w:tcPr>
            <w:tcW w:type="dxa" w:w="2628"/>
            <w:vAlign w:val="top"/>
          </w:tcPr>
          <w:p>
            <w:r>
              <w:t>All final numeric claims trace to raw data; unsupported claims removed or deferred.</w:t>
            </w:r>
          </w:p>
        </w:tc>
      </w:tr>
      <w:tr>
        <w:tc>
          <w:tcPr>
            <w:tcW w:type="dxa" w:w="2628"/>
            <w:vAlign w:val="top"/>
          </w:tcPr>
          <w:p>
            <w:r>
              <w:t>Day 13 - Wed Jun 24</w:t>
            </w:r>
          </w:p>
        </w:tc>
        <w:tc>
          <w:tcPr>
            <w:tcW w:type="dxa" w:w="2628"/>
            <w:vAlign w:val="top"/>
          </w:tcPr>
          <w:p>
            <w:r>
              <w:t>RSI_Draft_v3.1 advanced to coauthor-review draft with final figures, tables, source-data index, and unresolved-placeholders list cleared.</w:t>
            </w:r>
          </w:p>
        </w:tc>
        <w:tc>
          <w:tcPr>
            <w:tcW w:type="dxa" w:w="2628"/>
            <w:vAlign w:val="top"/>
          </w:tcPr>
          <w:p>
            <w:r>
              <w:t>UI work limited to reproducibility bug fixes; archive bundle captures exact control state used for data.</w:t>
            </w:r>
          </w:p>
        </w:tc>
        <w:tc>
          <w:tcPr>
            <w:tcW w:type="dxa" w:w="2628"/>
            <w:vAlign w:val="top"/>
          </w:tcPr>
          <w:p>
            <w:r>
              <w:t>Every figure/table is cited and sourced; no [VALUE REQUIRED] remains unless explicitly moved to limitations or removed.</w:t>
            </w:r>
          </w:p>
        </w:tc>
      </w:tr>
      <w:tr>
        <w:tc>
          <w:tcPr>
            <w:tcW w:type="dxa" w:w="2628"/>
            <w:vAlign w:val="top"/>
          </w:tcPr>
          <w:p>
            <w:r>
              <w:t>Day 14 - Thu Jun 25</w:t>
            </w:r>
          </w:p>
        </w:tc>
        <w:tc>
          <w:tcPr>
            <w:tcW w:type="dxa" w:w="2628"/>
            <w:vAlign w:val="top"/>
          </w:tcPr>
          <w:p>
            <w:r>
              <w:t>Peer-review-ready package completed for June 25.</w:t>
            </w:r>
          </w:p>
        </w:tc>
        <w:tc>
          <w:tcPr>
            <w:tcW w:type="dxa" w:w="2628"/>
            <w:vAlign w:val="top"/>
          </w:tcPr>
          <w:p>
            <w:r>
              <w:t>Manuscript/PDF proof, final figures/tables, supplement/cover-letter/checklists, data availability, and reviewer materials saved under Article root.</w:t>
            </w:r>
          </w:p>
        </w:tc>
        <w:tc>
          <w:tcPr>
            <w:tcW w:type="dxa" w:w="2628"/>
            <w:vAlign w:val="top"/>
          </w:tcPr>
          <w:p>
            <w:r>
              <w:t>June 26-30 limited to coauthor edits, metadata, final proof, and submission.</w:t>
            </w:r>
          </w:p>
        </w:tc>
      </w:tr>
    </w:tbl>
    <w:p>
      <w:pPr>
        <w:pStyle w:val="Heading1"/>
      </w:pPr>
      <w:r>
        <w:t>Detailed daily workplan</w:t>
      </w:r>
    </w:p>
    <w:p>
      <w:r>
        <w:t>Each day has an Article/Thesis package deliverable and a UI/instrument-control deliverable. Day 6 onward is explicitly tied to closing RSI_Draft_v3.1 placeholders, acquiring the Myoglobin-CO validation/proof-of-concept data, and producing a June 25 peer-review package. If a required device, sample, route, or FTIR reference cannot be verified, record a blocker or limitation; do not replace the item with fake data.</w:t>
      </w:r>
    </w:p>
    <w:p>
      <w:pPr>
        <w:pStyle w:val="Heading2"/>
      </w:pPr>
      <w:r>
        <w:t>Day 1 - Fri Jun 12: Separate locations and lock deliverables</w:t>
      </w:r>
    </w:p>
    <w:p>
      <w:pPr>
        <w:pStyle w:val="Heading3"/>
      </w:pPr>
      <w:r>
        <w:t>Article/Thesis package stream - stored only in Article 1 RSI folder</w:t>
      </w:r>
    </w:p>
    <w:p>
      <w:pPr>
        <w:pStyle w:val="ListBullet"/>
      </w:pPr>
      <w:r>
        <w:t>Create or update the manuscript skeleton at C:\Users\Chris\Documents\UC Davis\SETI\Thesis\Article 1 - Review of Scientific Instruments\&lt;RSI_draft_v#.docx&gt; with sections named: Abstract, Introduction, Instrument Design, Timing and Synchronization, Control Software, Calibration, Performance Demonstration, Limitations, Conclusion, Author Declarations, Data Availability, and References.</w:t>
      </w:r>
    </w:p>
    <w:p>
      <w:pPr>
        <w:pStyle w:val="ListBullet"/>
      </w:pPr>
      <w:r>
        <w:t>Create Article-folder tracking files only: C:\Users\Chris\Documents\UC Davis\SETI\Thesis\Article 1 - Review of Scientific Instruments\Tables\Figure_Data_Dependencies.xlsx, C:\Users\Chris\Documents\UC Davis\SETI\Thesis\Article 1 - Review of Scientific Instruments\Tables\Table_Data_Dependencies.xlsx, and C:\Users\Chris\Documents\UC Davis\SETI\Thesis\Article 1 - Review of Scientific Instruments\Open_Decisions.docx or .md.</w:t>
      </w:r>
    </w:p>
    <w:p>
      <w:pPr>
        <w:pStyle w:val="ListBullet"/>
      </w:pPr>
      <w:r>
        <w:t>Enter one planned row for every article figure and table: panel/table name, required raw data file, run manifest, analysis/export script or method, responsible person, and status.</w:t>
      </w:r>
    </w:p>
    <w:p>
      <w:pPr>
        <w:pStyle w:val="Heading3"/>
      </w:pPr>
      <w:r>
        <w:t>UI/instrument-control stream - stored only in UI project</w:t>
      </w:r>
    </w:p>
    <w:p>
      <w:pPr>
        <w:pStyle w:val="ListBullet"/>
      </w:pPr>
      <w:r>
        <w:t>Verify the UI project scaffold contains only control_app/, config/, recipes/, calibration/, runs/, logs/, and tests/hardware_checks/. Remove or move any manuscript/article/thesis/figure and table folders from the UI project.</w:t>
      </w:r>
    </w:p>
    <w:p>
      <w:pPr>
        <w:pStyle w:val="ListBullet"/>
      </w:pPr>
      <w:r>
        <w:t>Implement or verify a read-only hardware_config_loader that loads the existing hardware_configuration.yaml, computes a SHA-256 hash, validates required top-level sections, and writes config_inventory.txt plus config_hash.txt.</w:t>
      </w:r>
    </w:p>
    <w:p>
      <w:pPr>
        <w:pStyle w:val="ListBullet"/>
      </w:pPr>
      <w:r>
        <w:t>Define run_manifest.schema.json with config hash, git commit, operator, device IDs, T660 recipes, MUX routes, MIRcat setpoint/actual wavelength, HF2LI settings snapshot, Pico settings, timing offset file, raw data paths, and error/abort state.</w:t>
      </w:r>
    </w:p>
    <w:p>
      <w:pPr>
        <w:pStyle w:val="Heading3"/>
      </w:pPr>
      <w:r>
        <w:t>Hard gate before moving on</w:t>
      </w:r>
    </w:p>
    <w:p>
      <w:pPr>
        <w:pStyle w:val="ListBullet"/>
      </w:pPr>
      <w:r>
        <w:t>RSI draft skeleton and dependency records exist only under the Article 1 RSI path.</w:t>
      </w:r>
    </w:p>
    <w:p>
      <w:pPr>
        <w:pStyle w:val="ListBullet"/>
      </w:pPr>
      <w:r>
        <w:t>hardware_config_loader reads the existing YAML and writes inventory/hash files.</w:t>
      </w:r>
    </w:p>
    <w:p>
      <w:pPr>
        <w:pStyle w:val="ListBullet"/>
      </w:pPr>
      <w:r>
        <w:t>No fake device, simulator, stub, or article directory exists in the UI project tree.</w:t>
      </w:r>
    </w:p>
    <w:p>
      <w:pPr>
        <w:pStyle w:val="Heading2"/>
      </w:pPr>
      <w:r>
        <w:t>Day 2 - Sat Jun 13: Make confirmed T660 control reproducible</w:t>
      </w:r>
    </w:p>
    <w:p>
      <w:pPr>
        <w:pStyle w:val="Heading3"/>
      </w:pPr>
      <w:r>
        <w:t>Article/Thesis package stream - stored only in Article 1 RSI folder</w:t>
      </w:r>
    </w:p>
    <w:p>
      <w:pPr>
        <w:pStyle w:val="ListBullet"/>
      </w:pPr>
      <w:r>
        <w:t>Draft the Instrument Overview section in the RSI draft: pump source, probe source, detectors, HF2LI, PicoScope 5244D, T660-1, T660-2, Arduino MUX, and optical sample/reference paths.</w:t>
      </w:r>
    </w:p>
    <w:p>
      <w:pPr>
        <w:pStyle w:val="ListBullet"/>
      </w:pPr>
      <w:r>
        <w:t>Create Figure 1 block schematic draft in C:\Users\Chris\Documents\UC Davis\SETI\Thesis\Article 1 - Review of Scientific Instruments\Figures. Every electrical/optical line must correspond to a configured signal or optical path, not a generic arrow.</w:t>
      </w:r>
    </w:p>
    <w:p>
      <w:pPr>
        <w:pStyle w:val="ListBullet"/>
      </w:pPr>
      <w:r>
        <w:t>Create C:\Users\Chris\Documents\UC Davis\SETI\Thesis\Article 1 - Review of Scientific Instruments\Tables\Component_Table.xlsx with columns: component, role in instrument, control interface, timing source, data output, and evidence produced.</w:t>
      </w:r>
    </w:p>
    <w:p>
      <w:pPr>
        <w:pStyle w:val="Heading3"/>
      </w:pPr>
      <w:r>
        <w:t>UI/instrument-control stream - stored only in UI project</w:t>
      </w:r>
    </w:p>
    <w:p>
      <w:pPr>
        <w:pStyle w:val="ListBullet"/>
      </w:pPr>
      <w:r>
        <w:t>Audit existing T660 control scripts and isolate the production commands needed for the article: connect, identify, force EOD, set clock mode, set trigger source, set channel delay/width, enable/disable channel, apply recipe, read active settings, and close.</w:t>
      </w:r>
    </w:p>
    <w:p>
      <w:pPr>
        <w:pStyle w:val="ListBullet"/>
      </w:pPr>
      <w:r>
        <w:t>Connect to T660-1 and T660-2 through their configured real interfaces. Record identify strings, firmware versions if available, clock mode, trigger source, and active channel settings.</w:t>
      </w:r>
    </w:p>
    <w:p>
      <w:pPr>
        <w:pStyle w:val="ListBullet"/>
      </w:pPr>
      <w:r>
        <w:t>Apply safe_idle to both T660s, read back active state, force EOD, and repeat this exact sequence five times. Save logs in runs/YYYYMMDD_t660_reproducibility/.</w:t>
      </w:r>
    </w:p>
    <w:p>
      <w:pPr>
        <w:pStyle w:val="Heading3"/>
      </w:pPr>
      <w:r>
        <w:t>Hard gate before moving on</w:t>
      </w:r>
    </w:p>
    <w:p>
      <w:pPr>
        <w:pStyle w:val="ListBullet"/>
      </w:pPr>
      <w:r>
        <w:t>runs/YYYYMMDD_t660_reproducibility/ contains command_log.txt, t660_readback_before_after.json, and error flags.</w:t>
      </w:r>
    </w:p>
    <w:p>
      <w:pPr>
        <w:pStyle w:val="ListBullet"/>
      </w:pPr>
      <w:r>
        <w:t>safe_idle can be applied and read back from both real T660 units without source edits.</w:t>
      </w:r>
    </w:p>
    <w:p>
      <w:pPr>
        <w:pStyle w:val="ListBullet"/>
      </w:pPr>
      <w:r>
        <w:t>Figure 1 draft and component table exist under the Article path only.</w:t>
      </w:r>
    </w:p>
    <w:p>
      <w:pPr>
        <w:pStyle w:val="Heading2"/>
      </w:pPr>
      <w:r>
        <w:t>Day 3 - Sun Jun 14: Lock timing recipe layer and timing narrative</w:t>
      </w:r>
    </w:p>
    <w:p>
      <w:pPr>
        <w:pStyle w:val="Heading3"/>
      </w:pPr>
      <w:r>
        <w:t>Article/Thesis package stream - stored only in Article 1 RSI folder</w:t>
      </w:r>
    </w:p>
    <w:p>
      <w:pPr>
        <w:pStyle w:val="ListBullet"/>
      </w:pPr>
      <w:r>
        <w:t>Write the Timing and Synchronization draft: master/slave timing, T0 convention, T660-2 clock role, T660-1 triggered outputs, MIRcat trigger lines, laser fire/Q-switch timing, HF2LI reference/DIO timing, and PicoScope diagnostic role.</w:t>
      </w:r>
    </w:p>
    <w:p>
      <w:pPr>
        <w:pStyle w:val="ListBullet"/>
      </w:pPr>
      <w:r>
        <w:t>Create Figure 2 timing-diagram draft in C:\Users\Chris\Documents\UC Davis\SETI\Thesis\Article 1 - Review of Scientific Instruments\Figures with rows for T660-2 master clock/trigger, T660-1 trigger, Nd:YAG fire, Q-switch, OPO/pump-arrival placeholder, MIRcat trigger/emission, HF2LI reference, and PicoScope capture trigger.</w:t>
      </w:r>
    </w:p>
    <w:p>
      <w:pPr>
        <w:pStyle w:val="ListBullet"/>
      </w:pPr>
      <w:r>
        <w:t>Create C:\Users\Chris\Documents\UC Davis\SETI\Thesis\Article 1 - Review of Scientific Instruments\Tables\Timing_Claims_To_Measure.xlsx with claims to be supported by Day 8 data: offset, jitter, trigger polarity, route identity, and delay sign convention.</w:t>
      </w:r>
    </w:p>
    <w:p>
      <w:pPr>
        <w:pStyle w:val="Heading3"/>
      </w:pPr>
      <w:r>
        <w:t>UI/instrument-control stream - stored only in UI project</w:t>
      </w:r>
    </w:p>
    <w:p>
      <w:pPr>
        <w:pStyle w:val="ListBullet"/>
      </w:pPr>
      <w:r>
        <w:t>Implement timing_recipe_manager.py. It parses recipes, resolves configured signal names to T660 unit/channel, applies all settings, forces EOD when required, reads active settings, and writes recipe_readback.json.</w:t>
      </w:r>
    </w:p>
    <w:p>
      <w:pPr>
        <w:pStyle w:val="ListBullet"/>
      </w:pPr>
      <w:r>
        <w:t>Create or update recipes/timing_calibration.yaml with non-laser diagnostic outputs enabled or laser-driving outputs disabled unless the approved laser-safety condition is active.</w:t>
      </w:r>
    </w:p>
    <w:p>
      <w:pPr>
        <w:pStyle w:val="ListBullet"/>
      </w:pPr>
      <w:r>
        <w:t>Create recipes/pump_probe_single_point.yaml with required fields: wavelength_key, delay_ns, acquisition_duration_s or shot_count, T660-1 settings, T660-2 settings, MUX checkpoint routes for HF2LI DIO/AUX diagnostics, HF2LI preset, and PicoScope capture recipe/profile reference. Apply and read back on real T660 hardware in safe state.</w:t>
      </w:r>
    </w:p>
    <w:p>
      <w:pPr>
        <w:pStyle w:val="Heading3"/>
      </w:pPr>
      <w:r>
        <w:t>Hard gate before moving on</w:t>
      </w:r>
    </w:p>
    <w:p>
      <w:pPr>
        <w:pStyle w:val="ListBullet"/>
      </w:pPr>
      <w:r>
        <w:t>recipe_readback.json exists for safe_idle, timing_calibration, and pump_probe_single_point.</w:t>
      </w:r>
    </w:p>
    <w:p>
      <w:pPr>
        <w:pStyle w:val="ListBullet"/>
      </w:pPr>
      <w:r>
        <w:t>Readback values match recipe values within device command/readback precision.</w:t>
      </w:r>
    </w:p>
    <w:p>
      <w:pPr>
        <w:pStyle w:val="ListBullet"/>
      </w:pPr>
      <w:r>
        <w:t>Timing draft has placeholders for Day 8 measured offsets and no unsupported performance numbers.</w:t>
      </w:r>
    </w:p>
    <w:p>
      <w:pPr>
        <w:pStyle w:val="Heading2"/>
      </w:pPr>
      <w:r>
        <w:t>Day 4 - Mon Jun 15: Build independent Arduino MUX and PicoScope diagnostic paths</w:t>
      </w:r>
    </w:p>
    <w:p>
      <w:pPr>
        <w:pStyle w:val="Heading3"/>
      </w:pPr>
      <w:r>
        <w:t>Article/Thesis package stream - stored only in Article 1 RSI folder</w:t>
      </w:r>
    </w:p>
    <w:p>
      <w:pPr>
        <w:pStyle w:val="ListBullet"/>
      </w:pPr>
      <w:r>
        <w:t>Draft the Control Software section around configuration-driven operation, hardware-only checks, run manifests, Arduino MUX HF2LI DIO/AUX diagnostics, direct Pico timing diagnostics, and raw-data traceability. Do not make UI convenience the scientific contribution.</w:t>
      </w:r>
    </w:p>
    <w:p>
      <w:pPr>
        <w:pStyle w:val="ListBullet"/>
      </w:pPr>
      <w:r>
        <w:t>Add a Methods/Calibration paragraph explaining that the Arduino MUX and PicoScope are independent devices: the MUX routes only HF2LI DIO 9-15 and HF2LI AUX 1-4 diagnostic outputs to MUX Output A, Output B, and Output EXT, while the PicoScope is configured and captured through separate PicoScope recipes/checks. T660 TTL timing outputs remain direct point-to-point routes and are captured by direct Pico connections when timing evidence is required.</w:t>
      </w:r>
    </w:p>
    <w:p>
      <w:pPr>
        <w:pStyle w:val="ListBullet"/>
      </w:pPr>
      <w:r>
        <w:t>Create a placeholder entry in C:\Users\Chris\Documents\UC Davis\SETI\Thesis\Article 1 - Review of Scientific Instruments\Tables\Figure_Data_Dependencies.xlsx for a UI/state-machine screenshot or command-flow diagram, with the output path set to C:\Users\Chris\Documents\UC Davis\SETI\Thesis\Article 1 - Review of Scientific Instruments\Figures.</w:t>
      </w:r>
    </w:p>
    <w:p>
      <w:pPr>
        <w:pStyle w:val="Heading3"/>
      </w:pPr>
      <w:r>
        <w:t>UI/instrument-control stream - stored only in UI project</w:t>
      </w:r>
    </w:p>
    <w:p>
      <w:pPr>
        <w:pStyle w:val="ListBullet"/>
      </w:pPr>
      <w:r>
        <w:t>Implement the Arduino MUX command wrapper using the configured real serial port and baud rate from hardware_configuration.yaml. Required commands: connect, identify/version if available, set CH A route, set CH B route, set EXT route, query or echo active route, and close.</w:t>
      </w:r>
    </w:p>
    <w:p>
      <w:pPr>
        <w:pStyle w:val="ListBullet"/>
      </w:pPr>
      <w:r>
        <w:t>If Arduino firmware does not echo route state, add only a route-state echo command that reports the last latched route names. Do not add signal simulation or generated waveforms.</w:t>
      </w:r>
    </w:p>
    <w:p>
      <w:pPr>
        <w:pStyle w:val="ListBullet"/>
      </w:pPr>
      <w:r>
        <w:t>Implement PicoScope block capture for the configured real PicoScope using an editable PicoScope capture recipe/profile: open unit, set resolution, set CH A/CH B ranges and coupling, set external trigger or approved auto-trigger behavior, allocate buffers, run block, wait until ready, retrieve samples, save raw trace, close. Implement the Arduino MUX diagnostic separately: select documented HF2LI DIO/AUX diagnostic routes onto MUX Output A, Output B, and Output EXT, read back the route state, and write route evidence. Do not make either diagnostic depend on the other device. Do not route T660 TTL timing outputs through the MUX.</w:t>
      </w:r>
    </w:p>
    <w:p>
      <w:pPr>
        <w:pStyle w:val="Heading3"/>
      </w:pPr>
      <w:r>
        <w:t>Hard gate before moving on</w:t>
      </w:r>
    </w:p>
    <w:p>
      <w:pPr>
        <w:pStyle w:val="ListBullet"/>
      </w:pPr>
      <w:r>
        <w:t>calibration/mux_scope_route_verification.csv contains requested route, returned/echoed route, timestamp, and operator verification for CH A, CH B, and EXT.</w:t>
      </w:r>
    </w:p>
    <w:p>
      <w:pPr>
        <w:pStyle w:val="ListBullet"/>
      </w:pPr>
      <w:r>
        <w:t>calibration/arduino_mux_route_verification.csv contains real Arduino MUX route command/readback evidence. PicoScope trace files are produced only by independent PicoScope checks with acquisition recipe/profile hash and settings. If either path is blocked, record the exact device-specific blocker and any direct Pico timing fallback separately.</w:t>
      </w:r>
    </w:p>
    <w:p>
      <w:pPr>
        <w:pStyle w:val="ListBullet"/>
      </w:pPr>
      <w:r>
        <w:t>No UI widget/page imports Pico, Arduino serial, or T660 communication libraries directly.</w:t>
      </w:r>
    </w:p>
    <w:p>
      <w:pPr>
        <w:pStyle w:val="Heading2"/>
      </w:pPr>
      <w:r>
        <w:t>Day 5 - Tue Jun 16: Add only MIRcat/QCL control needed for evidence</w:t>
      </w:r>
    </w:p>
    <w:p>
      <w:pPr>
        <w:pStyle w:val="Heading3"/>
      </w:pPr>
      <w:r>
        <w:t>Article/Thesis package stream - stored only in Article 1 RSI folder</w:t>
      </w:r>
    </w:p>
    <w:p>
      <w:pPr>
        <w:pStyle w:val="ListBullet"/>
      </w:pPr>
      <w:r>
        <w:t>Draft the Probe Laser Operation subsection: QCL wavelength selection, interlock/key-switch checks, arming/temperature readiness, actual wavelength polling, emission state, and trigger-line use in the timing chain.</w:t>
      </w:r>
    </w:p>
    <w:p>
      <w:pPr>
        <w:pStyle w:val="ListBullet"/>
      </w:pPr>
      <w:r>
        <w:t>Create C:\Users\Chris\Documents\UC Davis\SETI\Thesis\Article 1 - Review of Scientific Instruments\Tables\Laser_Operating_Sequence.xlsx with pre-checks, arm, tune, verify actual wavelength, enable emission only under approved conditions, collect, emission off, cancel manual tune if used, and disarm.</w:t>
      </w:r>
    </w:p>
    <w:p>
      <w:pPr>
        <w:pStyle w:val="ListBullet"/>
      </w:pPr>
      <w:r>
        <w:t>Create C:\Users\Chris\Documents\UC Davis\SETI\Thesis\Article 1 - Review of Scientific Instruments\Safety_And_Operating_Limits_Notes.docx documenting items that are administrative or laser-safety controls rather than software safety controls.</w:t>
      </w:r>
    </w:p>
    <w:p>
      <w:pPr>
        <w:pStyle w:val="Heading3"/>
      </w:pPr>
      <w:r>
        <w:t>UI/instrument-control stream - stored only in UI project</w:t>
      </w:r>
    </w:p>
    <w:p>
      <w:pPr>
        <w:pStyle w:val="ListBullet"/>
      </w:pPr>
      <w:r>
        <w:t>Implement mircat_service.py against the real MIRcat SDK only. Required calls: initialize, get API version, number of installed QCLs, interlock status, key-switch status, arm/disarm, TEC temperature-ready polling, tune wavelength, poll actual wavelength, emission on/off, cancel manual tune mode, and deinitialize.</w:t>
      </w:r>
    </w:p>
    <w:p>
      <w:r>
        <w:t>Add a reusable MIRcat Status/Control widget for the planned PySide6/Qt Windows desktop UI. It must show connected, API version, interlock, key switch, armed, TEC ready, set wavelength, actual wavelength, light-valid flag if available, emission state, current scan/manual-tune state, last SDK return code, and last error; it must also expose operator inputs for wavelength/wavenumber, QCL, TEC/tune timeouts, poll interval, and guarded safety approval so the manufacturer MIRcat UI can remain closed during control.</w:t>
      </w:r>
    </w:p>
    <w:p>
      <w:r>
        <w:t>Run a lab-approved safe-state sequence with lambda_mid defaulting to 1858 cm^-1: close the manufacturer MIRcat UI, initialize, query statuses, arm/wait, tune to lambda_mid, verify actual wavelength, keep emission off unless explicitly approved, cancel manual tune, disarm, deinitialize.</w:t>
      </w:r>
    </w:p>
    <w:p>
      <w:pPr>
        <w:pStyle w:val="Heading3"/>
      </w:pPr>
      <w:r>
        <w:t>Hard gate before moving on</w:t>
      </w:r>
    </w:p>
    <w:p>
      <w:pPr>
        <w:pStyle w:val="ListBullet"/>
      </w:pPr>
      <w:r>
        <w:t>runs/YYYYMMDD_mircat_status_tune/ contains SDK return-code log and actual-wavelength record.</w:t>
      </w:r>
    </w:p>
    <w:p>
      <w:pPr>
        <w:pStyle w:val="ListBullet"/>
      </w:pPr>
      <w:r>
        <w:t>MIRcat page reflects the same state values as the log.</w:t>
      </w:r>
    </w:p>
    <w:p>
      <w:pPr>
        <w:pStyle w:val="ListBullet"/>
      </w:pPr>
      <w:r>
        <w:t>No MIRcat emission state is left on; no manual-tune mode remains uncleared.</w:t>
      </w:r>
    </w:p>
    <w:p>
      <w:pPr>
        <w:pStyle w:val="Heading2"/>
      </w:pPr>
      <w:r>
        <w:t>Day 6 - Wed Jun 17: Build the HF2LI/detector evidence path and freeze the Myoglobin-CO experiment plan</w:t>
      </w:r>
    </w:p>
    <w:p>
      <w:pPr>
        <w:pStyle w:val="Heading3"/>
      </w:pPr>
      <w:r>
        <w:t>Article/Thesis package stream - stored only in Article 1 RSI folder</w:t>
      </w:r>
    </w:p>
    <w:p>
      <w:pPr>
        <w:pStyle w:val="ListBullet"/>
      </w:pPr>
      <w:r>
        <w:t>Open RSI_Draft_v3.1 and create a Day 6 placeholder-to-evidence map for every remaining Myoglobin-CO, timing, detector, noise, wavelength, and proof-of-concept [VALUE REQUIRED] item.</w:t>
      </w:r>
    </w:p>
    <w:p>
      <w:pPr>
        <w:pStyle w:val="ListBullet"/>
      </w:pPr>
      <w:r>
        <w:t>Create C:\Users\Chris\Documents\UC Davis\SETI\Thesis\Article 1 - Review of Scientific Instruments\Tables\HF2LI_Detector_Variables.xlsx and Myoglobin_CO_Experiment_Plan.xlsx with sample preparation, path length, buffer/CO handling notes, FTIR method, QCL scan range, step/dwell, lock-in settings, and acceptance criteria.</w:t>
      </w:r>
    </w:p>
    <w:p>
      <w:pPr>
        <w:pStyle w:val="ListBullet"/>
      </w:pPr>
      <w:r>
        <w:t>Update Figure_Data_Dependencies.xlsx and Table_Data_Dependencies.xlsx so Figure 7, the proof-of-concept scan, timing, detector, and performance tables each have expected raw-data sources and article export paths.</w:t>
      </w:r>
    </w:p>
    <w:p>
      <w:pPr>
        <w:pStyle w:val="Heading3"/>
      </w:pPr>
      <w:r>
        <w:t>UI/instrument-control stream - stored only in UI project</w:t>
      </w:r>
    </w:p>
    <w:p>
      <w:pPr>
        <w:pStyle w:val="ListBullet"/>
      </w:pPr>
      <w:r>
        <w:t>Implement/verify hf2li_service.py against the real LabOne connection: device ID discovery, CH1/CH2 input config, demodulator preset loading, settings snapshot export/reload, acquisition start/stop, and data save.</w:t>
      </w:r>
    </w:p>
    <w:p>
      <w:pPr>
        <w:pStyle w:val="ListBullet"/>
      </w:pPr>
      <w:r>
        <w:t>Create/update recipes/hf2li_presets.yaml for dark_baseline, qcl_reference_baseline, myoglobin_co_spectrum, and myoglobin_co_pump_probe; capture a real 60 s HF2LI record with current detector/approved input.</w:t>
      </w:r>
    </w:p>
    <w:p>
      <w:pPr>
        <w:pStyle w:val="ListBullet"/>
      </w:pPr>
      <w:r>
        <w:t>Resolve the independent Day 4 Arduino MUX diagnostic and PicoScope settings/capture paths using current hardware_configuration.yaml plus editable PicoScope capture recipes/profiles; if either is blocked, log the exact device-specific blocker and define a direct Pico route for Day 8 timing evidence where timing evidence is required.</w:t>
      </w:r>
    </w:p>
    <w:p>
      <w:pPr>
        <w:pStyle w:val="Heading3"/>
      </w:pPr>
      <w:r>
        <w:t>Hard gate before moving on</w:t>
      </w:r>
    </w:p>
    <w:p>
      <w:pPr>
        <w:pStyle w:val="ListBullet"/>
      </w:pPr>
      <w:r>
        <w:t>runs/YYYYMMDD_hf2li_60s_record/ contains raw HF2LI data, CSV summary, settings snapshot, settings-reload comparison, command log, and manifest.</w:t>
      </w:r>
    </w:p>
    <w:p>
      <w:pPr>
        <w:pStyle w:val="ListBullet"/>
      </w:pPr>
      <w:r>
        <w:t>Myoglobin-CO experiment plan and acceptance criteria exist under Article Tables only and list who/what must confirm sample readiness.</w:t>
      </w:r>
    </w:p>
    <w:p>
      <w:pPr>
        <w:pStyle w:val="ListBullet"/>
      </w:pPr>
      <w:r>
        <w:t>Arduino MUX status and PicoScope status are each either passed or blocked, with direct-route timing fallback documented before timing calibration.</w:t>
      </w:r>
    </w:p>
    <w:p>
      <w:pPr>
        <w:pStyle w:val="Heading2"/>
      </w:pPr>
      <w:r>
        <w:t>Day 7 - Thu Jun 18: Freeze the add-only workflow interface and Myoglobin-CO acquisition recipe</w:t>
      </w:r>
    </w:p>
    <w:p>
      <w:pPr>
        <w:pStyle w:val="Heading3"/>
      </w:pPr>
      <w:r>
        <w:t>Article/Thesis package stream - stored only in Article 1 RSI folder</w:t>
      </w:r>
    </w:p>
    <w:p>
      <w:pPr>
        <w:pStyle w:val="ListBullet"/>
      </w:pPr>
      <w:r>
        <w:t>Revise the Control Software and workflow text into an instrument-reproducibility method: configuration hash, command path, workflow state machine, device readbacks, run manifests, abort logging, and MIRcat single-client constraint.</w:t>
      </w:r>
    </w:p>
    <w:p>
      <w:pPr>
        <w:pStyle w:val="ListBullet"/>
      </w:pPr>
      <w:r>
        <w:t>Create C:\Users\Chris\Documents\UC Davis\SETI\Thesis\Article 1 - Review of Scientific Instruments\Tables\Source_Data_Index.xlsx and Final_Claim_Table.xlsx skeletons covering timing, wavelength, detector, Myoglobin-CO spectral validation, pump-probe proof-of-concept, controls, and UI/reproducibility claims.</w:t>
      </w:r>
    </w:p>
    <w:p>
      <w:pPr>
        <w:pStyle w:val="ListBullet"/>
      </w:pPr>
      <w:r>
        <w:t>Freeze the Myoglobin-CO acquisition recipe in article notes: scan range around the CO band, pump wavelength/fluence plan, delay-list strategy, controls, file naming, and go/no-go criteria.</w:t>
      </w:r>
    </w:p>
    <w:p>
      <w:pPr>
        <w:pStyle w:val="Heading3"/>
      </w:pPr>
      <w:r>
        <w:t>UI/instrument-control stream - stored only in UI project</w:t>
      </w:r>
    </w:p>
    <w:p>
      <w:pPr>
        <w:pStyle w:val="ListBullet"/>
      </w:pPr>
      <w:r>
        <w:t xml:space="preserve">Ensure the UI action path remains UI button -&gt; WorkflowCommand -&gt; StateMachine -&gt; DeviceAdapter/Service for MIRcat, T660, PicoScope, Arduino MUX, and HF2LI; no widget talks directly to hardware.</w:t>
      </w:r>
    </w:p>
    <w:p>
      <w:pPr>
        <w:pStyle w:val="ListBullet"/>
      </w:pPr>
      <w:r>
        <w:t>Implement or verify startup_check, safe_shutdown, route_scope_signal, program_timing_recipe, arm_measurement, acquire_point, acquire_scan, and abort_to_safe; expose MIRcat wavenumber and timeout controls inside the widget.</w:t>
      </w:r>
    </w:p>
    <w:p>
      <w:pPr>
        <w:pStyle w:val="ListBullet"/>
      </w:pPr>
      <w:r>
        <w:t>Exercise startup/shutdown/route/recipe/acquire dry-run or safe real-hardware workflow with the Myoglobin-CO recipe loaded, storing manifest and command log.</w:t>
      </w:r>
    </w:p>
    <w:p>
      <w:pPr>
        <w:pStyle w:val="Heading3"/>
      </w:pPr>
      <w:r>
        <w:t>Hard gate before moving on</w:t>
      </w:r>
    </w:p>
    <w:p>
      <w:pPr>
        <w:pStyle w:val="ListBullet"/>
      </w:pPr>
      <w:r>
        <w:t>No UI file imports SDK, serial, TCP, Pico, T660, MIRcat, or LabOne libraries directly except through adapters/services.</w:t>
      </w:r>
    </w:p>
    <w:p>
      <w:pPr>
        <w:pStyle w:val="ListBullet"/>
      </w:pPr>
      <w:r>
        <w:t>Workflow logs exist for startup, shutdown, route, timing recipe, MIRcat parameter change, and HF2LI acquisition or blocked acquisition.</w:t>
      </w:r>
    </w:p>
    <w:p>
      <w:pPr>
        <w:pStyle w:val="ListBullet"/>
      </w:pPr>
      <w:r>
        <w:t>After this day, UI architecture is frozen; changes are limited to add-only widgets/commands or bug fixes needed to reproduce Day 8-12 data.</w:t>
      </w:r>
    </w:p>
    <w:p>
      <w:pPr>
        <w:pStyle w:val="Heading2"/>
      </w:pPr>
      <w:r>
        <w:t>Day 8 - Fri Jun 19: Complete electrical timing calibration for the Myoglobin-CO route</w:t>
      </w:r>
    </w:p>
    <w:p>
      <w:pPr>
        <w:pStyle w:val="Heading3"/>
      </w:pPr>
      <w:r>
        <w:t>Article/Thesis package stream - stored only in Article 1 RSI folder</w:t>
      </w:r>
    </w:p>
    <w:p>
      <w:pPr>
        <w:pStyle w:val="ListBullet"/>
      </w:pPr>
      <w:r>
        <w:t>Create the Day 8 timing export plan in Article Tables for pump trigger, QCL/probe trigger, HF2LI reference, Pico EXT, and any MUX/direct routes used by the Myoglobin-CO experiment.</w:t>
      </w:r>
    </w:p>
    <w:p>
      <w:pPr>
        <w:pStyle w:val="ListBullet"/>
      </w:pPr>
      <w:r>
        <w:t>After acquisition, export timing residual/jitter plots to C:\Users\Chris\Documents\UC Davis\SETI\Thesis\Article 1 - Review of Scientific Instruments\Figures and timing calibration tables to Article Tables; document route identity, cable/channel assignments, polarity, edge definitions, time-zero convention, and uncertainty budget.</w:t>
      </w:r>
    </w:p>
    <w:p>
      <w:pPr>
        <w:pStyle w:val="ListBullet"/>
      </w:pPr>
      <w:r>
        <w:t>Update RSI_Draft_v3.1 Timing and Synchronization placeholders only with measured or explicitly bounded values traceable to raw files.</w:t>
      </w:r>
    </w:p>
    <w:p>
      <w:pPr>
        <w:pStyle w:val="Heading3"/>
      </w:pPr>
      <w:r>
        <w:t>UI/instrument-control stream - stored only in UI project</w:t>
      </w:r>
    </w:p>
    <w:p>
      <w:pPr>
        <w:pStyle w:val="ListBullet"/>
      </w:pPr>
      <w:r>
        <w:t>Program the timing_calibration recipe and capture each critical pair listed in hardware_configuration.yaml; if the Arduino MUX remains blocked, keep that blocker separate and use the documented direct Pico route for timing evidence, retaining the blocker in the manifest.</w:t>
      </w:r>
    </w:p>
    <w:p>
      <w:pPr>
        <w:pStyle w:val="ListBullet"/>
      </w:pPr>
      <w:r>
        <w:t>For programmed separations of 0 ns, 100 ns, 1 us, 10 us, 100 us, and 1 ms, capture 100 shots each or record the approved reduced set with rationale.</w:t>
      </w:r>
    </w:p>
    <w:p>
      <w:pPr>
        <w:pStyle w:val="ListBullet"/>
      </w:pPr>
      <w:r>
        <w:t>Save calibration/timing_offsets.yaml, calibration/timing_calibration.csv, raw Pico traces, route logs, command logs, and run manifests. Do not save article figures inside the UI project.</w:t>
      </w:r>
    </w:p>
    <w:p>
      <w:pPr>
        <w:pStyle w:val="Heading3"/>
      </w:pPr>
      <w:r>
        <w:t>Hard gate before moving on</w:t>
      </w:r>
    </w:p>
    <w:p>
      <w:pPr>
        <w:pStyle w:val="ListBullet"/>
      </w:pPr>
      <w:r>
        <w:t>Every polarity, trigger edge, sign convention, and route identity needed for Myoglobin-CO scans is verified.</w:t>
      </w:r>
    </w:p>
    <w:p>
      <w:pPr>
        <w:pStyle w:val="ListBullet"/>
      </w:pPr>
      <w:r>
        <w:t>Any failed pair is marked failed or excluded from automated scans until fixed; uncertainty from missing routes is documented.</w:t>
      </w:r>
    </w:p>
    <w:p>
      <w:pPr>
        <w:pStyle w:val="ListBullet"/>
      </w:pPr>
      <w:r>
        <w:t>Article figure/table exports exist only under Article Figures and Article Tables and are traceable to raw calibration files.</w:t>
      </w:r>
    </w:p>
    <w:p>
      <w:pPr>
        <w:pStyle w:val="Heading2"/>
      </w:pPr>
      <w:r>
        <w:t>Day 9 - Sat Jun 20: Acquire detector baseline, ratioing, and noise evidence at the Myoglobin-CO probe region</w:t>
      </w:r>
    </w:p>
    <w:p>
      <w:pPr>
        <w:pStyle w:val="Heading3"/>
      </w:pPr>
      <w:r>
        <w:t>Article/Thesis package stream - stored only in Article 1 RSI folder</w:t>
      </w:r>
    </w:p>
    <w:p>
      <w:pPr>
        <w:pStyle w:val="ListBullet"/>
      </w:pPr>
      <w:r>
        <w:t>Define detector evidence outputs in Article Tables: CH1/CH2 RMS, sample/reference ratio RMS, drift slope, Allan-deviation inclusion decision, ratioing improvement, noise-equivalent absorbance method, and Myoglobin-CO scan settings lock.</w:t>
      </w:r>
    </w:p>
    <w:p>
      <w:pPr>
        <w:pStyle w:val="ListBullet"/>
      </w:pPr>
      <w:r>
        <w:t>After acquisition, export detector baseline/ratioing plots and noise summary table; add entries to Source_Data_Index.xlsx and Final_Claim_Table.xlsx.</w:t>
      </w:r>
    </w:p>
    <w:p>
      <w:pPr>
        <w:pStyle w:val="ListBullet"/>
      </w:pPr>
      <w:r>
        <w:t>Fill detector/lock-in and noise/stability manuscript placeholders only after raw HF2LI/Pico files and manifests exist.</w:t>
      </w:r>
    </w:p>
    <w:p>
      <w:pPr>
        <w:pStyle w:val="Heading3"/>
      </w:pPr>
      <w:r>
        <w:t>UI/instrument-control stream - stored only in UI project</w:t>
      </w:r>
    </w:p>
    <w:p>
      <w:pPr>
        <w:pStyle w:val="ListBullet"/>
      </w:pPr>
      <w:r>
        <w:t>Acquire dark baseline with QCL emission off and pump blocked: 5 records x 10 s from HF2LI CH1/CH2 plus a Pico trace of the relevant digital trigger.</w:t>
      </w:r>
    </w:p>
    <w:p>
      <w:pPr>
        <w:pStyle w:val="ListBullet"/>
      </w:pPr>
      <w:r>
        <w:t>Acquire QCL baseline with pump blocked at the selected Myoglobin-CO probe region and adjacent points if permitted; record MIRcat setpoint, actual wavelength, armed/emission state, lock-in settings, and sample/reference signals.</w:t>
      </w:r>
    </w:p>
    <w:p>
      <w:pPr>
        <w:pStyle w:val="ListBullet"/>
      </w:pPr>
      <w:r>
        <w:t>Compute CH1 RMS, CH2 RMS, ratio RMS, drift slope, ratioing improvement, and initial noise-equivalent absorbance; capture synchronized HF2LI analog/Pico traces where route allows.</w:t>
      </w:r>
    </w:p>
    <w:p>
      <w:pPr>
        <w:pStyle w:val="Heading3"/>
      </w:pPr>
      <w:r>
        <w:t>Hard gate before moving on</w:t>
      </w:r>
    </w:p>
    <w:p>
      <w:pPr>
        <w:pStyle w:val="ListBullet"/>
      </w:pPr>
      <w:r>
        <w:t>calibration/detector_baseline.csv, ratio_noise_summary.md, raw HF2LI data, Pico traces or route blocker, and manifests exist.</w:t>
      </w:r>
    </w:p>
    <w:p>
      <w:pPr>
        <w:pStyle w:val="ListBullet"/>
      </w:pPr>
      <w:r>
        <w:t>If coefficient of variation exceeds the predeclared threshold, adjust only HF2LI preset/optical operating parameters and re-record; do not alter UI architecture.</w:t>
      </w:r>
    </w:p>
    <w:p>
      <w:pPr>
        <w:pStyle w:val="ListBullet"/>
      </w:pPr>
      <w:r>
        <w:t>Measurement settings for Day 10-12 are locked or explicitly limited.</w:t>
      </w:r>
    </w:p>
    <w:p>
      <w:pPr>
        <w:pStyle w:val="Heading2"/>
      </w:pPr>
      <w:r>
        <w:t>Day 10 - Sun Jun 21: Acquire Myoglobin-CO QCL/FTIR spectral validation and MIRcat wavelength evidence</w:t>
      </w:r>
    </w:p>
    <w:p>
      <w:pPr>
        <w:pStyle w:val="Heading3"/>
      </w:pPr>
      <w:r>
        <w:t>Article/Thesis package stream - stored only in Article 1 RSI folder</w:t>
      </w:r>
    </w:p>
    <w:p>
      <w:pPr>
        <w:pStyle w:val="ListBullet"/>
      </w:pPr>
      <w:r>
        <w:t>Acquire or import confirmed FTIR reference for Myoglobin-CO with instrument model, transmission/ATR geometry, resolution, apodization, scans, background, sample preparation, and post-processing recorded.</w:t>
      </w:r>
    </w:p>
    <w:p>
      <w:pPr>
        <w:pStyle w:val="ListBullet"/>
      </w:pPr>
      <w:r>
        <w:t>Acquire QCL spectrum over the Myoglobin-CO CO-band region; export Figure 7 QCL/FTIR comparison and table rows for CO-band position agreement, FWHM/line shape, SNR, and stability/repeatability.</w:t>
      </w:r>
    </w:p>
    <w:p>
      <w:pPr>
        <w:pStyle w:val="ListBullet"/>
      </w:pPr>
      <w:r>
        <w:t>Also complete the MIRcat wavelength/trigger validation paragraph and dependencies: setpoint/readback, time-to-tune, trigger-line timing, scan status, and manifest IDs.</w:t>
      </w:r>
    </w:p>
    <w:p>
      <w:pPr>
        <w:pStyle w:val="Heading3"/>
      </w:pPr>
      <w:r>
        <w:t>UI/instrument-control stream - stored only in UI project</w:t>
      </w:r>
    </w:p>
    <w:p>
      <w:pPr>
        <w:pStyle w:val="ListBullet"/>
      </w:pPr>
      <w:r>
        <w:t>Run MIRcat tune/scan steps over the approved Myoglobin-CO CO-band range, including lambda_mid 1858 cm^-1 when relevant and any selected band edges within 1638.8-2077.3 cm^-1.</w:t>
      </w:r>
    </w:p>
    <w:p>
      <w:pPr>
        <w:pStyle w:val="ListBullet"/>
      </w:pPr>
      <w:r>
        <w:t>At each point, wait until tuned, record actual wavelength, time-to-tune, TEC/armed/emission state, HF2LI CH1/CH2/ratio, Pico trigger trace where available, and sample condition.</w:t>
      </w:r>
    </w:p>
    <w:p>
      <w:pPr>
        <w:pStyle w:val="ListBullet"/>
      </w:pPr>
      <w:r>
        <w:t>Verify scan direction, tuned/scan firing, wavelength trigger, process trigger, and laser output on/off lines on configured HF2LI/Pico routes or record the explicit blocker.</w:t>
      </w:r>
    </w:p>
    <w:p>
      <w:pPr>
        <w:pStyle w:val="Heading3"/>
      </w:pPr>
      <w:r>
        <w:t>Hard gate before moving on</w:t>
      </w:r>
    </w:p>
    <w:p>
      <w:pPr>
        <w:pStyle w:val="ListBullet"/>
      </w:pPr>
      <w:r>
        <w:t>calibration/mircat_scan_validation.csv and runs/YYYYMMDD_myoglobin_co_qcl_spectrum/ contain setpoint, actual wavelength, DIO timing, lock-in response, FTIR source, scan status, and manifest IDs.</w:t>
      </w:r>
    </w:p>
    <w:p>
      <w:pPr>
        <w:pStyle w:val="ListBullet"/>
      </w:pPr>
      <w:r>
        <w:t>Figure 7 and Myoglobin-CO table values are populated; if sample/FTIR/QCL data are unusable, a limitation and fallback figure decision are recorded before Day 11.</w:t>
      </w:r>
    </w:p>
    <w:p>
      <w:pPr>
        <w:pStyle w:val="ListBullet"/>
      </w:pPr>
      <w:r>
        <w:t>No MIRcat manual-tune state remains uncleared and emission is left off unless an approved scan requires otherwise.</w:t>
      </w:r>
    </w:p>
    <w:p>
      <w:pPr>
        <w:pStyle w:val="Heading2"/>
      </w:pPr>
      <w:r>
        <w:t>Day 11 - Mon Jun 22: Run the first complete Myoglobin-CO pump-probe proof-of-concept scan</w:t>
      </w:r>
    </w:p>
    <w:p>
      <w:pPr>
        <w:pStyle w:val="Heading3"/>
      </w:pPr>
      <w:r>
        <w:t>Article/Thesis package stream - stored only in Article 1 RSI folder</w:t>
      </w:r>
    </w:p>
    <w:p>
      <w:pPr>
        <w:pStyle w:val="ListBullet"/>
      </w:pPr>
      <w:r>
        <w:t>Define the representative Myoglobin-CO pump-probe caption/table row before acquisition: sample state, pump wavelength/fluence, probe wavenumber, delay list, acquisition time/shot count, timing recipe, detector channels, and control status.</w:t>
      </w:r>
    </w:p>
    <w:p>
      <w:pPr>
        <w:pStyle w:val="ListBullet"/>
      </w:pPr>
      <w:r>
        <w:t>After acquisition, export the representative pump-probe plot and source-data row; replace Full-System Proof-of-Concept placeholders with measured acquisition notes.</w:t>
      </w:r>
    </w:p>
    <w:p>
      <w:pPr>
        <w:pStyle w:val="ListBullet"/>
      </w:pPr>
      <w:r>
        <w:t>Record any deviations from the planned experiment as limitations rather than unstated method changes.</w:t>
      </w:r>
    </w:p>
    <w:p>
      <w:pPr>
        <w:pStyle w:val="Heading3"/>
      </w:pPr>
      <w:r>
        <w:t>UI/instrument-control stream - stored only in UI project</w:t>
      </w:r>
    </w:p>
    <w:p>
      <w:pPr>
        <w:pStyle w:val="ListBullet"/>
      </w:pPr>
      <w:r>
        <w:t>With approved laser-safety setup, shutters/attenuation, detector protection, and prepared Myoglobin-CO sample, run one UI-controlled pump-probe acquisition at the selected CO-band probe wavenumber.</w:t>
      </w:r>
    </w:p>
    <w:p>
      <w:pPr>
        <w:pStyle w:val="ListBullet"/>
      </w:pPr>
      <w:r>
        <w:t>Use a fixed delay list around temporal overlap: pre-zero, near-zero, early positive delay, intermediate delay, and late delay points; store the exact list in the manifest.</w:t>
      </w:r>
    </w:p>
    <w:p>
      <w:pPr>
        <w:pStyle w:val="ListBullet"/>
      </w:pPr>
      <w:r>
        <w:t>At each delay, acquire the predetermined shot count/time window, store HF2LI sample/reference/ratio, and save Pico traces for first/middle/last delay; workflow must start and end in SAFE_IDLE.</w:t>
      </w:r>
    </w:p>
    <w:p>
      <w:pPr>
        <w:pStyle w:val="Heading3"/>
      </w:pPr>
      <w:r>
        <w:t>Hard gate before moving on</w:t>
      </w:r>
    </w:p>
    <w:p>
      <w:pPr>
        <w:pStyle w:val="ListBullet"/>
      </w:pPr>
      <w:r>
        <w:t>runs/YYYYMMDD_myoglobin_co_pump_probe_scan/ contains raw data, summary, command logs, device readbacks, sample notes, timing offsets, and complete manifest.</w:t>
      </w:r>
    </w:p>
    <w:p>
      <w:pPr>
        <w:pStyle w:val="ListBullet"/>
      </w:pPr>
      <w:r>
        <w:t>No manual intervention occurs after pressing Start except approved emergency stop; any intervention invalidates the scan for the representative figure unless documented as a limitation.</w:t>
      </w:r>
    </w:p>
    <w:p>
      <w:pPr>
        <w:pStyle w:val="ListBullet"/>
      </w:pPr>
      <w:r>
        <w:t>Representative figure export is created under Article Figures only and links back to raw files.</w:t>
      </w:r>
    </w:p>
    <w:p>
      <w:pPr>
        <w:pStyle w:val="Heading2"/>
      </w:pPr>
      <w:r>
        <w:t>Day 12 - Tue Jun 23: Acquire Myoglobin-CO repeatability/control data and lock all claims</w:t>
      </w:r>
    </w:p>
    <w:p>
      <w:pPr>
        <w:pStyle w:val="Heading3"/>
      </w:pPr>
      <w:r>
        <w:t>Article/Thesis package stream - stored only in Article 1 RSI folder</w:t>
      </w:r>
    </w:p>
    <w:p>
      <w:pPr>
        <w:pStyle w:val="ListBullet"/>
      </w:pPr>
      <w:r>
        <w:t>Create/update Final_Claim_Table.xlsx with timing uncertainty, wavelength range tested, detector noise/ratioing performance, spectral validation metrics, acquisition throughput, repeatability, blocked-pump/control response, dropped-point count, and UI/driver error count.</w:t>
      </w:r>
    </w:p>
    <w:p>
      <w:pPr>
        <w:pStyle w:val="ListBullet"/>
      </w:pPr>
      <w:r>
        <w:t>Update the Abstract, Performance Demonstration, Limitations, Conclusion, and Data Availability using only locked numbers from the claim table and Source_Data_Index.xlsx.</w:t>
      </w:r>
    </w:p>
    <w:p>
      <w:pPr>
        <w:pStyle w:val="ListBullet"/>
      </w:pPr>
      <w:r>
        <w:t>Remove or defer unsupported claims; do not leave [VALUE REQUIRED] in active claims.</w:t>
      </w:r>
    </w:p>
    <w:p>
      <w:pPr>
        <w:pStyle w:val="Heading3"/>
      </w:pPr>
      <w:r>
        <w:t>UI/instrument-control stream - stored only in UI project</w:t>
      </w:r>
    </w:p>
    <w:p>
      <w:pPr>
        <w:pStyle w:val="ListBullet"/>
      </w:pPr>
      <w:r>
        <w:t>Repeat the Day 11 Myoglobin-CO scan without changing alignment, then run a blocked-pump/control scan over the same delay list or a reduced list containing pre-zero, near-zero, and late-time points.</w:t>
      </w:r>
    </w:p>
    <w:p>
      <w:pPr>
        <w:pStyle w:val="ListBullet"/>
      </w:pPr>
      <w:r>
        <w:t>Compute mean response, standard error, scan-to-scan repeatability, blocked-pump false response, timing uncertainty rollup, acquisition throughput, dropped-point count, and UI/driver error count.</w:t>
      </w:r>
    </w:p>
    <w:p>
      <w:pPr>
        <w:pStyle w:val="ListBullet"/>
      </w:pPr>
      <w:r>
        <w:t>Save performance_table.csv plus raw/control data and manifests in UI outputs; export article-facing final claim and performance tables to Article Tables only.</w:t>
      </w:r>
    </w:p>
    <w:p>
      <w:pPr>
        <w:pStyle w:val="Heading3"/>
      </w:pPr>
      <w:r>
        <w:t>Hard gate before moving on</w:t>
      </w:r>
    </w:p>
    <w:p>
      <w:pPr>
        <w:pStyle w:val="ListBullet"/>
      </w:pPr>
      <w:r>
        <w:t>Every final numeric claim in the draft appears in Final_Claim_Table.xlsx and links to a raw file plus manifest.</w:t>
      </w:r>
    </w:p>
    <w:p>
      <w:pPr>
        <w:pStyle w:val="ListBullet"/>
      </w:pPr>
      <w:r>
        <w:t>Myoglobin-CO repeatability/control outcome is included or explicitly listed as a limitation.</w:t>
      </w:r>
    </w:p>
    <w:p>
      <w:pPr>
        <w:pStyle w:val="ListBullet"/>
      </w:pPr>
      <w:r>
        <w:t>No new performance claim may be added after this day unless raw data already exist.</w:t>
      </w:r>
    </w:p>
    <w:p>
      <w:pPr>
        <w:pStyle w:val="Heading2"/>
      </w:pPr>
      <w:r>
        <w:t>Day 13 - Wed Jun 24: Assemble the peer-review-ready RSI draft, figures, tables, and source-data index</w:t>
      </w:r>
    </w:p>
    <w:p>
      <w:pPr>
        <w:pStyle w:val="Heading3"/>
      </w:pPr>
      <w:r>
        <w:t>Article/Thesis package stream - stored only in Article 1 RSI folder</w:t>
      </w:r>
    </w:p>
    <w:p>
      <w:pPr>
        <w:pStyle w:val="ListBullet"/>
      </w:pPr>
      <w:r>
        <w:t>Generate final article figures from raw data: system schematic, timing/control diagram, electrical timing residuals/jitter, detector/reference-ratio noise, Myoglobin-CO QCL/FTIR comparison, representative pump-probe scan, and noise/performance figure if used.</w:t>
      </w:r>
    </w:p>
    <w:p>
      <w:pPr>
        <w:pStyle w:val="ListBullet"/>
      </w:pPr>
      <w:r>
        <w:t>Advance RSI_Draft_v3.1 to the next manuscript version in the Article root; complete Title, Abstract, Introduction, Instrument Design, Timing and Synchronization, Control Software, Calibration, Myoglobin-CO Proof-of-Concept, Performance, Limitations, Conclusion, Declarations, Data Availability, and References.</w:t>
      </w:r>
    </w:p>
    <w:p>
      <w:pPr>
        <w:pStyle w:val="ListBullet"/>
      </w:pPr>
      <w:r>
        <w:t>Create/update Source_Data_Index.xlsx so every figure panel and table value maps to raw data, manifest, analysis/export method, and file hash if available.</w:t>
      </w:r>
    </w:p>
    <w:p>
      <w:pPr>
        <w:pStyle w:val="Heading3"/>
      </w:pPr>
      <w:r>
        <w:t>UI/instrument-control stream - stored only in UI project</w:t>
      </w:r>
    </w:p>
    <w:p>
      <w:pPr>
        <w:pStyle w:val="ListBullet"/>
      </w:pPr>
      <w:r>
        <w:t>Do not add convenience features. Perform only bug fixes needed to reproduce acquired runs, reopen manifests, export settings/readbacks, or rerun failed article measurements.</w:t>
      </w:r>
    </w:p>
    <w:p>
      <w:pPr>
        <w:pStyle w:val="ListBullet"/>
      </w:pPr>
      <w:r>
        <w:t>Freeze the UI/control command path and record git commit/hash, hardware_configuration.yaml hash, timing_offsets.yaml, recipes, HF2LI presets, run manifests, and command logs in an archive bundle.</w:t>
      </w:r>
    </w:p>
    <w:p>
      <w:pPr>
        <w:pStyle w:val="ListBullet"/>
      </w:pPr>
      <w:r>
        <w:t>Verify the MIRcat widget still exposes user controls needed because the manufacturer UI cannot be open concurrently: setpoint, timeouts, tune/status/disarm/cancel manual tune, emission-safe state reporting.</w:t>
      </w:r>
    </w:p>
    <w:p>
      <w:pPr>
        <w:pStyle w:val="Heading3"/>
      </w:pPr>
      <w:r>
        <w:t>Hard gate before moving on</w:t>
      </w:r>
    </w:p>
    <w:p>
      <w:pPr>
        <w:pStyle w:val="ListBullet"/>
      </w:pPr>
      <w:r>
        <w:t>Every figure/table is cited in the manuscript and has a source-data row.</w:t>
      </w:r>
    </w:p>
    <w:p>
      <w:pPr>
        <w:pStyle w:val="ListBullet"/>
      </w:pPr>
      <w:r>
        <w:t>No [VALUE REQUIRED] remains in active manuscript text; unresolved data are moved to limitations or removed.</w:t>
      </w:r>
    </w:p>
    <w:p>
      <w:pPr>
        <w:pStyle w:val="ListBullet"/>
      </w:pPr>
      <w:r>
        <w:t>UI archive bundle contains reproducibility artifacts only, not manuscript/figure/table files.</w:t>
      </w:r>
    </w:p>
    <w:p>
      <w:pPr>
        <w:pStyle w:val="Heading2"/>
      </w:pPr>
      <w:r>
        <w:t>Day 14 - Thu Jun 25: Create the peer-review-ready coauthor package</w:t>
      </w:r>
    </w:p>
    <w:p>
      <w:pPr>
        <w:pStyle w:val="Heading3"/>
      </w:pPr>
      <w:r>
        <w:t>Article/Thesis package stream - stored only in Article 1 RSI folder</w:t>
      </w:r>
    </w:p>
    <w:p>
      <w:pPr>
        <w:pStyle w:val="ListBullet"/>
      </w:pPr>
      <w:r>
        <w:t>Save the June 25 coauthor-review manuscript as the next RSI_Draft_v#.docx and export a PDF proof in the Article root.</w:t>
      </w:r>
    </w:p>
    <w:p>
      <w:pPr>
        <w:pStyle w:val="ListBullet"/>
      </w:pPr>
      <w:r>
        <w:t>Place final figures/tables, supplementary material, cover letter draft, author checklist, reviewer list draft, data availability wording, author declarations, funding/conflicts/author contributions, and reference file in Article root subfolders.</w:t>
      </w:r>
    </w:p>
    <w:p>
      <w:pPr>
        <w:pStyle w:val="ListBullet"/>
      </w:pPr>
      <w:r>
        <w:t>Run the peer-review readiness checklist: title/abstract claims match claim table, figure resolution/readability, table titles, references, author order/affiliations, acknowledgments, data availability, suggested/opposed reviewers, and supplement completeness.</w:t>
      </w:r>
    </w:p>
    <w:p>
      <w:pPr>
        <w:pStyle w:val="Heading3"/>
      </w:pPr>
      <w:r>
        <w:t>UI/instrument-control stream - stored only in UI project</w:t>
      </w:r>
    </w:p>
    <w:p>
      <w:pPr>
        <w:pStyle w:val="ListBullet"/>
      </w:pPr>
      <w:r>
        <w:t>Create a reproducibility tag/archive bundle for the exact UI/control state used for article data: git commit, config hash, timing offsets, recipes, presets, run manifests, raw-data index, and error logs.</w:t>
      </w:r>
    </w:p>
    <w:p>
      <w:pPr>
        <w:pStyle w:val="ListBullet"/>
      </w:pPr>
      <w:r>
        <w:t>Verify emergency stop, safe shutdown, MIRcat emission-off/disarm path, and read-only manifest review still work after Day 13 bug fixes.</w:t>
      </w:r>
    </w:p>
    <w:p>
      <w:pPr>
        <w:pStyle w:val="ListBullet"/>
      </w:pPr>
      <w:r>
        <w:t>Do not create manuscript DOCX/PDF/figure/table outputs from inside the UI project; article packaging occurs only in the Article 1 RSI folder.</w:t>
      </w:r>
    </w:p>
    <w:p>
      <w:pPr>
        <w:pStyle w:val="Heading3"/>
      </w:pPr>
      <w:r>
        <w:t>Hard gate before moving on</w:t>
      </w:r>
    </w:p>
    <w:p>
      <w:pPr>
        <w:pStyle w:val="ListBullet"/>
      </w:pPr>
      <w:r>
        <w:t>Coauthor-review package is ready from the Article path on June 25.</w:t>
      </w:r>
    </w:p>
    <w:p>
      <w:pPr>
        <w:pStyle w:val="ListBullet"/>
      </w:pPr>
      <w:r>
        <w:t>UI/control archive is ready to support reviewer questions or supplement reproducibility claims.</w:t>
      </w:r>
    </w:p>
    <w:p>
      <w:pPr>
        <w:pStyle w:val="ListBullet"/>
      </w:pPr>
      <w:r>
        <w:t>June 26-30 work is limited to coauthor edits, journal metadata, final proofing, author approvals, and submission.</w:t>
      </w:r>
    </w:p>
    <w:p>
      <w:pPr>
        <w:pStyle w:val="Heading1"/>
      </w:pPr>
      <w:r>
        <w:t>End-of-month bridge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56"/>
        <w:gridCol w:w="5256"/>
      </w:tblGrid>
      <w:tr>
        <w:trPr>
          <w:tblHeader w:val="true"/>
        </w:trPr>
        <w:tc>
          <w:tcPr>
            <w:tcW w:type="dxa" w:w="5256"/>
            <w:vAlign w:val="top"/>
            <w:shd w:fill="D9EAF7"/>
          </w:tcPr>
          <w:p>
            <w:r/>
            <w:r>
              <w:rPr>
                <w:b/>
                <w:sz w:val="17"/>
              </w:rPr>
              <w:t>Date</w:t>
            </w:r>
          </w:p>
        </w:tc>
        <w:tc>
          <w:tcPr>
            <w:tcW w:type="dxa" w:w="5256"/>
            <w:vAlign w:val="top"/>
            <w:shd w:fill="D9EAF7"/>
          </w:tcPr>
          <w:p>
            <w:r/>
            <w:r>
              <w:rPr>
                <w:b/>
                <w:sz w:val="17"/>
              </w:rPr>
              <w:t>Allowed work only</w:t>
            </w:r>
          </w:p>
        </w:tc>
      </w:tr>
      <w:tr>
        <w:tc>
          <w:tcPr>
            <w:tcW w:type="dxa" w:w="5256"/>
            <w:vAlign w:val="top"/>
          </w:tcPr>
          <w:p>
            <w:r>
              <w:t>June 26-27</w:t>
            </w:r>
          </w:p>
        </w:tc>
        <w:tc>
          <w:tcPr>
            <w:tcW w:type="dxa" w:w="5256"/>
            <w:vAlign w:val="top"/>
          </w:tcPr>
          <w:p>
            <w:r>
              <w:t>Coauthor edits, response to internal comments, reference cleanup, figure readability check, and supplement cleanup. No new UI features and no new measurements unless an existing figure or table is technically wrong.</w:t>
            </w:r>
          </w:p>
        </w:tc>
      </w:tr>
      <w:tr>
        <w:tc>
          <w:tcPr>
            <w:tcW w:type="dxa" w:w="5256"/>
            <w:vAlign w:val="top"/>
          </w:tcPr>
          <w:p>
            <w:r>
              <w:t>June 28</w:t>
            </w:r>
          </w:p>
        </w:tc>
        <w:tc>
          <w:tcPr>
            <w:tcW w:type="dxa" w:w="5256"/>
            <w:vAlign w:val="top"/>
          </w:tcPr>
          <w:p>
            <w:r>
              <w:t>Final technical proof: every claim in the abstract/conclusion appears in Final_Claim_Table.xlsx or is directly supported by a cited component/specification. Verify all article files are under the Article 1 RSI path and Source_Data_Index.xlsx is complete.</w:t>
            </w:r>
          </w:p>
        </w:tc>
      </w:tr>
      <w:tr>
        <w:tc>
          <w:tcPr>
            <w:tcW w:type="dxa" w:w="5256"/>
            <w:vAlign w:val="top"/>
          </w:tcPr>
          <w:p>
            <w:r>
              <w:t>June 29</w:t>
            </w:r>
          </w:p>
        </w:tc>
        <w:tc>
          <w:tcPr>
            <w:tcW w:type="dxa" w:w="5256"/>
            <w:vAlign w:val="top"/>
          </w:tcPr>
          <w:p>
            <w:r>
              <w:t>Submission metadata, author declarations, suggested/opposed reviewers, cover letter, data availability statement, final PDF/DOCX proof, and journal-format checks.</w:t>
            </w:r>
          </w:p>
        </w:tc>
      </w:tr>
      <w:tr>
        <w:tc>
          <w:tcPr>
            <w:tcW w:type="dxa" w:w="5256"/>
            <w:vAlign w:val="top"/>
          </w:tcPr>
          <w:p>
            <w:r>
              <w:t>June 30</w:t>
            </w:r>
          </w:p>
        </w:tc>
        <w:tc>
          <w:tcPr>
            <w:tcW w:type="dxa" w:w="5256"/>
            <w:vAlign w:val="top"/>
          </w:tcPr>
          <w:p>
            <w:r>
              <w:t>Submit. After submission, no repository/article changes are part of the submitted record unless logged as post-submission corrections.</w:t>
            </w:r>
          </w:p>
        </w:tc>
      </w:tr>
    </w:tbl>
    <w:p>
      <w:pPr>
        <w:pStyle w:val="Heading1"/>
      </w:pPr>
      <w:r>
        <w:t>Repository clean-up checklist</w:t>
      </w:r>
    </w:p>
    <w:p>
      <w:pPr>
        <w:pStyle w:val="ListBullet"/>
      </w:pPr>
      <w:r>
        <w:t>Search the UI project for article/thesis artifacts before each commit: manuscript drafts, supplement files, cover letters, exported figures, exported tables, article claim tables, and source-data indexes must not be present.</w:t>
      </w:r>
    </w:p>
    <w:p>
      <w:pPr>
        <w:pStyle w:val="ListBullet"/>
      </w:pPr>
      <w:r>
        <w:t>Search the UI project for forbidden directory names: manuscript, article, thesis, supplement, figures, tables, and review. Move any such content to the Article 1 RSI path or another non-UI location before committing.</w:t>
      </w:r>
    </w:p>
    <w:p>
      <w:pPr>
        <w:pStyle w:val="ListBullet"/>
      </w:pPr>
      <w:r>
        <w:t>Search the UI project for fake/simulation code: fake, mock, stub, simulator, simulated, demo_device, or synthetic. Remove any such device layer from the submission-period scaffold unless it is unrelated legacy code kept outside the active application path and explicitly excluded from workflows.</w:t>
      </w:r>
    </w:p>
    <w:p>
      <w:pPr>
        <w:pStyle w:val="ListBullet"/>
      </w:pPr>
      <w:r>
        <w:t>Confirm hardware_configuration.yaml is not rewritten by the UI. All generated files must be separate derived artifacts with timestamps and manifest references.</w:t>
      </w:r>
    </w:p>
    <w:p>
      <w:pPr>
        <w:pStyle w:val="ListBullet"/>
      </w:pPr>
      <w:r>
        <w:t>Confirm the final UI tag/archive contains no files from the Article 1 RSI Draft, Figures, or Tables folders.</w:t>
      </w:r>
    </w:p>
    <w:sectPr w:rsidR="00FC693F" w:rsidRPr="0006063C" w:rsidSect="00034616">
      <w:headerReference w:type="default" r:id="rId9"/>
      <w:footerReference w:type="default" r:id="rId10"/>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Article files: Article 1 RSI folder only | UI repo: control/config/data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Two-Week Workplan - RSI Article/Thesis Separate from UI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