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0486CDAD" w:rsidR="0041334D" w:rsidRDefault="0041334D">
      <w:r>
        <w:t>Library packages:</w:t>
      </w:r>
      <w:r w:rsidR="00353353">
        <w:t xml:space="preserve"> </w:t>
      </w:r>
      <w:proofErr w:type="spellStart"/>
      <w:r w:rsidR="00353353">
        <w:t>BioJava</w:t>
      </w:r>
      <w:proofErr w:type="spellEnd"/>
      <w:r w:rsidR="00D2613C">
        <w:t xml:space="preserve">, </w:t>
      </w:r>
      <w:proofErr w:type="spellStart"/>
      <w:r w:rsidR="00BB76C2">
        <w:t>Biopython</w:t>
      </w:r>
      <w:proofErr w:type="spellEnd"/>
      <w:r w:rsidR="00BB76C2">
        <w:t xml:space="preserve">, </w:t>
      </w:r>
      <w:r w:rsidR="00D2613C">
        <w:t>Matplotlib</w:t>
      </w:r>
      <w:r w:rsidR="00BB76C2">
        <w:t xml:space="preserve"> </w:t>
      </w:r>
    </w:p>
    <w:p w14:paraId="0BF42012" w14:textId="77777777" w:rsidR="00B624DD" w:rsidRDefault="00B624DD"/>
    <w:p w14:paraId="1CD69538" w14:textId="5F738378" w:rsidR="00B27427" w:rsidRDefault="00BB76C2">
      <w:r>
        <w:t>**</w:t>
      </w:r>
      <w:r w:rsidR="00B27427">
        <w:t>Additions: Python and matplotlib were used to create Phylogenetic trees to compare genomes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52226BAA"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14FCD8F4"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proofErr w:type="spellStart"/>
            <w:r w:rsidRPr="002E2586">
              <w:rPr>
                <w:b/>
                <w:bCs/>
              </w:rPr>
              <w:t>sars</w:t>
            </w:r>
            <w:proofErr w:type="spellEnd"/>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 xml:space="preserve">Distance matrix based on matches to </w:t>
            </w:r>
            <w:proofErr w:type="spellStart"/>
            <w:r w:rsidRPr="002E2586">
              <w:rPr>
                <w:b/>
                <w:bCs/>
                <w:sz w:val="28"/>
                <w:szCs w:val="28"/>
              </w:rPr>
              <w:t>sars</w:t>
            </w:r>
            <w:proofErr w:type="spellEnd"/>
            <w:r w:rsidRPr="002E2586">
              <w:rPr>
                <w:b/>
                <w:bCs/>
                <w:sz w:val="28"/>
                <w:szCs w:val="28"/>
              </w:rPr>
              <w:t xml:space="preserve">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proofErr w:type="spellStart"/>
            <w:r w:rsidRPr="002E2586">
              <w:rPr>
                <w:b/>
                <w:bCs/>
              </w:rPr>
              <w:t>sars</w:t>
            </w:r>
            <w:proofErr w:type="spellEnd"/>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proofErr w:type="spellStart"/>
            <w:r w:rsidRPr="002E2586">
              <w:rPr>
                <w:b/>
                <w:bCs/>
              </w:rPr>
              <w:t>sars</w:t>
            </w:r>
            <w:proofErr w:type="spellEnd"/>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proofErr w:type="spellStart"/>
            <w:r w:rsidRPr="002E2586">
              <w:rPr>
                <w:b/>
                <w:bCs/>
              </w:rPr>
              <w:t>sars</w:t>
            </w:r>
            <w:proofErr w:type="spellEnd"/>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 xml:space="preserve">There are 4 different distance matrices above that show how closely related SARS-COV-2 variants and </w:t>
      </w:r>
      <w:proofErr w:type="spellStart"/>
      <w:r>
        <w:t>sars</w:t>
      </w:r>
      <w:proofErr w:type="spellEnd"/>
      <w:r>
        <w:t xml:space="preserve"> are to one another. Comparing the data from all different matrices shows the substantial differences between SARS-COV-2 variants and </w:t>
      </w:r>
      <w:proofErr w:type="spellStart"/>
      <w:r>
        <w:t>sars</w:t>
      </w:r>
      <w:proofErr w:type="spellEnd"/>
      <w:r>
        <w:t>.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w:t>
      </w:r>
      <w:proofErr w:type="spellStart"/>
      <w:r w:rsidR="00FA033C">
        <w:t>sars</w:t>
      </w:r>
      <w:proofErr w:type="spellEnd"/>
      <w:r w:rsidR="008035A5">
        <w:t>,</w:t>
      </w:r>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w:t>
      </w:r>
      <w:proofErr w:type="spellStart"/>
      <w:r>
        <w:t>sars</w:t>
      </w:r>
      <w:proofErr w:type="spellEnd"/>
      <w:r>
        <w:t>.</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1457C378"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This is determined by considering the branch length. The longer the branch length the more distant of an evolutionary relationship.</w:t>
      </w:r>
    </w:p>
    <w:p w14:paraId="24A0BD35" w14:textId="4FB0D3E9" w:rsidR="00BB76C2" w:rsidRDefault="00BB76C2" w:rsidP="00D6265E">
      <w:pPr>
        <w:tabs>
          <w:tab w:val="left" w:pos="900"/>
        </w:tabs>
      </w:pPr>
    </w:p>
    <w:p w14:paraId="12255EB5" w14:textId="1D5300F0" w:rsidR="00706CDA" w:rsidRDefault="00BB76C2" w:rsidP="00D6265E">
      <w:pPr>
        <w:tabs>
          <w:tab w:val="left" w:pos="900"/>
        </w:tabs>
      </w:pPr>
      <w:r>
        <w:t xml:space="preserve">Current plan: </w:t>
      </w:r>
    </w:p>
    <w:p w14:paraId="1AF44373" w14:textId="3089DB6B" w:rsidR="00BB76C2" w:rsidRDefault="00BB76C2" w:rsidP="00D6265E">
      <w:pPr>
        <w:tabs>
          <w:tab w:val="left" w:pos="900"/>
        </w:tabs>
      </w:pPr>
      <w:r>
        <w:t xml:space="preserve">The current plan is to continue to build trees that examine the evolutionary relationship between variants. We will use </w:t>
      </w:r>
      <w:proofErr w:type="spellStart"/>
      <w:r>
        <w:t>biophython</w:t>
      </w:r>
      <w:proofErr w:type="spellEnd"/>
      <w:r>
        <w:t xml:space="preserve"> instead of </w:t>
      </w:r>
      <w:proofErr w:type="spellStart"/>
      <w:r>
        <w:t>biojava</w:t>
      </w:r>
      <w:proofErr w:type="spellEnd"/>
      <w:r>
        <w:t xml:space="preserve"> as the latter did not yield the simplest results or code. This includes cleaning up our current trees and extending the number of sequences for each tree using SARS-like genomes. </w:t>
      </w:r>
      <w:proofErr w:type="gramStart"/>
      <w:r>
        <w:t>Finally</w:t>
      </w:r>
      <w:proofErr w:type="gramEnd"/>
      <w:r>
        <w:t xml:space="preserve"> we will analyze the data based on these phylogenetic trees. </w:t>
      </w:r>
    </w:p>
    <w:p w14:paraId="3910DB4E" w14:textId="77777777" w:rsidR="00BB76C2" w:rsidRPr="00D6265E" w:rsidRDefault="00BB76C2" w:rsidP="00D6265E">
      <w:pPr>
        <w:tabs>
          <w:tab w:val="left" w:pos="900"/>
        </w:tabs>
      </w:pPr>
    </w:p>
    <w:sectPr w:rsidR="00BB76C2"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67574"/>
    <w:rsid w:val="00175D6C"/>
    <w:rsid w:val="001839F0"/>
    <w:rsid w:val="00191329"/>
    <w:rsid w:val="001D43DA"/>
    <w:rsid w:val="002E2586"/>
    <w:rsid w:val="002E7E90"/>
    <w:rsid w:val="00335AF0"/>
    <w:rsid w:val="0034717A"/>
    <w:rsid w:val="00353353"/>
    <w:rsid w:val="00376EEC"/>
    <w:rsid w:val="003D71D9"/>
    <w:rsid w:val="0041334D"/>
    <w:rsid w:val="00426020"/>
    <w:rsid w:val="00465340"/>
    <w:rsid w:val="00487D8D"/>
    <w:rsid w:val="004E07F3"/>
    <w:rsid w:val="00502715"/>
    <w:rsid w:val="00545538"/>
    <w:rsid w:val="0058033F"/>
    <w:rsid w:val="0059706C"/>
    <w:rsid w:val="005A170E"/>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76C2"/>
    <w:rsid w:val="00BC1D03"/>
    <w:rsid w:val="00C2477E"/>
    <w:rsid w:val="00C25BC8"/>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8971</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37</cp:revision>
  <dcterms:created xsi:type="dcterms:W3CDTF">2023-11-20T00:31:00Z</dcterms:created>
  <dcterms:modified xsi:type="dcterms:W3CDTF">2023-11-27T21:59:00Z</dcterms:modified>
</cp:coreProperties>
</file>