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Database Enhancement</w:t>
      </w:r>
    </w:p>
    <w:p>
      <w:pPr>
        <w:spacing w:line="240" w:lineRule="auto" w:after="60"/>
      </w:pPr>
      <w:r>
        <w:t>Christopher Wright</w:t>
      </w:r>
    </w:p>
    <w:p>
      <w:pPr>
        <w:spacing w:line="240" w:lineRule="auto" w:after="60"/>
      </w:pPr>
      <w:r>
        <w:t>Southern New Hampshire University  |  CS 499</w:t>
      </w:r>
    </w:p>
    <w:p>
      <w:pPr>
        <w:spacing w:line="240" w:lineRule="auto" w:after="60"/>
      </w:pPr>
      <w:r>
        <w:t>October 12, 2026</w:t>
      </w:r>
    </w:p>
    <w:p>
      <w:pPr>
        <w:pStyle w:val="Heading1"/>
      </w:pPr>
      <w:r>
        <w:t>Artifact description and purpose</w:t>
      </w:r>
    </w:p>
    <w:p>
      <w:r>
        <w:t>For the database category, I used the same Grazioso Salvare dashboard from CS 340 that I enhanced for software design. The original application connects Python to the AAC MongoDB collection and displays animal records through an interactive table, chart, and map. The October 2026 database enhancement extends the layered architecture with database features, allowing the two categories to demonstrate different skills in one artifact.</w:t>
      </w:r>
    </w:p>
    <w:p>
      <w:pPr>
        <w:pStyle w:val="Heading1"/>
      </w:pPr>
      <w:r>
        <w:t>Database enhancements</w:t>
      </w:r>
    </w:p>
    <w:p>
      <w:r>
        <w:t>The repository creates three non-unique indexes: idx_animal_id, idx_rescue_filter, and idx_location. The rescue-filter compound index covers animal_type, breed, sex_upon_outcome, and age_upon_outcome_in_weeks. These fields match the dashboard's common filters. Indexes consume storage and add work to writes, so their actual value must be evaluated using query plans and the real dataset. The latitude and longitude index is an ordinary compound index, not a geospatial index, and the existing map callback does not issue geographic range queries.</w:t>
      </w:r>
    </w:p>
    <w:p>
      <w:r>
        <w:t>The read interface supports projections, limits, skip values, and sorting. These capabilities let callers control returned fields and page-sized results. The current notebook still reads all matches into its table and uses client-side pagination; the enhancement does not implement end-to-end server-side table paging. Offset paging can also become expensive at high skip values, so range-based paging would be a future option.</w:t>
      </w:r>
    </w:p>
    <w:p>
      <w:r>
        <w:t>Document counting uses count_documents rather than downloading every matching record. Top-breed reporting uses MongoDB stages for matching, grouping, sorting, limiting, and projecting a compact result for the chart. A separate faceted summary can produce totals and category distributions. These features move reporting work into the database and reduce transferred data for those reporting operations. They do not establish a measured speedup for the entire dashboard.</w:t>
      </w:r>
    </w:p>
    <w:p>
      <w:pPr>
        <w:pStyle w:val="Heading1"/>
      </w:pPr>
      <w:r>
        <w:t>Security and validation</w:t>
      </w:r>
    </w:p>
    <w:p>
      <w:r>
        <w:t>The enhancement retains environment-based credentials, controlled exceptions, and default protection against empty destructive queries. Read and aggregation limits are validated. These controls reduce accidental broad operations, although the default read remains unlimited and the query interface is intended for trusted application code. A production-facing API would also need authorization, stronger record schemas, query-operator restrictions, and a deployment-specific security review.</w:t>
      </w:r>
    </w:p>
    <w:p>
      <w:r>
        <w:t>All fourteen supplied service and database tests passed in final verification. They check index definitions, counting delegation, aggregation stages, read arguments, limit validation, and the existing service safeguards. Their mocked results demonstrate construction and delegation, not live MongoDB execution or query performance. The actual database, dashboard callbacks, index use, and authentication still require Codio verification.</w:t>
      </w:r>
    </w:p>
    <w:p>
      <w:pPr>
        <w:pStyle w:val="Heading1"/>
      </w:pPr>
      <w:r>
        <w:t>Reflection and feedback</w:t>
      </w:r>
    </w:p>
    <w:p>
      <w:r>
        <w:t>This work taught me to think beyond successful CRUD calls. Data access also involves how much information crosses the application boundary, where summaries are calculated, and which access patterns indexes support. The layered repository provided a clear place for the database additions while preserving the AnimalShelter facade. That compatibility was useful because the dashboard already depended on the original interface.</w:t>
      </w:r>
    </w:p>
    <w:p>
      <w:r>
        <w:t>A challenge was separating this enhancement from the earlier refactoring. I focused on database execution features rather than counting the same architecture change twice. I also kept the indexes non-unique to avoid imposing an unverified uniqueness constraint on the historical dataset. No instructor comments were supplied for final assembly, so this narrative does not claim particular feedback was incorporated. Final verification instead clarified where implemented capabilities stop and additional integration work begins.</w:t>
      </w:r>
    </w:p>
    <w:p>
      <w:pPr>
        <w:pStyle w:val="Heading1"/>
      </w:pPr>
      <w:r>
        <w:t>Course outcome alignment</w:t>
      </w:r>
    </w:p>
    <w:p>
      <w:r>
        <w:t>Outcome 4 is supported by MongoDB indexing, aggregation, projections, counting, and repeatable tests. Outcome 3 is supported by the choice of database-side reporting and discussion of index and paging trade-offs. Outcome 5 is supported by secure configuration and guarded data modification, with production limitations disclosed. Outcome 2 is supported by documentation and readable examples. Outcome 1 is supported indirectly by a clear data-access interface and review procedures; evidence for broader collaborative practice is provided in the self-assessment.</w:t>
      </w:r>
    </w:p>
    <w:p>
      <w:pPr>
        <w:pStyle w:val="Heading1"/>
      </w:pPr>
      <w:r>
        <w:t>AI use acknowledgment</w:t>
      </w:r>
    </w:p>
    <w:p>
      <w:r>
        <w:t>ChatGPT assisted with portfolio text, website preparation, and verification on October 12, 2026. The earlier algorithms milestone also acknowledges AI assistance with code, tests, and documentation.</w:t>
      </w:r>
    </w:p>
    <w:p>
      <w:r>
        <w:t>OpenAI. (2026). ChatGPT [Large language model]. https://chatgpt.com/</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6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