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Design and Engineering Enhancement</w:t>
      </w:r>
    </w:p>
    <w:p>
      <w:pPr>
        <w:spacing w:line="240" w:lineRule="auto" w:after="60"/>
      </w:pPr>
      <w:r>
        <w:t>Christopher Wright</w:t>
      </w:r>
    </w:p>
    <w:p>
      <w:pPr>
        <w:spacing w:line="240" w:lineRule="auto" w:after="60"/>
      </w:pPr>
      <w:r>
        <w:t>Southern New Hampshire University  |  CS 499</w:t>
      </w:r>
    </w:p>
    <w:p>
      <w:pPr>
        <w:spacing w:line="240" w:lineRule="auto" w:after="60"/>
      </w:pPr>
      <w:r>
        <w:t>October 12, 2026</w:t>
      </w:r>
    </w:p>
    <w:p>
      <w:pPr>
        <w:pStyle w:val="Heading1"/>
      </w:pPr>
      <w:r>
        <w:t>Artifact description</w:t>
      </w:r>
    </w:p>
    <w:p>
      <w:r>
        <w:t>My Grazioso Salvare animal shelter dashboard was created in CS 340 in June 2026. It uses Python, PyMongo, MongoDB, and a Jupyter Dash interface to filter and display animal records for rescue work. The original AnimalShelter class supplied basic create, read, update, and delete operations. I selected this artifact because its existing behavior provided a useful foundation for demonstrating maintainability and security improvements.</w:t>
      </w:r>
    </w:p>
    <w:p>
      <w:pPr>
        <w:pStyle w:val="Heading1"/>
      </w:pPr>
      <w:r>
        <w:t>Enhancement and demonstrated skills</w:t>
      </w:r>
    </w:p>
    <w:p>
      <w:r>
        <w:t>The software design enhancement separates configuration, database operations, application rules, and errors into config.py, repository.py, service.py, and exceptions.py. CRUD_Python_Module.py now acts as a compatibility facade. This preserves the interface used by the dashboard while moving its internal responsibilities into components that can be reviewed and tested independently.</w:t>
      </w:r>
    </w:p>
    <w:p>
      <w:r>
        <w:t>Environment-based configuration replaces the original notebook's hard-coded credentials. The service validates basic input and blocks empty update and delete queries unless mass changes are explicitly enabled. Custom exceptions provide controlled application errors, and type hints make expected values clearer. Mock repositories allow the service rules to be tested without connecting to the course database. These changes demonstrate modular design, dependency injection through the repository boundary, validation, and maintainable error handling.</w:t>
      </w:r>
    </w:p>
    <w:p>
      <w:pPr>
        <w:pStyle w:val="Heading1"/>
      </w:pPr>
      <w:r>
        <w:t>Reflection and design trade-offs</w:t>
      </w:r>
    </w:p>
    <w:p>
      <w:r>
        <w:t>The main lesson was that working software can still be difficult to maintain. Keeping every responsibility in one class was simple initially, but it made configuration changes and isolated testing harder. Adding layers creates more files and indirection, so it is a trade-off. In this case, the clearer boundaries justify that complexity because the database enhancement can extend the repository without rewriting the service interface.</w:t>
      </w:r>
    </w:p>
    <w:p>
      <w:r>
        <w:t>A challenge was preserving compatibility with the existing dashboard. Retaining AnimalShelter and its CRUD methods reduced the need to change calling code. Another challenge was balancing safety with flexibility: rejecting empty destructive queries protects the collection, while an explicit mass-change option still supports intentional administrative operations. The existing tests verify these rules. This enhancement is not a complete authorization system or full document-schema validator.</w:t>
      </w:r>
    </w:p>
    <w:p>
      <w:pPr>
        <w:pStyle w:val="Heading1"/>
      </w:pPr>
      <w:r>
        <w:t>Validation and feedback</w:t>
      </w:r>
    </w:p>
    <w:p>
      <w:r>
        <w:t>All seven supplied service-layer tests passed in the final verification. The tests cover valid create and update behavior, empty-record rejection, read behavior, blocked unrestricted changes, and explicit mass-change behavior. Enhanced Python source files are also checked for syntax. The live dashboard and MongoDB connection require verification in Codio; mock tests do not prove a successful deployment.</w:t>
      </w:r>
    </w:p>
    <w:p>
      <w:r>
        <w:t>The materials supplied for final assembly did not include instructor feedback. I therefore do not claim to have implemented particular instructor comments. The final narrative clarifies the implemented safeguards, test scope, and remaining limitations so that any later feedback can be matched to concrete code changes.</w:t>
      </w:r>
    </w:p>
    <w:p>
      <w:pPr>
        <w:pStyle w:val="Heading1"/>
      </w:pPr>
      <w:r>
        <w:t>Course outcome alignment</w:t>
      </w:r>
    </w:p>
    <w:p>
      <w:r>
        <w:t>Outcome 3 is supported by the architectural evaluation and the trade-off between simplicity and maintainability. Outcome 4 is supported by the working Python layers and repeatable tests. Outcome 5 is supported by externalized credentials, validation, and guarded destructive operations. Outcome 2 is supported by the documentation, narrative, and readable source comparison. Outcome 1 is supported indirectly by interfaces and documentation that help future reviewers collaborate, but this individual enhancement does not independently demonstrate a deployed team workflow.</w:t>
      </w:r>
    </w:p>
    <w:p>
      <w:pPr>
        <w:pStyle w:val="Heading1"/>
      </w:pPr>
      <w:r>
        <w:t>AI use acknowledgment</w:t>
      </w:r>
    </w:p>
    <w:p>
      <w:r>
        <w:t>ChatGPT assisted with portfolio text, website preparation, and verification on October 12, 2026. The earlier algorithms milestone also acknowledges AI assistance with code, tests, and documentation.</w:t>
      </w:r>
    </w:p>
    <w:p>
      <w:r>
        <w:t>OpenAI. (2026). ChatGPT [Large language model]. https://chatgpt.com/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