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8BA6" w14:textId="77777777" w:rsidR="00D727D9" w:rsidRDefault="00D727D9">
      <w:pPr>
        <w:spacing w:after="400"/>
      </w:pPr>
    </w:p>
    <w:p w14:paraId="05E34E5A" w14:textId="77777777" w:rsidR="00D727D9" w:rsidRDefault="00D46FD5">
      <w:pPr>
        <w:pBdr>
          <w:top w:val="single" w:sz="12" w:space="3" w:color="0000FF"/>
        </w:pBdr>
        <w:spacing w:before="240" w:after="120"/>
      </w:pPr>
      <w:r>
        <w:rPr>
          <w:rFonts w:ascii="Arial" w:eastAsia="Arial" w:hAnsi="Arial" w:cs="Arial"/>
          <w:b/>
          <w:bCs/>
          <w:color w:val="0000FF"/>
          <w:sz w:val="24"/>
          <w:szCs w:val="24"/>
        </w:rPr>
        <w:t>Section 1</w:t>
      </w:r>
    </w:p>
    <w:tbl>
      <w:tblPr>
        <w:tblW w:w="10214" w:type="dxa"/>
        <w:tblCellMar>
          <w:left w:w="10" w:type="dxa"/>
          <w:right w:w="10" w:type="dxa"/>
        </w:tblCellMar>
        <w:tblLook w:val="04A0" w:firstRow="1" w:lastRow="0" w:firstColumn="1" w:lastColumn="0" w:noHBand="0" w:noVBand="1"/>
      </w:tblPr>
      <w:tblGrid>
        <w:gridCol w:w="2274"/>
        <w:gridCol w:w="2835"/>
        <w:gridCol w:w="2270"/>
        <w:gridCol w:w="2835"/>
      </w:tblGrid>
      <w:tr w:rsidR="00D727D9" w14:paraId="73E3DEB9" w14:textId="77777777">
        <w:tc>
          <w:tcPr>
            <w:tcW w:w="2274" w:type="dxa"/>
            <w:tcBorders>
              <w:bottom w:val="single" w:sz="4" w:space="0" w:color="000000"/>
            </w:tcBorders>
            <w:shd w:val="clear" w:color="auto" w:fill="F2F2F2"/>
            <w:tcMar>
              <w:top w:w="60" w:type="dxa"/>
              <w:left w:w="100" w:type="dxa"/>
              <w:bottom w:w="60" w:type="dxa"/>
              <w:right w:w="100" w:type="dxa"/>
            </w:tcMar>
          </w:tcPr>
          <w:p w14:paraId="7C418D83" w14:textId="77777777" w:rsidR="00D727D9" w:rsidRDefault="00D46FD5">
            <w:r>
              <w:rPr>
                <w:rFonts w:ascii="Arial" w:eastAsia="Arial" w:hAnsi="Arial" w:cs="Arial"/>
                <w:b/>
                <w:bCs/>
                <w:sz w:val="18"/>
                <w:szCs w:val="18"/>
              </w:rPr>
              <w:t>Position title</w:t>
            </w:r>
          </w:p>
        </w:tc>
        <w:tc>
          <w:tcPr>
            <w:tcW w:w="2835" w:type="dxa"/>
            <w:tcBorders>
              <w:bottom w:val="single" w:sz="4" w:space="0" w:color="000000"/>
            </w:tcBorders>
            <w:tcMar>
              <w:top w:w="60" w:type="dxa"/>
              <w:left w:w="100" w:type="dxa"/>
              <w:bottom w:w="60" w:type="dxa"/>
              <w:right w:w="100" w:type="dxa"/>
            </w:tcMar>
          </w:tcPr>
          <w:p w14:paraId="79DECAFB" w14:textId="77777777" w:rsidR="00D727D9" w:rsidRDefault="00D46FD5">
            <w:r>
              <w:rPr>
                <w:rFonts w:ascii="Arial" w:eastAsia="Arial" w:hAnsi="Arial" w:cs="Arial"/>
                <w:sz w:val="18"/>
                <w:szCs w:val="18"/>
              </w:rPr>
              <w:t xml:space="preserve">Tech </w:t>
            </w:r>
            <w:proofErr w:type="gramStart"/>
            <w:r>
              <w:rPr>
                <w:rFonts w:ascii="Arial" w:eastAsia="Arial" w:hAnsi="Arial" w:cs="Arial"/>
                <w:sz w:val="18"/>
                <w:szCs w:val="18"/>
              </w:rPr>
              <w:t>Lead</w:t>
            </w:r>
            <w:proofErr w:type="gramEnd"/>
            <w:r>
              <w:rPr>
                <w:rFonts w:ascii="Arial" w:eastAsia="Arial" w:hAnsi="Arial" w:cs="Arial"/>
                <w:sz w:val="18"/>
                <w:szCs w:val="18"/>
              </w:rPr>
              <w:t xml:space="preserve"> – Intelligence Platform</w:t>
            </w:r>
          </w:p>
        </w:tc>
        <w:tc>
          <w:tcPr>
            <w:tcW w:w="2270" w:type="dxa"/>
            <w:tcBorders>
              <w:bottom w:val="single" w:sz="4" w:space="0" w:color="000000"/>
            </w:tcBorders>
            <w:shd w:val="clear" w:color="auto" w:fill="F2F2F2"/>
            <w:tcMar>
              <w:top w:w="60" w:type="dxa"/>
              <w:left w:w="100" w:type="dxa"/>
              <w:bottom w:w="60" w:type="dxa"/>
              <w:right w:w="100" w:type="dxa"/>
            </w:tcMar>
          </w:tcPr>
          <w:p w14:paraId="731DEAB4" w14:textId="77777777" w:rsidR="00D727D9" w:rsidRDefault="00D46FD5">
            <w:r>
              <w:rPr>
                <w:rFonts w:ascii="Arial" w:eastAsia="Arial" w:hAnsi="Arial" w:cs="Arial"/>
                <w:b/>
                <w:bCs/>
                <w:sz w:val="18"/>
                <w:szCs w:val="18"/>
              </w:rPr>
              <w:t>Requisition ID</w:t>
            </w:r>
          </w:p>
        </w:tc>
        <w:tc>
          <w:tcPr>
            <w:tcW w:w="2835" w:type="dxa"/>
            <w:tcBorders>
              <w:bottom w:val="single" w:sz="4" w:space="0" w:color="000000"/>
            </w:tcBorders>
            <w:tcMar>
              <w:top w:w="60" w:type="dxa"/>
              <w:left w:w="100" w:type="dxa"/>
              <w:bottom w:w="60" w:type="dxa"/>
              <w:right w:w="100" w:type="dxa"/>
            </w:tcMar>
          </w:tcPr>
          <w:p w14:paraId="5DC1EE67" w14:textId="77777777" w:rsidR="00D727D9" w:rsidRDefault="00D46FD5">
            <w:r>
              <w:rPr>
                <w:rFonts w:ascii="Arial" w:eastAsia="Arial" w:hAnsi="Arial" w:cs="Arial"/>
                <w:color w:val="808080"/>
                <w:sz w:val="18"/>
                <w:szCs w:val="18"/>
              </w:rPr>
              <w:t>Click or tap here to insert JR number.</w:t>
            </w:r>
          </w:p>
        </w:tc>
      </w:tr>
      <w:tr w:rsidR="00D727D9" w14:paraId="76E2E237" w14:textId="77777777">
        <w:tc>
          <w:tcPr>
            <w:tcW w:w="2274" w:type="dxa"/>
            <w:tcBorders>
              <w:bottom w:val="single" w:sz="4" w:space="0" w:color="000000"/>
            </w:tcBorders>
            <w:shd w:val="clear" w:color="auto" w:fill="F2F2F2"/>
            <w:tcMar>
              <w:top w:w="60" w:type="dxa"/>
              <w:left w:w="100" w:type="dxa"/>
              <w:bottom w:w="60" w:type="dxa"/>
              <w:right w:w="100" w:type="dxa"/>
            </w:tcMar>
          </w:tcPr>
          <w:p w14:paraId="07E46256" w14:textId="77777777" w:rsidR="00D727D9" w:rsidRDefault="00D46FD5">
            <w:r>
              <w:rPr>
                <w:rFonts w:ascii="Arial" w:eastAsia="Arial" w:hAnsi="Arial" w:cs="Arial"/>
                <w:b/>
                <w:bCs/>
                <w:sz w:val="18"/>
                <w:szCs w:val="18"/>
              </w:rPr>
              <w:t>Job category</w:t>
            </w:r>
          </w:p>
        </w:tc>
        <w:tc>
          <w:tcPr>
            <w:tcW w:w="2835" w:type="dxa"/>
            <w:tcBorders>
              <w:bottom w:val="single" w:sz="4" w:space="0" w:color="000000"/>
            </w:tcBorders>
            <w:tcMar>
              <w:top w:w="60" w:type="dxa"/>
              <w:left w:w="100" w:type="dxa"/>
              <w:bottom w:w="60" w:type="dxa"/>
              <w:right w:w="100" w:type="dxa"/>
            </w:tcMar>
          </w:tcPr>
          <w:p w14:paraId="5F9D2BEC" w14:textId="77777777" w:rsidR="00D727D9" w:rsidRDefault="00D46FD5">
            <w:r>
              <w:rPr>
                <w:rFonts w:ascii="Arial" w:eastAsia="Arial" w:hAnsi="Arial" w:cs="Arial"/>
                <w:sz w:val="18"/>
                <w:szCs w:val="18"/>
              </w:rPr>
              <w:t>Senior Manager / Principal Engineer</w:t>
            </w:r>
          </w:p>
        </w:tc>
        <w:tc>
          <w:tcPr>
            <w:tcW w:w="2270" w:type="dxa"/>
            <w:tcBorders>
              <w:bottom w:val="single" w:sz="4" w:space="0" w:color="000000"/>
            </w:tcBorders>
            <w:shd w:val="clear" w:color="auto" w:fill="F2F2F2"/>
            <w:tcMar>
              <w:top w:w="60" w:type="dxa"/>
              <w:left w:w="100" w:type="dxa"/>
              <w:bottom w:w="60" w:type="dxa"/>
              <w:right w:w="100" w:type="dxa"/>
            </w:tcMar>
          </w:tcPr>
          <w:p w14:paraId="2BAADCCB" w14:textId="77777777" w:rsidR="00D727D9" w:rsidRDefault="00D46FD5">
            <w:r>
              <w:rPr>
                <w:rFonts w:ascii="Arial" w:eastAsia="Arial" w:hAnsi="Arial" w:cs="Arial"/>
                <w:b/>
                <w:bCs/>
                <w:sz w:val="18"/>
                <w:szCs w:val="18"/>
              </w:rPr>
              <w:t>Department</w:t>
            </w:r>
          </w:p>
        </w:tc>
        <w:tc>
          <w:tcPr>
            <w:tcW w:w="2835" w:type="dxa"/>
            <w:tcBorders>
              <w:bottom w:val="single" w:sz="4" w:space="0" w:color="000000"/>
            </w:tcBorders>
            <w:tcMar>
              <w:top w:w="60" w:type="dxa"/>
              <w:left w:w="100" w:type="dxa"/>
              <w:bottom w:w="60" w:type="dxa"/>
              <w:right w:w="100" w:type="dxa"/>
            </w:tcMar>
          </w:tcPr>
          <w:p w14:paraId="54E52C57" w14:textId="77777777" w:rsidR="00D727D9" w:rsidRDefault="00D46FD5">
            <w:r>
              <w:rPr>
                <w:rFonts w:ascii="Arial" w:eastAsia="Arial" w:hAnsi="Arial" w:cs="Arial"/>
                <w:sz w:val="18"/>
                <w:szCs w:val="18"/>
              </w:rPr>
              <w:t>Enterprise Data</w:t>
            </w:r>
          </w:p>
        </w:tc>
      </w:tr>
      <w:tr w:rsidR="00D727D9" w14:paraId="4352EF2D" w14:textId="77777777">
        <w:tc>
          <w:tcPr>
            <w:tcW w:w="2274" w:type="dxa"/>
            <w:tcBorders>
              <w:bottom w:val="single" w:sz="4" w:space="0" w:color="000000"/>
            </w:tcBorders>
            <w:shd w:val="clear" w:color="auto" w:fill="F2F2F2"/>
            <w:tcMar>
              <w:top w:w="60" w:type="dxa"/>
              <w:left w:w="100" w:type="dxa"/>
              <w:bottom w:w="60" w:type="dxa"/>
              <w:right w:w="100" w:type="dxa"/>
            </w:tcMar>
          </w:tcPr>
          <w:p w14:paraId="790D454C" w14:textId="77777777" w:rsidR="00D727D9" w:rsidRDefault="00D46FD5">
            <w:r>
              <w:rPr>
                <w:rFonts w:ascii="Arial" w:eastAsia="Arial" w:hAnsi="Arial" w:cs="Arial"/>
                <w:b/>
                <w:bCs/>
                <w:sz w:val="18"/>
                <w:szCs w:val="18"/>
              </w:rPr>
              <w:t>Business area</w:t>
            </w:r>
          </w:p>
        </w:tc>
        <w:tc>
          <w:tcPr>
            <w:tcW w:w="2835" w:type="dxa"/>
            <w:tcBorders>
              <w:bottom w:val="single" w:sz="4" w:space="0" w:color="000000"/>
            </w:tcBorders>
            <w:tcMar>
              <w:top w:w="60" w:type="dxa"/>
              <w:left w:w="100" w:type="dxa"/>
              <w:bottom w:w="60" w:type="dxa"/>
              <w:right w:w="100" w:type="dxa"/>
            </w:tcMar>
          </w:tcPr>
          <w:p w14:paraId="0D28756A" w14:textId="77777777" w:rsidR="00D727D9" w:rsidRDefault="00D46FD5">
            <w:r>
              <w:rPr>
                <w:rFonts w:ascii="Arial" w:eastAsia="Arial" w:hAnsi="Arial" w:cs="Arial"/>
                <w:sz w:val="18"/>
                <w:szCs w:val="18"/>
              </w:rPr>
              <w:t>Group Technology</w:t>
            </w:r>
          </w:p>
        </w:tc>
        <w:tc>
          <w:tcPr>
            <w:tcW w:w="2270" w:type="dxa"/>
            <w:tcBorders>
              <w:bottom w:val="single" w:sz="4" w:space="0" w:color="000000"/>
            </w:tcBorders>
            <w:shd w:val="clear" w:color="auto" w:fill="F2F2F2"/>
            <w:tcMar>
              <w:top w:w="60" w:type="dxa"/>
              <w:left w:w="100" w:type="dxa"/>
              <w:bottom w:w="60" w:type="dxa"/>
              <w:right w:w="100" w:type="dxa"/>
            </w:tcMar>
          </w:tcPr>
          <w:p w14:paraId="642D2046" w14:textId="77777777" w:rsidR="00D727D9" w:rsidRDefault="00D46FD5">
            <w:r>
              <w:rPr>
                <w:rFonts w:ascii="Arial" w:eastAsia="Arial" w:hAnsi="Arial" w:cs="Arial"/>
                <w:b/>
                <w:bCs/>
                <w:sz w:val="18"/>
                <w:szCs w:val="18"/>
              </w:rPr>
              <w:t xml:space="preserve">Legal </w:t>
            </w:r>
            <w:r>
              <w:rPr>
                <w:rFonts w:ascii="Arial" w:eastAsia="Arial" w:hAnsi="Arial" w:cs="Arial"/>
                <w:b/>
                <w:bCs/>
                <w:sz w:val="18"/>
                <w:szCs w:val="18"/>
              </w:rPr>
              <w:t>entity</w:t>
            </w:r>
          </w:p>
        </w:tc>
        <w:tc>
          <w:tcPr>
            <w:tcW w:w="2835" w:type="dxa"/>
            <w:tcBorders>
              <w:bottom w:val="single" w:sz="4" w:space="0" w:color="000000"/>
            </w:tcBorders>
            <w:tcMar>
              <w:top w:w="60" w:type="dxa"/>
              <w:left w:w="100" w:type="dxa"/>
              <w:bottom w:w="60" w:type="dxa"/>
              <w:right w:w="100" w:type="dxa"/>
            </w:tcMar>
          </w:tcPr>
          <w:p w14:paraId="323C032F" w14:textId="77777777" w:rsidR="00D727D9" w:rsidRDefault="00D46FD5">
            <w:r>
              <w:rPr>
                <w:rFonts w:ascii="Arial" w:eastAsia="Arial" w:hAnsi="Arial" w:cs="Arial"/>
                <w:color w:val="808080"/>
                <w:sz w:val="18"/>
                <w:szCs w:val="18"/>
              </w:rPr>
              <w:t>Click or tap here to insert legal entity.</w:t>
            </w:r>
          </w:p>
        </w:tc>
      </w:tr>
      <w:tr w:rsidR="00D727D9" w14:paraId="3152968B" w14:textId="77777777">
        <w:tc>
          <w:tcPr>
            <w:tcW w:w="2274" w:type="dxa"/>
            <w:tcBorders>
              <w:bottom w:val="single" w:sz="4" w:space="0" w:color="000000"/>
            </w:tcBorders>
            <w:shd w:val="clear" w:color="auto" w:fill="F2F2F2"/>
            <w:tcMar>
              <w:top w:w="60" w:type="dxa"/>
              <w:left w:w="100" w:type="dxa"/>
              <w:bottom w:w="60" w:type="dxa"/>
              <w:right w:w="100" w:type="dxa"/>
            </w:tcMar>
          </w:tcPr>
          <w:p w14:paraId="5FAE67AA" w14:textId="77777777" w:rsidR="00D727D9" w:rsidRDefault="00D46FD5">
            <w:r>
              <w:rPr>
                <w:rFonts w:ascii="Arial" w:eastAsia="Arial" w:hAnsi="Arial" w:cs="Arial"/>
                <w:b/>
                <w:bCs/>
                <w:sz w:val="18"/>
                <w:szCs w:val="18"/>
              </w:rPr>
              <w:t>Employment type</w:t>
            </w:r>
          </w:p>
        </w:tc>
        <w:tc>
          <w:tcPr>
            <w:tcW w:w="2835" w:type="dxa"/>
            <w:tcBorders>
              <w:bottom w:val="single" w:sz="4" w:space="0" w:color="000000"/>
            </w:tcBorders>
            <w:tcMar>
              <w:top w:w="60" w:type="dxa"/>
              <w:left w:w="100" w:type="dxa"/>
              <w:bottom w:w="60" w:type="dxa"/>
              <w:right w:w="100" w:type="dxa"/>
            </w:tcMar>
          </w:tcPr>
          <w:p w14:paraId="40CBC830" w14:textId="77777777" w:rsidR="00D727D9" w:rsidRDefault="00D46FD5">
            <w:r>
              <w:rPr>
                <w:rFonts w:ascii="Arial" w:eastAsia="Arial" w:hAnsi="Arial" w:cs="Arial"/>
                <w:sz w:val="18"/>
                <w:szCs w:val="18"/>
              </w:rPr>
              <w:t>Full-Time</w:t>
            </w:r>
          </w:p>
        </w:tc>
        <w:tc>
          <w:tcPr>
            <w:tcW w:w="2270" w:type="dxa"/>
            <w:tcBorders>
              <w:bottom w:val="single" w:sz="4" w:space="0" w:color="000000"/>
            </w:tcBorders>
            <w:shd w:val="clear" w:color="auto" w:fill="F2F2F2"/>
            <w:tcMar>
              <w:top w:w="60" w:type="dxa"/>
              <w:left w:w="100" w:type="dxa"/>
              <w:bottom w:w="60" w:type="dxa"/>
              <w:right w:w="100" w:type="dxa"/>
            </w:tcMar>
          </w:tcPr>
          <w:p w14:paraId="64CBB4B3" w14:textId="77777777" w:rsidR="00D727D9" w:rsidRDefault="00D46FD5">
            <w:r>
              <w:rPr>
                <w:rFonts w:ascii="Arial" w:eastAsia="Arial" w:hAnsi="Arial" w:cs="Arial"/>
                <w:b/>
                <w:bCs/>
                <w:sz w:val="18"/>
                <w:szCs w:val="18"/>
              </w:rPr>
              <w:t>Contract type</w:t>
            </w:r>
          </w:p>
        </w:tc>
        <w:tc>
          <w:tcPr>
            <w:tcW w:w="2835" w:type="dxa"/>
            <w:tcBorders>
              <w:bottom w:val="single" w:sz="4" w:space="0" w:color="000000"/>
            </w:tcBorders>
            <w:tcMar>
              <w:top w:w="60" w:type="dxa"/>
              <w:left w:w="100" w:type="dxa"/>
              <w:bottom w:w="60" w:type="dxa"/>
              <w:right w:w="100" w:type="dxa"/>
            </w:tcMar>
          </w:tcPr>
          <w:p w14:paraId="75E01A01" w14:textId="77777777" w:rsidR="00D727D9" w:rsidRDefault="00D46FD5">
            <w:r>
              <w:rPr>
                <w:rFonts w:ascii="Arial" w:eastAsia="Arial" w:hAnsi="Arial" w:cs="Arial"/>
                <w:sz w:val="18"/>
                <w:szCs w:val="18"/>
              </w:rPr>
              <w:t>Contract (</w:t>
            </w:r>
            <w:proofErr w:type="gramStart"/>
            <w:r>
              <w:rPr>
                <w:rFonts w:ascii="Arial" w:eastAsia="Arial" w:hAnsi="Arial" w:cs="Arial"/>
                <w:sz w:val="18"/>
                <w:szCs w:val="18"/>
              </w:rPr>
              <w:t>fixed-term</w:t>
            </w:r>
            <w:proofErr w:type="gramEnd"/>
            <w:r>
              <w:rPr>
                <w:rFonts w:ascii="Arial" w:eastAsia="Arial" w:hAnsi="Arial" w:cs="Arial"/>
                <w:sz w:val="18"/>
                <w:szCs w:val="18"/>
              </w:rPr>
              <w:t>), with the option to move to Permanent subject to performance</w:t>
            </w:r>
          </w:p>
        </w:tc>
      </w:tr>
      <w:tr w:rsidR="00D727D9" w14:paraId="0FA2A0C6" w14:textId="77777777">
        <w:tc>
          <w:tcPr>
            <w:tcW w:w="2274" w:type="dxa"/>
            <w:tcBorders>
              <w:bottom w:val="single" w:sz="4" w:space="0" w:color="000000"/>
            </w:tcBorders>
            <w:shd w:val="clear" w:color="auto" w:fill="F2F2F2"/>
            <w:tcMar>
              <w:top w:w="60" w:type="dxa"/>
              <w:left w:w="100" w:type="dxa"/>
              <w:bottom w:w="60" w:type="dxa"/>
              <w:right w:w="100" w:type="dxa"/>
            </w:tcMar>
          </w:tcPr>
          <w:p w14:paraId="486627D7" w14:textId="77777777" w:rsidR="00D727D9" w:rsidRDefault="00D46FD5">
            <w:r>
              <w:rPr>
                <w:rFonts w:ascii="Arial" w:eastAsia="Arial" w:hAnsi="Arial" w:cs="Arial"/>
                <w:b/>
                <w:bCs/>
                <w:sz w:val="18"/>
                <w:szCs w:val="18"/>
              </w:rPr>
              <w:t>Country</w:t>
            </w:r>
          </w:p>
        </w:tc>
        <w:tc>
          <w:tcPr>
            <w:tcW w:w="2835" w:type="dxa"/>
            <w:tcBorders>
              <w:bottom w:val="single" w:sz="4" w:space="0" w:color="000000"/>
            </w:tcBorders>
            <w:tcMar>
              <w:top w:w="60" w:type="dxa"/>
              <w:left w:w="100" w:type="dxa"/>
              <w:bottom w:w="60" w:type="dxa"/>
              <w:right w:w="100" w:type="dxa"/>
            </w:tcMar>
          </w:tcPr>
          <w:p w14:paraId="121338AD" w14:textId="77777777" w:rsidR="00D727D9" w:rsidRDefault="00D46FD5">
            <w:r>
              <w:rPr>
                <w:rFonts w:ascii="Arial" w:eastAsia="Arial" w:hAnsi="Arial" w:cs="Arial"/>
                <w:sz w:val="18"/>
                <w:szCs w:val="18"/>
              </w:rPr>
              <w:t>United Kingdom</w:t>
            </w:r>
          </w:p>
        </w:tc>
        <w:tc>
          <w:tcPr>
            <w:tcW w:w="2270" w:type="dxa"/>
            <w:tcBorders>
              <w:bottom w:val="single" w:sz="4" w:space="0" w:color="000000"/>
            </w:tcBorders>
            <w:shd w:val="clear" w:color="auto" w:fill="F2F2F2"/>
            <w:tcMar>
              <w:top w:w="60" w:type="dxa"/>
              <w:left w:w="100" w:type="dxa"/>
              <w:bottom w:w="60" w:type="dxa"/>
              <w:right w:w="100" w:type="dxa"/>
            </w:tcMar>
          </w:tcPr>
          <w:p w14:paraId="067208F6" w14:textId="77777777" w:rsidR="00D727D9" w:rsidRDefault="00D46FD5">
            <w:r>
              <w:rPr>
                <w:rFonts w:ascii="Arial" w:eastAsia="Arial" w:hAnsi="Arial" w:cs="Arial"/>
                <w:b/>
                <w:bCs/>
                <w:sz w:val="18"/>
                <w:szCs w:val="18"/>
              </w:rPr>
              <w:t>Location</w:t>
            </w:r>
          </w:p>
        </w:tc>
        <w:tc>
          <w:tcPr>
            <w:tcW w:w="2835" w:type="dxa"/>
            <w:tcBorders>
              <w:bottom w:val="single" w:sz="4" w:space="0" w:color="000000"/>
            </w:tcBorders>
            <w:tcMar>
              <w:top w:w="60" w:type="dxa"/>
              <w:left w:w="100" w:type="dxa"/>
              <w:bottom w:w="60" w:type="dxa"/>
              <w:right w:w="100" w:type="dxa"/>
            </w:tcMar>
          </w:tcPr>
          <w:p w14:paraId="5FCE7D1D" w14:textId="77777777" w:rsidR="00D727D9" w:rsidRDefault="00D46FD5">
            <w:r>
              <w:rPr>
                <w:rFonts w:ascii="Arial" w:eastAsia="Arial" w:hAnsi="Arial" w:cs="Arial"/>
                <w:sz w:val="18"/>
                <w:szCs w:val="18"/>
              </w:rPr>
              <w:t>London</w:t>
            </w:r>
          </w:p>
        </w:tc>
      </w:tr>
    </w:tbl>
    <w:p w14:paraId="6CFE7A3C" w14:textId="77777777" w:rsidR="00D727D9" w:rsidRDefault="00D46FD5">
      <w:pPr>
        <w:pBdr>
          <w:top w:val="single" w:sz="12" w:space="3" w:color="0000FF"/>
        </w:pBdr>
        <w:spacing w:before="240" w:after="120"/>
      </w:pPr>
      <w:r>
        <w:rPr>
          <w:rFonts w:ascii="Arial" w:eastAsia="Arial" w:hAnsi="Arial" w:cs="Arial"/>
          <w:b/>
          <w:bCs/>
          <w:color w:val="0000FF"/>
          <w:sz w:val="24"/>
          <w:szCs w:val="24"/>
        </w:rPr>
        <w:t>Company</w:t>
      </w:r>
    </w:p>
    <w:p w14:paraId="79A43360" w14:textId="77777777" w:rsidR="00D727D9" w:rsidRDefault="00D46FD5">
      <w:pPr>
        <w:spacing w:after="160"/>
      </w:pPr>
      <w:r>
        <w:rPr>
          <w:rFonts w:ascii="Arial" w:eastAsia="Arial" w:hAnsi="Arial" w:cs="Arial"/>
          <w:sz w:val="18"/>
          <w:szCs w:val="18"/>
        </w:rPr>
        <w:t xml:space="preserve">At the heart of global </w:t>
      </w:r>
      <w:r>
        <w:rPr>
          <w:rFonts w:ascii="Arial" w:eastAsia="Arial" w:hAnsi="Arial" w:cs="Arial"/>
          <w:sz w:val="18"/>
          <w:szCs w:val="18"/>
        </w:rPr>
        <w:t>supply, Trafigura connects vital resources to power and build the world. Through our Oil &amp; Petroleum Products, Gas and Power, and Metals and Minerals, commercial divisions, we use infrastructure, logistics and financing to connect producers and consumers, using our deep understanding of the markets we serve to make supply more efficient, secure and sustainable.</w:t>
      </w:r>
    </w:p>
    <w:p w14:paraId="2B53D327" w14:textId="77777777" w:rsidR="00D727D9" w:rsidRDefault="00D46FD5">
      <w:pPr>
        <w:spacing w:after="160"/>
      </w:pPr>
      <w:r>
        <w:rPr>
          <w:rFonts w:ascii="Arial" w:eastAsia="Arial" w:hAnsi="Arial" w:cs="Arial"/>
          <w:sz w:val="18"/>
          <w:szCs w:val="18"/>
        </w:rPr>
        <w:t>We are committed to responsible business practices and believe that the supply of energy and raw materials is essential for growth, development and prosperity. We are accelerating our investments in renewable energy, including hydrogen, ammonia and other low-carbon energy technologies required for the transition to a low carbon future. And we work with our stakeholders to improve environmental and social standards, bringing greater trust and transparency to global supply chains.</w:t>
      </w:r>
    </w:p>
    <w:p w14:paraId="49D83A96" w14:textId="77777777" w:rsidR="00D727D9" w:rsidRDefault="00D46FD5">
      <w:pPr>
        <w:spacing w:after="160"/>
      </w:pPr>
      <w:r>
        <w:rPr>
          <w:rFonts w:ascii="Arial" w:eastAsia="Arial" w:hAnsi="Arial" w:cs="Arial"/>
          <w:sz w:val="18"/>
          <w:szCs w:val="18"/>
        </w:rPr>
        <w:t>A career at Trafigura offers a gateway to working on some of the most exciting challenges of a rapidly changing world – from helping to optimise supply chains to developing infrastructure and new markets. In a culture that is founded on openness and energy, our people work as part of a multinational, globally connected team and thrive in a fast-paced environment where they can nurture and commercialise bold ideas. Everyone has a voice and is empowered to collaborate across geographies and disciplines to hel</w:t>
      </w:r>
      <w:r>
        <w:rPr>
          <w:rFonts w:ascii="Arial" w:eastAsia="Arial" w:hAnsi="Arial" w:cs="Arial"/>
          <w:sz w:val="18"/>
          <w:szCs w:val="18"/>
        </w:rPr>
        <w:t xml:space="preserve">p shape our business and the wider world. We know the importance and value of diversity in our </w:t>
      </w:r>
      <w:proofErr w:type="gramStart"/>
      <w:r>
        <w:rPr>
          <w:rFonts w:ascii="Arial" w:eastAsia="Arial" w:hAnsi="Arial" w:cs="Arial"/>
          <w:sz w:val="18"/>
          <w:szCs w:val="18"/>
        </w:rPr>
        <w:t>business</w:t>
      </w:r>
      <w:proofErr w:type="gramEnd"/>
      <w:r>
        <w:rPr>
          <w:rFonts w:ascii="Arial" w:eastAsia="Arial" w:hAnsi="Arial" w:cs="Arial"/>
          <w:sz w:val="18"/>
          <w:szCs w:val="18"/>
        </w:rPr>
        <w:t xml:space="preserve"> and we invest in attracting, developing and retaining talent from all backgrounds.</w:t>
      </w:r>
    </w:p>
    <w:p w14:paraId="074C67E9" w14:textId="77777777" w:rsidR="00D727D9" w:rsidRDefault="00D46FD5">
      <w:pPr>
        <w:spacing w:after="160"/>
      </w:pPr>
      <w:r>
        <w:rPr>
          <w:rFonts w:ascii="Arial" w:eastAsia="Arial" w:hAnsi="Arial" w:cs="Arial"/>
          <w:sz w:val="18"/>
          <w:szCs w:val="18"/>
        </w:rPr>
        <w:t>Founded in 1993, Trafigura is one of the largest independent employee-owned commodities groups in the world with over 13,000 people working in 48 countries. The Trafigura Group owns global multi-metals producer Nyrstar; fuel storage and distribution company Puma Energy; and joint ventures Impala Terminals, a port and logistics provider, and Nala Renewables, investing in wind, solar and battery storage projects.</w:t>
      </w:r>
    </w:p>
    <w:p w14:paraId="193AF9D6" w14:textId="77777777" w:rsidR="00D727D9" w:rsidRDefault="00D46FD5">
      <w:pPr>
        <w:pBdr>
          <w:top w:val="single" w:sz="12" w:space="3" w:color="0000FF"/>
        </w:pBdr>
        <w:spacing w:before="240" w:after="120"/>
      </w:pPr>
      <w:r>
        <w:rPr>
          <w:rFonts w:ascii="Arial" w:eastAsia="Arial" w:hAnsi="Arial" w:cs="Arial"/>
          <w:b/>
          <w:bCs/>
          <w:color w:val="0000FF"/>
          <w:sz w:val="24"/>
          <w:szCs w:val="24"/>
        </w:rPr>
        <w:t>Section 2</w:t>
      </w:r>
    </w:p>
    <w:tbl>
      <w:tblPr>
        <w:tblW w:w="10214" w:type="dxa"/>
        <w:tblBorders>
          <w:top w:val="single" w:sz="4" w:space="0" w:color="000000"/>
          <w:bottom w:val="single" w:sz="4" w:space="0" w:color="000000"/>
        </w:tblBorders>
        <w:tblCellMar>
          <w:left w:w="10" w:type="dxa"/>
          <w:right w:w="10" w:type="dxa"/>
        </w:tblCellMar>
        <w:tblLook w:val="04A0" w:firstRow="1" w:lastRow="0" w:firstColumn="1" w:lastColumn="0" w:noHBand="0" w:noVBand="1"/>
      </w:tblPr>
      <w:tblGrid>
        <w:gridCol w:w="10214"/>
      </w:tblGrid>
      <w:tr w:rsidR="00D727D9" w14:paraId="381CCF90" w14:textId="77777777">
        <w:tc>
          <w:tcPr>
            <w:tcW w:w="10214" w:type="dxa"/>
            <w:shd w:val="clear" w:color="auto" w:fill="F2F2F2"/>
            <w:tcMar>
              <w:top w:w="200" w:type="dxa"/>
              <w:left w:w="200" w:type="dxa"/>
              <w:bottom w:w="200" w:type="dxa"/>
              <w:right w:w="200" w:type="dxa"/>
            </w:tcMar>
          </w:tcPr>
          <w:p w14:paraId="068F5652" w14:textId="77777777" w:rsidR="00D727D9" w:rsidRDefault="00D46FD5">
            <w:pPr>
              <w:spacing w:after="80"/>
            </w:pPr>
            <w:r>
              <w:rPr>
                <w:rFonts w:ascii="Arial" w:eastAsia="Arial" w:hAnsi="Arial" w:cs="Arial"/>
                <w:b/>
                <w:bCs/>
                <w:color w:val="0000FF"/>
                <w:sz w:val="18"/>
                <w:szCs w:val="18"/>
              </w:rPr>
              <w:t>Main purpose</w:t>
            </w:r>
          </w:p>
          <w:p w14:paraId="43EF3785" w14:textId="0B1167BE" w:rsidR="00D727D9" w:rsidRDefault="00D46FD5">
            <w:pPr>
              <w:spacing w:after="160"/>
            </w:pPr>
            <w:r>
              <w:rPr>
                <w:rFonts w:ascii="Arial" w:eastAsia="Arial" w:hAnsi="Arial" w:cs="Arial"/>
                <w:sz w:val="18"/>
                <w:szCs w:val="18"/>
              </w:rPr>
              <w:t xml:space="preserve">Group Technology is delivering Trafigura's Cloud Smart, </w:t>
            </w:r>
            <w:r>
              <w:rPr>
                <w:rFonts w:ascii="Arial" w:eastAsia="Arial" w:hAnsi="Arial" w:cs="Arial"/>
                <w:sz w:val="18"/>
                <w:szCs w:val="18"/>
              </w:rPr>
              <w:t>Data First strategy</w:t>
            </w:r>
            <w:r w:rsidR="00C2398D">
              <w:rPr>
                <w:rFonts w:ascii="Arial" w:eastAsia="Arial" w:hAnsi="Arial" w:cs="Arial"/>
                <w:sz w:val="18"/>
                <w:szCs w:val="18"/>
              </w:rPr>
              <w:t>:</w:t>
            </w:r>
            <w:r>
              <w:rPr>
                <w:rFonts w:ascii="Arial" w:eastAsia="Arial" w:hAnsi="Arial" w:cs="Arial"/>
                <w:sz w:val="18"/>
                <w:szCs w:val="18"/>
              </w:rPr>
              <w:t xml:space="preserve"> a multi-year programme to consolidate fragmented data across the firm's </w:t>
            </w:r>
            <w:proofErr w:type="spellStart"/>
            <w:r>
              <w:rPr>
                <w:rFonts w:ascii="Arial" w:eastAsia="Arial" w:hAnsi="Arial" w:cs="Arial"/>
                <w:sz w:val="18"/>
                <w:szCs w:val="18"/>
              </w:rPr>
              <w:t>eTRMs</w:t>
            </w:r>
            <w:proofErr w:type="spellEnd"/>
            <w:r>
              <w:rPr>
                <w:rFonts w:ascii="Arial" w:eastAsia="Arial" w:hAnsi="Arial" w:cs="Arial"/>
                <w:sz w:val="18"/>
                <w:szCs w:val="18"/>
              </w:rPr>
              <w:t xml:space="preserve">, risk, finance, operations and asset systems into a connected, enterprise-grade data backbone. Enterprise Data's flagship expression of that strategy is the Intelligence Platform: the </w:t>
            </w:r>
            <w:proofErr w:type="spellStart"/>
            <w:r>
              <w:rPr>
                <w:rFonts w:ascii="Arial" w:eastAsia="Arial" w:hAnsi="Arial" w:cs="Arial"/>
                <w:sz w:val="18"/>
                <w:szCs w:val="18"/>
              </w:rPr>
              <w:t>lakehouse</w:t>
            </w:r>
            <w:proofErr w:type="spellEnd"/>
            <w:r>
              <w:rPr>
                <w:rFonts w:ascii="Arial" w:eastAsia="Arial" w:hAnsi="Arial" w:cs="Arial"/>
                <w:sz w:val="18"/>
                <w:szCs w:val="18"/>
              </w:rPr>
              <w:t>, semantic layer, catalogue, streaming backbone and AI/agent enablement capabilities set out in the Trafigura Data Architecture target-state.</w:t>
            </w:r>
          </w:p>
          <w:p w14:paraId="4B31B7D7" w14:textId="2FA3E0A5" w:rsidR="00D727D9" w:rsidRDefault="00D46FD5">
            <w:pPr>
              <w:spacing w:after="160"/>
            </w:pPr>
            <w:r>
              <w:rPr>
                <w:rFonts w:ascii="Arial" w:eastAsia="Arial" w:hAnsi="Arial" w:cs="Arial"/>
                <w:sz w:val="18"/>
                <w:szCs w:val="18"/>
              </w:rPr>
              <w:t>The Tech Lead is the technical delivery owner for the Intelligence Platform end-to-end</w:t>
            </w:r>
            <w:r w:rsidR="00C2398D">
              <w:rPr>
                <w:rFonts w:ascii="Arial" w:eastAsia="Arial" w:hAnsi="Arial" w:cs="Arial"/>
                <w:sz w:val="18"/>
                <w:szCs w:val="18"/>
              </w:rPr>
              <w:t>, being</w:t>
            </w:r>
            <w:r>
              <w:rPr>
                <w:rFonts w:ascii="Arial" w:eastAsia="Arial" w:hAnsi="Arial" w:cs="Arial"/>
                <w:sz w:val="18"/>
                <w:szCs w:val="18"/>
              </w:rPr>
              <w:t xml:space="preserve"> the person who turns the target architecture, design principles and capability roadmap into a working, production-grade platform. The role reports to the Head of Data </w:t>
            </w:r>
            <w:proofErr w:type="gramStart"/>
            <w:r>
              <w:rPr>
                <w:rFonts w:ascii="Arial" w:eastAsia="Arial" w:hAnsi="Arial" w:cs="Arial"/>
                <w:sz w:val="18"/>
                <w:szCs w:val="18"/>
              </w:rPr>
              <w:t>Platform, and</w:t>
            </w:r>
            <w:proofErr w:type="gramEnd"/>
            <w:r>
              <w:rPr>
                <w:rFonts w:ascii="Arial" w:eastAsia="Arial" w:hAnsi="Arial" w:cs="Arial"/>
                <w:sz w:val="18"/>
                <w:szCs w:val="18"/>
              </w:rPr>
              <w:t xml:space="preserve"> is accountable for engineering the Databricks/AWS substrate, the </w:t>
            </w:r>
            <w:proofErr w:type="spellStart"/>
            <w:r>
              <w:rPr>
                <w:rFonts w:ascii="Arial" w:eastAsia="Arial" w:hAnsi="Arial" w:cs="Arial"/>
                <w:sz w:val="18"/>
                <w:szCs w:val="18"/>
              </w:rPr>
              <w:t>lakehouse</w:t>
            </w:r>
            <w:proofErr w:type="spellEnd"/>
            <w:r>
              <w:rPr>
                <w:rFonts w:ascii="Arial" w:eastAsia="Arial" w:hAnsi="Arial" w:cs="Arial"/>
                <w:sz w:val="18"/>
                <w:szCs w:val="18"/>
              </w:rPr>
              <w:t xml:space="preserve"> (Iceberg/Delta), streaming and CDC pipelines, the semantic and knowledge-graph layer, and the AI/agent enablement surface (governed retrieval, MCP gateway, agent identity).</w:t>
            </w:r>
          </w:p>
          <w:p w14:paraId="4D669ABB" w14:textId="676FF988" w:rsidR="00D727D9" w:rsidRDefault="00D46FD5">
            <w:pPr>
              <w:spacing w:after="160"/>
            </w:pPr>
            <w:r>
              <w:rPr>
                <w:rFonts w:ascii="Arial" w:eastAsia="Arial" w:hAnsi="Arial" w:cs="Arial"/>
                <w:sz w:val="18"/>
                <w:szCs w:val="18"/>
              </w:rPr>
              <w:t xml:space="preserve">This is a hands-on, build-it role as much as a lead-it role. The </w:t>
            </w:r>
            <w:r>
              <w:rPr>
                <w:rFonts w:ascii="Arial" w:eastAsia="Arial" w:hAnsi="Arial" w:cs="Arial"/>
                <w:sz w:val="18"/>
                <w:szCs w:val="18"/>
              </w:rPr>
              <w:t>successful candidate will have personally built a comparable data/AI platform before</w:t>
            </w:r>
            <w:r w:rsidR="00C2398D">
              <w:rPr>
                <w:rFonts w:ascii="Arial" w:eastAsia="Arial" w:hAnsi="Arial" w:cs="Arial"/>
                <w:sz w:val="18"/>
                <w:szCs w:val="18"/>
              </w:rPr>
              <w:t>,</w:t>
            </w:r>
            <w:r>
              <w:rPr>
                <w:rFonts w:ascii="Arial" w:eastAsia="Arial" w:hAnsi="Arial" w:cs="Arial"/>
                <w:sz w:val="18"/>
                <w:szCs w:val="18"/>
              </w:rPr>
              <w:t xml:space="preserve"> not just directed on</w:t>
            </w:r>
            <w:r w:rsidR="00C2398D">
              <w:rPr>
                <w:rFonts w:ascii="Arial" w:eastAsia="Arial" w:hAnsi="Arial" w:cs="Arial"/>
                <w:sz w:val="18"/>
                <w:szCs w:val="18"/>
              </w:rPr>
              <w:t>e,</w:t>
            </w:r>
            <w:r>
              <w:rPr>
                <w:rFonts w:ascii="Arial" w:eastAsia="Arial" w:hAnsi="Arial" w:cs="Arial"/>
                <w:sz w:val="18"/>
                <w:szCs w:val="18"/>
              </w:rPr>
              <w:t xml:space="preserve"> and will bring that experience to bear leading a team of internal technology leads while directing the work of multiple external vendors and delivery partners (systems integrators, Databricks/AWS partners, specialist tooling vendors) to a single coherent architecture and delivery plan.</w:t>
            </w:r>
          </w:p>
          <w:p w14:paraId="744AD9C9" w14:textId="77777777" w:rsidR="00D727D9" w:rsidRDefault="00D46FD5">
            <w:pPr>
              <w:spacing w:after="160"/>
            </w:pPr>
            <w:r>
              <w:rPr>
                <w:rFonts w:ascii="Arial" w:eastAsia="Arial" w:hAnsi="Arial" w:cs="Arial"/>
                <w:sz w:val="18"/>
                <w:szCs w:val="18"/>
              </w:rPr>
              <w:t xml:space="preserve">The role partners closely with the Head of Data (enterprise data strategy, governance, stakeholders), the Head of Data Platform, Enterprise Architecture, AI Enablement, Cloud Platform &amp; SRE, CISO and the domain data teams. In the near term, the role stands up the Databricks/AWS substrate, lands the first certified data products, builds the streaming backbone and semantic/knowledge-graph layer, and establishes the engineering standards and SDLC that let domain teams ship products without a platform engineer </w:t>
            </w:r>
            <w:r>
              <w:rPr>
                <w:rFonts w:ascii="Arial" w:eastAsia="Arial" w:hAnsi="Arial" w:cs="Arial"/>
                <w:sz w:val="18"/>
                <w:szCs w:val="18"/>
              </w:rPr>
              <w:t>in the room.</w:t>
            </w:r>
          </w:p>
          <w:p w14:paraId="7691FCC3" w14:textId="77777777" w:rsidR="00D727D9" w:rsidRDefault="00D46FD5">
            <w:pPr>
              <w:spacing w:before="160" w:after="80"/>
            </w:pPr>
            <w:r>
              <w:rPr>
                <w:rFonts w:ascii="Arial" w:eastAsia="Arial" w:hAnsi="Arial" w:cs="Arial"/>
                <w:b/>
                <w:bCs/>
                <w:color w:val="0000FF"/>
                <w:sz w:val="18"/>
                <w:szCs w:val="18"/>
              </w:rPr>
              <w:t>Key responsibilities</w:t>
            </w:r>
          </w:p>
          <w:p w14:paraId="599AB1B6" w14:textId="77777777" w:rsidR="00D727D9" w:rsidRDefault="00D46FD5">
            <w:pPr>
              <w:spacing w:after="60"/>
            </w:pPr>
            <w:r>
              <w:rPr>
                <w:rFonts w:ascii="Arial" w:eastAsia="Arial" w:hAnsi="Arial" w:cs="Arial"/>
                <w:color w:val="595959"/>
                <w:sz w:val="18"/>
                <w:szCs w:val="18"/>
              </w:rPr>
              <w:t>a. Platform architecture &amp; hands-on delivery</w:t>
            </w:r>
          </w:p>
          <w:p w14:paraId="1EA06A1C" w14:textId="6A4C7C92" w:rsidR="00D727D9" w:rsidRDefault="009E5EB2">
            <w:pPr>
              <w:pStyle w:val="ListParagraph"/>
              <w:numPr>
                <w:ilvl w:val="0"/>
                <w:numId w:val="2"/>
              </w:numPr>
              <w:spacing w:after="80"/>
            </w:pPr>
            <w:r>
              <w:rPr>
                <w:rFonts w:ascii="Arial" w:eastAsia="Arial" w:hAnsi="Arial" w:cs="Arial"/>
                <w:sz w:val="18"/>
                <w:szCs w:val="18"/>
              </w:rPr>
              <w:t xml:space="preserve">Execution of </w:t>
            </w:r>
            <w:r w:rsidR="00D46FD5">
              <w:rPr>
                <w:rFonts w:ascii="Arial" w:eastAsia="Arial" w:hAnsi="Arial" w:cs="Arial"/>
                <w:sz w:val="18"/>
                <w:szCs w:val="18"/>
              </w:rPr>
              <w:t>the technical build of the Intelligence Platform end-to-end</w:t>
            </w:r>
            <w:r w:rsidR="00C2398D">
              <w:rPr>
                <w:rFonts w:ascii="Arial" w:eastAsia="Arial" w:hAnsi="Arial" w:cs="Arial"/>
                <w:sz w:val="18"/>
                <w:szCs w:val="18"/>
              </w:rPr>
              <w:t>:</w:t>
            </w:r>
            <w:r w:rsidR="00D46FD5">
              <w:rPr>
                <w:rFonts w:ascii="Arial" w:eastAsia="Arial" w:hAnsi="Arial" w:cs="Arial"/>
                <w:sz w:val="18"/>
                <w:szCs w:val="18"/>
              </w:rPr>
              <w:t xml:space="preserve"> </w:t>
            </w:r>
            <w:proofErr w:type="spellStart"/>
            <w:r w:rsidR="00D46FD5">
              <w:rPr>
                <w:rFonts w:ascii="Arial" w:eastAsia="Arial" w:hAnsi="Arial" w:cs="Arial"/>
                <w:sz w:val="18"/>
                <w:szCs w:val="18"/>
              </w:rPr>
              <w:t>lakehouse</w:t>
            </w:r>
            <w:proofErr w:type="spellEnd"/>
            <w:r w:rsidR="00D46FD5">
              <w:rPr>
                <w:rFonts w:ascii="Arial" w:eastAsia="Arial" w:hAnsi="Arial" w:cs="Arial"/>
                <w:sz w:val="18"/>
                <w:szCs w:val="18"/>
              </w:rPr>
              <w:t xml:space="preserve"> (Databricks/AWS, Iceberg/Delta), semantic layer, catalogue/lineage, streaming backbone, storage &amp; lifecycle, and AI/agent enablement</w:t>
            </w:r>
            <w:r w:rsidR="00C2398D">
              <w:rPr>
                <w:rFonts w:ascii="Arial" w:eastAsia="Arial" w:hAnsi="Arial" w:cs="Arial"/>
                <w:sz w:val="18"/>
                <w:szCs w:val="18"/>
              </w:rPr>
              <w:t xml:space="preserve">, </w:t>
            </w:r>
            <w:r w:rsidR="00D46FD5">
              <w:rPr>
                <w:rFonts w:ascii="Arial" w:eastAsia="Arial" w:hAnsi="Arial" w:cs="Arial"/>
                <w:sz w:val="18"/>
                <w:szCs w:val="18"/>
              </w:rPr>
              <w:t>translating the target-state capability map and design principles into working systems.</w:t>
            </w:r>
          </w:p>
          <w:p w14:paraId="0B138998" w14:textId="16C9587A" w:rsidR="00D727D9" w:rsidRDefault="007074FD">
            <w:pPr>
              <w:pStyle w:val="ListParagraph"/>
              <w:numPr>
                <w:ilvl w:val="0"/>
                <w:numId w:val="2"/>
              </w:numPr>
              <w:spacing w:after="80"/>
            </w:pPr>
            <w:r>
              <w:rPr>
                <w:rFonts w:ascii="Arial" w:eastAsia="Arial" w:hAnsi="Arial" w:cs="Arial"/>
                <w:sz w:val="18"/>
                <w:szCs w:val="18"/>
              </w:rPr>
              <w:t>E</w:t>
            </w:r>
            <w:r w:rsidR="00D46FD5">
              <w:rPr>
                <w:rFonts w:ascii="Arial" w:eastAsia="Arial" w:hAnsi="Arial" w:cs="Arial"/>
                <w:sz w:val="18"/>
                <w:szCs w:val="18"/>
              </w:rPr>
              <w:t>ngineer and review the platform's foundational components</w:t>
            </w:r>
            <w:r w:rsidR="00C2398D">
              <w:rPr>
                <w:rFonts w:ascii="Arial" w:eastAsia="Arial" w:hAnsi="Arial" w:cs="Arial"/>
                <w:sz w:val="18"/>
                <w:szCs w:val="18"/>
              </w:rPr>
              <w:t>:</w:t>
            </w:r>
            <w:r w:rsidR="00D46FD5">
              <w:rPr>
                <w:rFonts w:ascii="Arial" w:eastAsia="Arial" w:hAnsi="Arial" w:cs="Arial"/>
                <w:sz w:val="18"/>
                <w:szCs w:val="18"/>
              </w:rPr>
              <w:t xml:space="preserve"> ingestion, transformation, semantic modelling, streaming</w:t>
            </w:r>
            <w:r w:rsidR="00C2398D">
              <w:rPr>
                <w:rFonts w:ascii="Arial" w:eastAsia="Arial" w:hAnsi="Arial" w:cs="Arial"/>
                <w:sz w:val="18"/>
                <w:szCs w:val="18"/>
              </w:rPr>
              <w:t>,</w:t>
            </w:r>
            <w:r w:rsidR="00D46FD5">
              <w:rPr>
                <w:rFonts w:ascii="Arial" w:eastAsia="Arial" w:hAnsi="Arial" w:cs="Arial"/>
                <w:sz w:val="18"/>
                <w:szCs w:val="18"/>
              </w:rPr>
              <w:t xml:space="preserve"> where hands-on delivery moves faster than delegation, particularly in the platform's early build phases.</w:t>
            </w:r>
          </w:p>
          <w:p w14:paraId="1109DCAF" w14:textId="5A775B19" w:rsidR="00D727D9" w:rsidRDefault="009E5EB2">
            <w:pPr>
              <w:pStyle w:val="ListParagraph"/>
              <w:numPr>
                <w:ilvl w:val="0"/>
                <w:numId w:val="2"/>
              </w:numPr>
              <w:spacing w:after="80"/>
            </w:pPr>
            <w:r>
              <w:rPr>
                <w:rFonts w:ascii="Arial" w:eastAsia="Arial" w:hAnsi="Arial" w:cs="Arial"/>
                <w:sz w:val="18"/>
                <w:szCs w:val="18"/>
              </w:rPr>
              <w:t xml:space="preserve">Help guide and </w:t>
            </w:r>
            <w:r w:rsidR="00D46FD5">
              <w:rPr>
                <w:rFonts w:ascii="Arial" w:eastAsia="Arial" w:hAnsi="Arial" w:cs="Arial"/>
                <w:sz w:val="18"/>
                <w:szCs w:val="18"/>
              </w:rPr>
              <w:t>enforce engineering standards</w:t>
            </w:r>
            <w:r w:rsidR="00C2398D">
              <w:rPr>
                <w:rFonts w:ascii="Arial" w:eastAsia="Arial" w:hAnsi="Arial" w:cs="Arial"/>
                <w:sz w:val="18"/>
                <w:szCs w:val="18"/>
              </w:rPr>
              <w:t>:</w:t>
            </w:r>
            <w:r w:rsidR="00D46FD5">
              <w:rPr>
                <w:rFonts w:ascii="Arial" w:eastAsia="Arial" w:hAnsi="Arial" w:cs="Arial"/>
                <w:sz w:val="18"/>
                <w:szCs w:val="18"/>
              </w:rPr>
              <w:t xml:space="preserve"> CI/CD, environment parity, code review, testing and observability</w:t>
            </w:r>
            <w:r w:rsidR="00C2398D">
              <w:rPr>
                <w:rFonts w:ascii="Arial" w:eastAsia="Arial" w:hAnsi="Arial" w:cs="Arial"/>
                <w:sz w:val="18"/>
                <w:szCs w:val="18"/>
              </w:rPr>
              <w:t>,</w:t>
            </w:r>
            <w:r w:rsidR="00D46FD5">
              <w:rPr>
                <w:rFonts w:ascii="Arial" w:eastAsia="Arial" w:hAnsi="Arial" w:cs="Arial"/>
                <w:sz w:val="18"/>
                <w:szCs w:val="18"/>
              </w:rPr>
              <w:t xml:space="preserve"> so every product, contract and pipeline ships as code and meets production-grade reliability.</w:t>
            </w:r>
          </w:p>
          <w:p w14:paraId="4263DDB2" w14:textId="77777777" w:rsidR="00D727D9" w:rsidRDefault="00D46FD5">
            <w:pPr>
              <w:spacing w:before="100" w:after="60"/>
            </w:pPr>
            <w:r>
              <w:rPr>
                <w:rFonts w:ascii="Arial" w:eastAsia="Arial" w:hAnsi="Arial" w:cs="Arial"/>
                <w:color w:val="595959"/>
                <w:sz w:val="18"/>
                <w:szCs w:val="18"/>
              </w:rPr>
              <w:t>b. Streaming, AI and knowledge graph enablement</w:t>
            </w:r>
          </w:p>
          <w:p w14:paraId="0C3CD161" w14:textId="77777777" w:rsidR="00D727D9" w:rsidRDefault="00D46FD5">
            <w:pPr>
              <w:pStyle w:val="ListParagraph"/>
              <w:numPr>
                <w:ilvl w:val="0"/>
                <w:numId w:val="2"/>
              </w:numPr>
              <w:spacing w:after="80"/>
            </w:pPr>
            <w:r>
              <w:rPr>
                <w:rFonts w:ascii="Arial" w:eastAsia="Arial" w:hAnsi="Arial" w:cs="Arial"/>
                <w:sz w:val="18"/>
                <w:szCs w:val="18"/>
              </w:rPr>
              <w:t>Build and operate the streaming backbone (Kafka/Kinesis/Flink, CDC) as a first-class capability, not an afterthought to batch ingestion.</w:t>
            </w:r>
          </w:p>
          <w:p w14:paraId="1439364E" w14:textId="25860137" w:rsidR="00D727D9" w:rsidRDefault="007074FD">
            <w:pPr>
              <w:pStyle w:val="ListParagraph"/>
              <w:numPr>
                <w:ilvl w:val="0"/>
                <w:numId w:val="2"/>
              </w:numPr>
              <w:spacing w:after="80"/>
            </w:pPr>
            <w:r>
              <w:rPr>
                <w:rFonts w:ascii="Arial" w:eastAsia="Arial" w:hAnsi="Arial" w:cs="Arial"/>
                <w:sz w:val="18"/>
                <w:szCs w:val="18"/>
              </w:rPr>
              <w:t>Participate in the design &amp;</w:t>
            </w:r>
            <w:r w:rsidR="00D46FD5">
              <w:rPr>
                <w:rFonts w:ascii="Arial" w:eastAsia="Arial" w:hAnsi="Arial" w:cs="Arial"/>
                <w:sz w:val="18"/>
                <w:szCs w:val="18"/>
              </w:rPr>
              <w:t xml:space="preserve"> delivery of the Enterprise Knowledge Graph and the semantic/context layer (metric definitions, business glossary, entity resolution) as production data products.</w:t>
            </w:r>
          </w:p>
          <w:p w14:paraId="71E50D6C" w14:textId="7CFD937D" w:rsidR="00D727D9" w:rsidRDefault="00D46FD5">
            <w:pPr>
              <w:pStyle w:val="ListParagraph"/>
              <w:numPr>
                <w:ilvl w:val="0"/>
                <w:numId w:val="2"/>
              </w:numPr>
              <w:spacing w:after="80"/>
            </w:pPr>
            <w:r>
              <w:rPr>
                <w:rFonts w:ascii="Arial" w:eastAsia="Arial" w:hAnsi="Arial" w:cs="Arial"/>
                <w:sz w:val="18"/>
                <w:szCs w:val="18"/>
              </w:rPr>
              <w:t>Deliver the AI &amp; Agent Enablement band</w:t>
            </w:r>
            <w:r w:rsidR="00C2398D">
              <w:rPr>
                <w:rFonts w:ascii="Arial" w:eastAsia="Arial" w:hAnsi="Arial" w:cs="Arial"/>
                <w:sz w:val="18"/>
                <w:szCs w:val="18"/>
              </w:rPr>
              <w:t>,</w:t>
            </w:r>
            <w:r>
              <w:rPr>
                <w:rFonts w:ascii="Arial" w:eastAsia="Arial" w:hAnsi="Arial" w:cs="Arial"/>
                <w:sz w:val="18"/>
                <w:szCs w:val="18"/>
              </w:rPr>
              <w:t xml:space="preserve"> governed retrieval, MCP gateway and tool registry, agent identity and action controls </w:t>
            </w:r>
            <w:r w:rsidR="00C2398D">
              <w:rPr>
                <w:rFonts w:ascii="Arial" w:eastAsia="Arial" w:hAnsi="Arial" w:cs="Arial"/>
                <w:sz w:val="18"/>
                <w:szCs w:val="18"/>
              </w:rPr>
              <w:t>and</w:t>
            </w:r>
            <w:r>
              <w:rPr>
                <w:rFonts w:ascii="Arial" w:eastAsia="Arial" w:hAnsi="Arial" w:cs="Arial"/>
                <w:sz w:val="18"/>
                <w:szCs w:val="18"/>
              </w:rPr>
              <w:t xml:space="preserve"> in partnership with AI Enablement.</w:t>
            </w:r>
          </w:p>
          <w:p w14:paraId="03CBA651" w14:textId="77777777" w:rsidR="00D727D9" w:rsidRDefault="00D46FD5">
            <w:pPr>
              <w:spacing w:before="100" w:after="60"/>
            </w:pPr>
            <w:r>
              <w:rPr>
                <w:rFonts w:ascii="Arial" w:eastAsia="Arial" w:hAnsi="Arial" w:cs="Arial"/>
                <w:color w:val="595959"/>
                <w:sz w:val="18"/>
                <w:szCs w:val="18"/>
              </w:rPr>
              <w:t>c. Team and vendor leadership</w:t>
            </w:r>
          </w:p>
          <w:p w14:paraId="36B8340A" w14:textId="77777777" w:rsidR="00D727D9" w:rsidRDefault="00D46FD5">
            <w:pPr>
              <w:pStyle w:val="ListParagraph"/>
              <w:numPr>
                <w:ilvl w:val="0"/>
                <w:numId w:val="2"/>
              </w:numPr>
              <w:spacing w:after="80"/>
            </w:pPr>
            <w:r>
              <w:rPr>
                <w:rFonts w:ascii="Arial" w:eastAsia="Arial" w:hAnsi="Arial" w:cs="Arial"/>
                <w:sz w:val="18"/>
                <w:szCs w:val="18"/>
              </w:rPr>
              <w:t>Lead and develop a team of internal technology leads, setting technical direction, unblocking delivery and building bench strength so the platform doesn't depend on any single individual.</w:t>
            </w:r>
          </w:p>
          <w:p w14:paraId="53B12977" w14:textId="474CBE07" w:rsidR="00D727D9" w:rsidRDefault="00D46FD5">
            <w:pPr>
              <w:pStyle w:val="ListParagraph"/>
              <w:numPr>
                <w:ilvl w:val="0"/>
                <w:numId w:val="2"/>
              </w:numPr>
              <w:spacing w:after="80"/>
            </w:pPr>
            <w:r>
              <w:rPr>
                <w:rFonts w:ascii="Arial" w:eastAsia="Arial" w:hAnsi="Arial" w:cs="Arial"/>
                <w:sz w:val="18"/>
                <w:szCs w:val="18"/>
              </w:rPr>
              <w:t>Direct the work of multiple external vendors and delivery partners</w:t>
            </w:r>
            <w:r w:rsidR="00C2398D">
              <w:rPr>
                <w:rFonts w:ascii="Arial" w:eastAsia="Arial" w:hAnsi="Arial" w:cs="Arial"/>
                <w:sz w:val="18"/>
                <w:szCs w:val="18"/>
              </w:rPr>
              <w:t>,</w:t>
            </w:r>
            <w:r>
              <w:rPr>
                <w:rFonts w:ascii="Arial" w:eastAsia="Arial" w:hAnsi="Arial" w:cs="Arial"/>
                <w:sz w:val="18"/>
                <w:szCs w:val="18"/>
              </w:rPr>
              <w:t xml:space="preserve"> systems integrators, Databricks/AWS specialists and point-solution </w:t>
            </w:r>
            <w:proofErr w:type="gramStart"/>
            <w:r>
              <w:rPr>
                <w:rFonts w:ascii="Arial" w:eastAsia="Arial" w:hAnsi="Arial" w:cs="Arial"/>
                <w:sz w:val="18"/>
                <w:szCs w:val="18"/>
              </w:rPr>
              <w:t>vendors</w:t>
            </w:r>
            <w:r w:rsidR="00C2398D">
              <w:rPr>
                <w:rFonts w:ascii="Arial" w:eastAsia="Arial" w:hAnsi="Arial" w:cs="Arial"/>
                <w:sz w:val="18"/>
                <w:szCs w:val="18"/>
              </w:rPr>
              <w:t xml:space="preserve">, </w:t>
            </w:r>
            <w:r>
              <w:rPr>
                <w:rFonts w:ascii="Arial" w:eastAsia="Arial" w:hAnsi="Arial" w:cs="Arial"/>
                <w:sz w:val="18"/>
                <w:szCs w:val="18"/>
              </w:rPr>
              <w:t xml:space="preserve"> holding</w:t>
            </w:r>
            <w:proofErr w:type="gramEnd"/>
            <w:r>
              <w:rPr>
                <w:rFonts w:ascii="Arial" w:eastAsia="Arial" w:hAnsi="Arial" w:cs="Arial"/>
                <w:sz w:val="18"/>
                <w:szCs w:val="18"/>
              </w:rPr>
              <w:t xml:space="preserve"> them to a single architecture, a shared delivery plan and Trafigura's engineering standards.</w:t>
            </w:r>
          </w:p>
          <w:p w14:paraId="4E909F29" w14:textId="77777777" w:rsidR="00D727D9" w:rsidRDefault="00D46FD5">
            <w:pPr>
              <w:pStyle w:val="ListParagraph"/>
              <w:numPr>
                <w:ilvl w:val="0"/>
                <w:numId w:val="2"/>
              </w:numPr>
              <w:spacing w:after="80"/>
            </w:pPr>
            <w:r>
              <w:rPr>
                <w:rFonts w:ascii="Arial" w:eastAsia="Arial" w:hAnsi="Arial" w:cs="Arial"/>
                <w:sz w:val="18"/>
                <w:szCs w:val="18"/>
              </w:rPr>
              <w:t>Chair or co-lead technical design reviews and architecture decision records (ADRs), ensuring every material technology choice is documented, principle-aligned and owned.</w:t>
            </w:r>
          </w:p>
          <w:p w14:paraId="1D36B513" w14:textId="77777777" w:rsidR="00D727D9" w:rsidRDefault="00D46FD5">
            <w:pPr>
              <w:spacing w:before="100" w:after="60"/>
            </w:pPr>
            <w:r>
              <w:rPr>
                <w:rFonts w:ascii="Arial" w:eastAsia="Arial" w:hAnsi="Arial" w:cs="Arial"/>
                <w:color w:val="595959"/>
                <w:sz w:val="18"/>
                <w:szCs w:val="18"/>
              </w:rPr>
              <w:t>d. Delivery management &amp; governance</w:t>
            </w:r>
          </w:p>
          <w:p w14:paraId="56CD50D3" w14:textId="77777777" w:rsidR="00D727D9" w:rsidRDefault="00D46FD5">
            <w:pPr>
              <w:pStyle w:val="ListParagraph"/>
              <w:numPr>
                <w:ilvl w:val="0"/>
                <w:numId w:val="2"/>
              </w:numPr>
              <w:spacing w:after="80"/>
            </w:pPr>
            <w:r>
              <w:rPr>
                <w:rFonts w:ascii="Arial" w:eastAsia="Arial" w:hAnsi="Arial" w:cs="Arial"/>
                <w:sz w:val="18"/>
                <w:szCs w:val="18"/>
              </w:rPr>
              <w:t>Own the technical delivery plan and roadmap for the Intelligence Platform, sequencing foundations, MVP delivery and post-MVP scale-out.</w:t>
            </w:r>
          </w:p>
          <w:p w14:paraId="1DA28DF7" w14:textId="7ACA96E8" w:rsidR="00D727D9" w:rsidRDefault="00D46FD5">
            <w:pPr>
              <w:pStyle w:val="ListParagraph"/>
              <w:numPr>
                <w:ilvl w:val="0"/>
                <w:numId w:val="2"/>
              </w:numPr>
              <w:spacing w:after="80"/>
            </w:pPr>
            <w:r>
              <w:rPr>
                <w:rFonts w:ascii="Arial" w:eastAsia="Arial" w:hAnsi="Arial" w:cs="Arial"/>
                <w:sz w:val="18"/>
                <w:szCs w:val="18"/>
              </w:rPr>
              <w:t>Partner with the Head of Data on architecture governance</w:t>
            </w:r>
            <w:r w:rsidR="00C2398D">
              <w:rPr>
                <w:rFonts w:ascii="Arial" w:eastAsia="Arial" w:hAnsi="Arial" w:cs="Arial"/>
                <w:sz w:val="18"/>
                <w:szCs w:val="18"/>
              </w:rPr>
              <w:t xml:space="preserve">, </w:t>
            </w:r>
            <w:r>
              <w:rPr>
                <w:rFonts w:ascii="Arial" w:eastAsia="Arial" w:hAnsi="Arial" w:cs="Arial"/>
                <w:sz w:val="18"/>
                <w:szCs w:val="18"/>
              </w:rPr>
              <w:t xml:space="preserve">the Data Governance Council, the </w:t>
            </w:r>
            <w:r>
              <w:rPr>
                <w:rFonts w:ascii="Arial" w:eastAsia="Arial" w:hAnsi="Arial" w:cs="Arial"/>
                <w:sz w:val="18"/>
                <w:szCs w:val="18"/>
              </w:rPr>
              <w:t>certification gate, and technical input to data contracts (ODCS)</w:t>
            </w:r>
            <w:r w:rsidR="00C2398D">
              <w:rPr>
                <w:rFonts w:ascii="Arial" w:eastAsia="Arial" w:hAnsi="Arial" w:cs="Arial"/>
                <w:sz w:val="18"/>
                <w:szCs w:val="18"/>
              </w:rPr>
              <w:t>,</w:t>
            </w:r>
            <w:r>
              <w:rPr>
                <w:rFonts w:ascii="Arial" w:eastAsia="Arial" w:hAnsi="Arial" w:cs="Arial"/>
                <w:sz w:val="18"/>
                <w:szCs w:val="18"/>
              </w:rPr>
              <w:t xml:space="preserve"> ensuring what ships is engineered to the standard the governance framework requires.</w:t>
            </w:r>
          </w:p>
          <w:p w14:paraId="002CF202" w14:textId="77777777" w:rsidR="00D727D9" w:rsidRDefault="00D46FD5">
            <w:pPr>
              <w:pStyle w:val="ListParagraph"/>
              <w:numPr>
                <w:ilvl w:val="0"/>
                <w:numId w:val="2"/>
              </w:numPr>
              <w:spacing w:after="80"/>
            </w:pPr>
            <w:r>
              <w:rPr>
                <w:rFonts w:ascii="Arial" w:eastAsia="Arial" w:hAnsi="Arial" w:cs="Arial"/>
                <w:sz w:val="18"/>
                <w:szCs w:val="18"/>
              </w:rPr>
              <w:t>Track and report delivery progress, technical risk and vendor performance to the Head of Data / Head of Data Platform and relevant steering forums.</w:t>
            </w:r>
          </w:p>
          <w:p w14:paraId="574CEFD2" w14:textId="77777777" w:rsidR="00D727D9" w:rsidRDefault="00D46FD5">
            <w:pPr>
              <w:spacing w:before="160" w:after="80"/>
            </w:pPr>
            <w:r>
              <w:rPr>
                <w:rFonts w:ascii="Arial" w:eastAsia="Arial" w:hAnsi="Arial" w:cs="Arial"/>
                <w:b/>
                <w:bCs/>
                <w:color w:val="0000FF"/>
                <w:sz w:val="18"/>
                <w:szCs w:val="18"/>
              </w:rPr>
              <w:t>Required qualifications</w:t>
            </w:r>
          </w:p>
          <w:p w14:paraId="3D9934DD" w14:textId="77777777" w:rsidR="00D727D9" w:rsidRDefault="00D46FD5">
            <w:pPr>
              <w:pStyle w:val="ListParagraph"/>
              <w:numPr>
                <w:ilvl w:val="0"/>
                <w:numId w:val="2"/>
              </w:numPr>
              <w:spacing w:after="80"/>
            </w:pPr>
            <w:r>
              <w:rPr>
                <w:rFonts w:ascii="Arial" w:eastAsia="Arial" w:hAnsi="Arial" w:cs="Arial"/>
                <w:sz w:val="18"/>
                <w:szCs w:val="18"/>
              </w:rPr>
              <w:t xml:space="preserve">Significant hands-on experience (typically 10+ years) architecting and building enterprise-scale data/AI platforms, including prior experience personally leading the build of a </w:t>
            </w:r>
            <w:r>
              <w:rPr>
                <w:rFonts w:ascii="Arial" w:eastAsia="Arial" w:hAnsi="Arial" w:cs="Arial"/>
                <w:sz w:val="18"/>
                <w:szCs w:val="18"/>
              </w:rPr>
              <w:t>comparable hybrid cloud/on-prem platform from the ground up.</w:t>
            </w:r>
          </w:p>
          <w:p w14:paraId="398DE7E3" w14:textId="77777777" w:rsidR="00D727D9" w:rsidRDefault="00D46FD5">
            <w:pPr>
              <w:pStyle w:val="ListParagraph"/>
              <w:numPr>
                <w:ilvl w:val="0"/>
                <w:numId w:val="2"/>
              </w:numPr>
              <w:spacing w:after="80"/>
            </w:pPr>
            <w:r>
              <w:rPr>
                <w:rFonts w:ascii="Arial" w:eastAsia="Arial" w:hAnsi="Arial" w:cs="Arial"/>
                <w:sz w:val="18"/>
                <w:szCs w:val="18"/>
              </w:rPr>
              <w:t xml:space="preserve">Deep technical fluency across AWS and Databricks (or directly comparable </w:t>
            </w:r>
            <w:proofErr w:type="spellStart"/>
            <w:r>
              <w:rPr>
                <w:rFonts w:ascii="Arial" w:eastAsia="Arial" w:hAnsi="Arial" w:cs="Arial"/>
                <w:sz w:val="18"/>
                <w:szCs w:val="18"/>
              </w:rPr>
              <w:t>lakehouse</w:t>
            </w:r>
            <w:proofErr w:type="spellEnd"/>
            <w:r>
              <w:rPr>
                <w:rFonts w:ascii="Arial" w:eastAsia="Arial" w:hAnsi="Arial" w:cs="Arial"/>
                <w:sz w:val="18"/>
                <w:szCs w:val="18"/>
              </w:rPr>
              <w:t xml:space="preserve"> platforms), including Unity </w:t>
            </w:r>
            <w:proofErr w:type="spellStart"/>
            <w:r>
              <w:rPr>
                <w:rFonts w:ascii="Arial" w:eastAsia="Arial" w:hAnsi="Arial" w:cs="Arial"/>
                <w:sz w:val="18"/>
                <w:szCs w:val="18"/>
              </w:rPr>
              <w:t>Catalog</w:t>
            </w:r>
            <w:proofErr w:type="spellEnd"/>
            <w:r>
              <w:rPr>
                <w:rFonts w:ascii="Arial" w:eastAsia="Arial" w:hAnsi="Arial" w:cs="Arial"/>
                <w:sz w:val="18"/>
                <w:szCs w:val="18"/>
              </w:rPr>
              <w:t>, Delta/Iceberg, DLT/streaming, and serverless compute.</w:t>
            </w:r>
          </w:p>
          <w:p w14:paraId="1405D4FF" w14:textId="77777777" w:rsidR="00D727D9" w:rsidRDefault="00D46FD5">
            <w:pPr>
              <w:pStyle w:val="ListParagraph"/>
              <w:numPr>
                <w:ilvl w:val="0"/>
                <w:numId w:val="2"/>
              </w:numPr>
              <w:spacing w:after="80"/>
            </w:pPr>
            <w:r>
              <w:rPr>
                <w:rFonts w:ascii="Arial" w:eastAsia="Arial" w:hAnsi="Arial" w:cs="Arial"/>
                <w:sz w:val="18"/>
                <w:szCs w:val="18"/>
              </w:rPr>
              <w:t>Direct experience building and operating streaming/CDC pipelines (Kafka, Kinesis, Flink or equivalent) at production scale.</w:t>
            </w:r>
          </w:p>
          <w:p w14:paraId="3EC8F2D5" w14:textId="77777777" w:rsidR="00D727D9" w:rsidRDefault="00D46FD5">
            <w:pPr>
              <w:pStyle w:val="ListParagraph"/>
              <w:numPr>
                <w:ilvl w:val="0"/>
                <w:numId w:val="2"/>
              </w:numPr>
              <w:spacing w:after="80"/>
            </w:pPr>
            <w:r>
              <w:rPr>
                <w:rFonts w:ascii="Arial" w:eastAsia="Arial" w:hAnsi="Arial" w:cs="Arial"/>
                <w:sz w:val="18"/>
                <w:szCs w:val="18"/>
              </w:rPr>
              <w:t xml:space="preserve">Practical experience with </w:t>
            </w:r>
            <w:proofErr w:type="spellStart"/>
            <w:r>
              <w:rPr>
                <w:rFonts w:ascii="Arial" w:eastAsia="Arial" w:hAnsi="Arial" w:cs="Arial"/>
                <w:sz w:val="18"/>
                <w:szCs w:val="18"/>
              </w:rPr>
              <w:t>ClickHouse</w:t>
            </w:r>
            <w:proofErr w:type="spellEnd"/>
            <w:r>
              <w:rPr>
                <w:rFonts w:ascii="Arial" w:eastAsia="Arial" w:hAnsi="Arial" w:cs="Arial"/>
                <w:sz w:val="18"/>
                <w:szCs w:val="18"/>
              </w:rPr>
              <w:t xml:space="preserve"> or comparable </w:t>
            </w:r>
            <w:proofErr w:type="gramStart"/>
            <w:r>
              <w:rPr>
                <w:rFonts w:ascii="Arial" w:eastAsia="Arial" w:hAnsi="Arial" w:cs="Arial"/>
                <w:sz w:val="18"/>
                <w:szCs w:val="18"/>
              </w:rPr>
              <w:t>low-latency</w:t>
            </w:r>
            <w:proofErr w:type="gramEnd"/>
            <w:r>
              <w:rPr>
                <w:rFonts w:ascii="Arial" w:eastAsia="Arial" w:hAnsi="Arial" w:cs="Arial"/>
                <w:sz w:val="18"/>
                <w:szCs w:val="18"/>
              </w:rPr>
              <w:t>/OLAP serving technology.</w:t>
            </w:r>
          </w:p>
          <w:p w14:paraId="3E18B80F" w14:textId="77777777" w:rsidR="00D727D9" w:rsidRDefault="00D46FD5">
            <w:pPr>
              <w:pStyle w:val="ListParagraph"/>
              <w:numPr>
                <w:ilvl w:val="0"/>
                <w:numId w:val="2"/>
              </w:numPr>
              <w:spacing w:after="80"/>
            </w:pPr>
            <w:r>
              <w:rPr>
                <w:rFonts w:ascii="Arial" w:eastAsia="Arial" w:hAnsi="Arial" w:cs="Arial"/>
                <w:sz w:val="18"/>
                <w:szCs w:val="18"/>
              </w:rPr>
              <w:t xml:space="preserve">Experience designing and building Knowledge Graphs (e.g. Neo4j, </w:t>
            </w:r>
            <w:proofErr w:type="spellStart"/>
            <w:r>
              <w:rPr>
                <w:rFonts w:ascii="Arial" w:eastAsia="Arial" w:hAnsi="Arial" w:cs="Arial"/>
                <w:sz w:val="18"/>
                <w:szCs w:val="18"/>
              </w:rPr>
              <w:t>Stardog</w:t>
            </w:r>
            <w:proofErr w:type="spellEnd"/>
            <w:r>
              <w:rPr>
                <w:rFonts w:ascii="Arial" w:eastAsia="Arial" w:hAnsi="Arial" w:cs="Arial"/>
                <w:sz w:val="18"/>
                <w:szCs w:val="18"/>
              </w:rPr>
              <w:t xml:space="preserve"> or equivalent) and integrating them with AI/agentic retrieval patterns.</w:t>
            </w:r>
          </w:p>
          <w:p w14:paraId="5559F9C1" w14:textId="73450EFD" w:rsidR="00D727D9" w:rsidRDefault="00D46FD5">
            <w:pPr>
              <w:pStyle w:val="ListParagraph"/>
              <w:numPr>
                <w:ilvl w:val="0"/>
                <w:numId w:val="2"/>
              </w:numPr>
              <w:spacing w:after="80"/>
            </w:pPr>
            <w:r>
              <w:rPr>
                <w:rFonts w:ascii="Arial" w:eastAsia="Arial" w:hAnsi="Arial" w:cs="Arial"/>
                <w:sz w:val="18"/>
                <w:szCs w:val="18"/>
              </w:rPr>
              <w:t>Experience integrating cloud-native platforms with legacy, on-premises systems in a hybrid architecture</w:t>
            </w:r>
            <w:r w:rsidR="00C2398D">
              <w:rPr>
                <w:rFonts w:ascii="Arial" w:eastAsia="Arial" w:hAnsi="Arial" w:cs="Arial"/>
                <w:sz w:val="18"/>
                <w:szCs w:val="18"/>
              </w:rPr>
              <w:t>;</w:t>
            </w:r>
            <w:r>
              <w:rPr>
                <w:rFonts w:ascii="Arial" w:eastAsia="Arial" w:hAnsi="Arial" w:cs="Arial"/>
                <w:sz w:val="18"/>
                <w:szCs w:val="18"/>
              </w:rPr>
              <w:t xml:space="preserve"> including federation, sovereignty/data-residency constraints, and controlled migration.</w:t>
            </w:r>
          </w:p>
          <w:p w14:paraId="77CF46F0" w14:textId="6EA67ABB" w:rsidR="00D727D9" w:rsidRDefault="00D46FD5">
            <w:pPr>
              <w:pStyle w:val="ListParagraph"/>
              <w:numPr>
                <w:ilvl w:val="0"/>
                <w:numId w:val="2"/>
              </w:numPr>
              <w:spacing w:after="80"/>
            </w:pPr>
            <w:r>
              <w:rPr>
                <w:rFonts w:ascii="Arial" w:eastAsia="Arial" w:hAnsi="Arial" w:cs="Arial"/>
                <w:sz w:val="18"/>
                <w:szCs w:val="18"/>
              </w:rPr>
              <w:t>Proven track record establishing robust SDLC practice</w:t>
            </w:r>
            <w:r w:rsidR="00C2398D">
              <w:rPr>
                <w:rFonts w:ascii="Arial" w:eastAsia="Arial" w:hAnsi="Arial" w:cs="Arial"/>
                <w:sz w:val="18"/>
                <w:szCs w:val="18"/>
              </w:rPr>
              <w:t>,</w:t>
            </w:r>
            <w:r>
              <w:rPr>
                <w:rFonts w:ascii="Arial" w:eastAsia="Arial" w:hAnsi="Arial" w:cs="Arial"/>
                <w:sz w:val="18"/>
                <w:szCs w:val="18"/>
              </w:rPr>
              <w:t xml:space="preserve"> CI/CD, </w:t>
            </w:r>
            <w:proofErr w:type="spellStart"/>
            <w:r>
              <w:rPr>
                <w:rFonts w:ascii="Arial" w:eastAsia="Arial" w:hAnsi="Arial" w:cs="Arial"/>
                <w:sz w:val="18"/>
                <w:szCs w:val="18"/>
              </w:rPr>
              <w:t>GitOps</w:t>
            </w:r>
            <w:proofErr w:type="spellEnd"/>
            <w:r>
              <w:rPr>
                <w:rFonts w:ascii="Arial" w:eastAsia="Arial" w:hAnsi="Arial" w:cs="Arial"/>
                <w:sz w:val="18"/>
                <w:szCs w:val="18"/>
              </w:rPr>
              <w:t>/infrastructure-as-code, environment parity, testing and code review discipline</w:t>
            </w:r>
            <w:r w:rsidR="00C2398D">
              <w:rPr>
                <w:rFonts w:ascii="Arial" w:eastAsia="Arial" w:hAnsi="Arial" w:cs="Arial"/>
                <w:sz w:val="18"/>
                <w:szCs w:val="18"/>
              </w:rPr>
              <w:t>,</w:t>
            </w:r>
            <w:r>
              <w:rPr>
                <w:rFonts w:ascii="Arial" w:eastAsia="Arial" w:hAnsi="Arial" w:cs="Arial"/>
                <w:sz w:val="18"/>
                <w:szCs w:val="18"/>
              </w:rPr>
              <w:t xml:space="preserve"> across a multi-team delivery organisation.</w:t>
            </w:r>
          </w:p>
          <w:p w14:paraId="65E15F9E" w14:textId="77777777" w:rsidR="00D727D9" w:rsidRDefault="00D46FD5">
            <w:pPr>
              <w:pStyle w:val="ListParagraph"/>
              <w:numPr>
                <w:ilvl w:val="0"/>
                <w:numId w:val="2"/>
              </w:numPr>
              <w:spacing w:after="80"/>
            </w:pPr>
            <w:r>
              <w:rPr>
                <w:rFonts w:ascii="Arial" w:eastAsia="Arial" w:hAnsi="Arial" w:cs="Arial"/>
                <w:sz w:val="18"/>
                <w:szCs w:val="18"/>
              </w:rPr>
              <w:t>Track record leading technical teams and directing third-party vendors/SIs to a shared delivery outcome.</w:t>
            </w:r>
          </w:p>
          <w:p w14:paraId="121E291C" w14:textId="77777777" w:rsidR="00D727D9" w:rsidRDefault="00D46FD5">
            <w:pPr>
              <w:pStyle w:val="ListParagraph"/>
              <w:numPr>
                <w:ilvl w:val="0"/>
                <w:numId w:val="2"/>
              </w:numPr>
              <w:spacing w:after="80"/>
            </w:pPr>
            <w:proofErr w:type="gramStart"/>
            <w:r>
              <w:rPr>
                <w:rFonts w:ascii="Arial" w:eastAsia="Arial" w:hAnsi="Arial" w:cs="Arial"/>
                <w:sz w:val="18"/>
                <w:szCs w:val="18"/>
              </w:rPr>
              <w:t>Bachelor's degree in Computer Science</w:t>
            </w:r>
            <w:proofErr w:type="gramEnd"/>
            <w:r>
              <w:rPr>
                <w:rFonts w:ascii="Arial" w:eastAsia="Arial" w:hAnsi="Arial" w:cs="Arial"/>
                <w:sz w:val="18"/>
                <w:szCs w:val="18"/>
              </w:rPr>
              <w:t>, Engineering or a related quantitative discipline; postgraduate qualification an advantage.</w:t>
            </w:r>
          </w:p>
          <w:p w14:paraId="2A1BE28D" w14:textId="77777777" w:rsidR="00D727D9" w:rsidRDefault="00D46FD5">
            <w:pPr>
              <w:spacing w:before="160" w:after="80"/>
            </w:pPr>
            <w:r>
              <w:rPr>
                <w:rFonts w:ascii="Arial" w:eastAsia="Arial" w:hAnsi="Arial" w:cs="Arial"/>
                <w:b/>
                <w:bCs/>
                <w:color w:val="0000FF"/>
                <w:sz w:val="18"/>
                <w:szCs w:val="18"/>
              </w:rPr>
              <w:t>Preferred qualifications</w:t>
            </w:r>
          </w:p>
          <w:p w14:paraId="0ACF0ABA" w14:textId="77777777" w:rsidR="00D727D9" w:rsidRDefault="00D46FD5">
            <w:pPr>
              <w:pStyle w:val="ListParagraph"/>
              <w:numPr>
                <w:ilvl w:val="0"/>
                <w:numId w:val="2"/>
              </w:numPr>
              <w:spacing w:after="80"/>
            </w:pPr>
            <w:r>
              <w:rPr>
                <w:rFonts w:ascii="Arial" w:eastAsia="Arial" w:hAnsi="Arial" w:cs="Arial"/>
                <w:sz w:val="18"/>
                <w:szCs w:val="18"/>
              </w:rPr>
              <w:t xml:space="preserve">Experience in commodities trading, energy or financial services, with familiarity of </w:t>
            </w:r>
            <w:proofErr w:type="spellStart"/>
            <w:r>
              <w:rPr>
                <w:rFonts w:ascii="Arial" w:eastAsia="Arial" w:hAnsi="Arial" w:cs="Arial"/>
                <w:sz w:val="18"/>
                <w:szCs w:val="18"/>
              </w:rPr>
              <w:t>eTRM</w:t>
            </w:r>
            <w:proofErr w:type="spellEnd"/>
            <w:r>
              <w:rPr>
                <w:rFonts w:ascii="Arial" w:eastAsia="Arial" w:hAnsi="Arial" w:cs="Arial"/>
                <w:sz w:val="18"/>
                <w:szCs w:val="18"/>
              </w:rPr>
              <w:t xml:space="preserve"> platforms and trading data domains (trade, position, P&amp;L, exposure, curves).</w:t>
            </w:r>
          </w:p>
          <w:p w14:paraId="43DB2A55" w14:textId="77777777" w:rsidR="00D727D9" w:rsidRDefault="00D46FD5">
            <w:pPr>
              <w:pStyle w:val="ListParagraph"/>
              <w:numPr>
                <w:ilvl w:val="0"/>
                <w:numId w:val="2"/>
              </w:numPr>
              <w:spacing w:after="80"/>
            </w:pPr>
            <w:r>
              <w:rPr>
                <w:rFonts w:ascii="Arial" w:eastAsia="Arial" w:hAnsi="Arial" w:cs="Arial"/>
                <w:sz w:val="18"/>
                <w:szCs w:val="18"/>
              </w:rPr>
              <w:t>Hands-on experience with AI/agentic frameworks (e.g. MCP, LangGraph, Databricks Agent Framework) and governed retrieval/RAG patterns.</w:t>
            </w:r>
          </w:p>
          <w:p w14:paraId="49F3D186" w14:textId="77777777" w:rsidR="00D727D9" w:rsidRDefault="00D46FD5">
            <w:pPr>
              <w:pStyle w:val="ListParagraph"/>
              <w:numPr>
                <w:ilvl w:val="0"/>
                <w:numId w:val="2"/>
              </w:numPr>
              <w:spacing w:after="80"/>
            </w:pPr>
            <w:r>
              <w:rPr>
                <w:rFonts w:ascii="Arial" w:eastAsia="Arial" w:hAnsi="Arial" w:cs="Arial"/>
                <w:sz w:val="18"/>
                <w:szCs w:val="18"/>
              </w:rPr>
              <w:t xml:space="preserve">Experience with open table formats (Iceberg/Delta) and multi-engine </w:t>
            </w:r>
            <w:proofErr w:type="spellStart"/>
            <w:r>
              <w:rPr>
                <w:rFonts w:ascii="Arial" w:eastAsia="Arial" w:hAnsi="Arial" w:cs="Arial"/>
                <w:sz w:val="18"/>
                <w:szCs w:val="18"/>
              </w:rPr>
              <w:t>lakehouse</w:t>
            </w:r>
            <w:proofErr w:type="spellEnd"/>
            <w:r>
              <w:rPr>
                <w:rFonts w:ascii="Arial" w:eastAsia="Arial" w:hAnsi="Arial" w:cs="Arial"/>
                <w:sz w:val="18"/>
                <w:szCs w:val="18"/>
              </w:rPr>
              <w:t xml:space="preserve"> architectures.</w:t>
            </w:r>
          </w:p>
          <w:p w14:paraId="29B9E8EF" w14:textId="77777777" w:rsidR="00D727D9" w:rsidRDefault="00D46FD5">
            <w:pPr>
              <w:pStyle w:val="ListParagraph"/>
              <w:numPr>
                <w:ilvl w:val="0"/>
                <w:numId w:val="2"/>
              </w:numPr>
              <w:spacing w:after="80"/>
            </w:pPr>
            <w:r>
              <w:rPr>
                <w:rFonts w:ascii="Arial" w:eastAsia="Arial" w:hAnsi="Arial" w:cs="Arial"/>
                <w:sz w:val="18"/>
                <w:szCs w:val="18"/>
              </w:rPr>
              <w:t xml:space="preserve">Familiarity with data governance, catalogue and lineage tooling (e.g. Unity </w:t>
            </w:r>
            <w:proofErr w:type="spellStart"/>
            <w:r>
              <w:rPr>
                <w:rFonts w:ascii="Arial" w:eastAsia="Arial" w:hAnsi="Arial" w:cs="Arial"/>
                <w:sz w:val="18"/>
                <w:szCs w:val="18"/>
              </w:rPr>
              <w:t>Catalog</w:t>
            </w:r>
            <w:proofErr w:type="spellEnd"/>
            <w:r>
              <w:rPr>
                <w:rFonts w:ascii="Arial" w:eastAsia="Arial" w:hAnsi="Arial" w:cs="Arial"/>
                <w:sz w:val="18"/>
                <w:szCs w:val="18"/>
              </w:rPr>
              <w:t xml:space="preserve">, </w:t>
            </w:r>
            <w:proofErr w:type="spellStart"/>
            <w:r>
              <w:rPr>
                <w:rFonts w:ascii="Arial" w:eastAsia="Arial" w:hAnsi="Arial" w:cs="Arial"/>
                <w:sz w:val="18"/>
                <w:szCs w:val="18"/>
              </w:rPr>
              <w:t>DataHub</w:t>
            </w:r>
            <w:proofErr w:type="spellEnd"/>
            <w:r>
              <w:rPr>
                <w:rFonts w:ascii="Arial" w:eastAsia="Arial" w:hAnsi="Arial" w:cs="Arial"/>
                <w:sz w:val="18"/>
                <w:szCs w:val="18"/>
              </w:rPr>
              <w:t xml:space="preserve">, </w:t>
            </w:r>
            <w:proofErr w:type="spellStart"/>
            <w:r>
              <w:rPr>
                <w:rFonts w:ascii="Arial" w:eastAsia="Arial" w:hAnsi="Arial" w:cs="Arial"/>
                <w:sz w:val="18"/>
                <w:szCs w:val="18"/>
              </w:rPr>
              <w:t>OpenLineage</w:t>
            </w:r>
            <w:proofErr w:type="spellEnd"/>
            <w:r>
              <w:rPr>
                <w:rFonts w:ascii="Arial" w:eastAsia="Arial" w:hAnsi="Arial" w:cs="Arial"/>
                <w:sz w:val="18"/>
                <w:szCs w:val="18"/>
              </w:rPr>
              <w:t>) and how engineering choices support certification and compliance gates.</w:t>
            </w:r>
          </w:p>
          <w:p w14:paraId="5C29D7D6" w14:textId="77777777" w:rsidR="00D727D9" w:rsidRDefault="00D46FD5">
            <w:pPr>
              <w:pStyle w:val="ListParagraph"/>
              <w:numPr>
                <w:ilvl w:val="0"/>
                <w:numId w:val="2"/>
              </w:numPr>
              <w:spacing w:after="80"/>
            </w:pPr>
            <w:r>
              <w:rPr>
                <w:rFonts w:ascii="Arial" w:eastAsia="Arial" w:hAnsi="Arial" w:cs="Arial"/>
                <w:sz w:val="18"/>
                <w:szCs w:val="18"/>
              </w:rPr>
              <w:t>Experience operating in a federated/Data Mesh delivery model, enabling domain teams to self-serve on a shared platform.</w:t>
            </w:r>
          </w:p>
          <w:p w14:paraId="4C4A23BA" w14:textId="77777777" w:rsidR="00D727D9" w:rsidRDefault="00D46FD5">
            <w:pPr>
              <w:spacing w:before="160" w:after="80"/>
            </w:pPr>
            <w:r>
              <w:rPr>
                <w:rFonts w:ascii="Arial" w:eastAsia="Arial" w:hAnsi="Arial" w:cs="Arial"/>
                <w:b/>
                <w:bCs/>
                <w:color w:val="0000FF"/>
                <w:sz w:val="18"/>
                <w:szCs w:val="18"/>
              </w:rPr>
              <w:t>Attributes for success</w:t>
            </w:r>
          </w:p>
          <w:p w14:paraId="5349817E" w14:textId="29F9F2B0" w:rsidR="00D727D9" w:rsidRDefault="00D46FD5">
            <w:pPr>
              <w:pStyle w:val="ListParagraph"/>
              <w:numPr>
                <w:ilvl w:val="0"/>
                <w:numId w:val="2"/>
              </w:numPr>
              <w:spacing w:after="80"/>
            </w:pPr>
            <w:r>
              <w:rPr>
                <w:rFonts w:ascii="Arial" w:eastAsia="Arial" w:hAnsi="Arial" w:cs="Arial"/>
                <w:sz w:val="18"/>
                <w:szCs w:val="18"/>
              </w:rPr>
              <w:t>Builder first: wants to be in the architecture and the code, not just the roadmap slide</w:t>
            </w:r>
            <w:r w:rsidR="00C2398D">
              <w:rPr>
                <w:rFonts w:ascii="Arial" w:eastAsia="Arial" w:hAnsi="Arial" w:cs="Arial"/>
                <w:sz w:val="18"/>
                <w:szCs w:val="18"/>
              </w:rPr>
              <w:t>, and is</w:t>
            </w:r>
            <w:r>
              <w:rPr>
                <w:rFonts w:ascii="Arial" w:eastAsia="Arial" w:hAnsi="Arial" w:cs="Arial"/>
                <w:sz w:val="18"/>
                <w:szCs w:val="18"/>
              </w:rPr>
              <w:t xml:space="preserve"> credible in a design review down to schema, pipeline and reliability detail.</w:t>
            </w:r>
          </w:p>
          <w:p w14:paraId="45F9A054" w14:textId="77777777" w:rsidR="00D727D9" w:rsidRDefault="00D46FD5">
            <w:pPr>
              <w:pStyle w:val="ListParagraph"/>
              <w:numPr>
                <w:ilvl w:val="0"/>
                <w:numId w:val="2"/>
              </w:numPr>
              <w:spacing w:after="80"/>
            </w:pPr>
            <w:r>
              <w:rPr>
                <w:rFonts w:ascii="Arial" w:eastAsia="Arial" w:hAnsi="Arial" w:cs="Arial"/>
                <w:sz w:val="18"/>
                <w:szCs w:val="18"/>
              </w:rPr>
              <w:t>Comfortable being the technical anchor across multiple vendors simultaneously, setting direction without ceding architectural control.</w:t>
            </w:r>
          </w:p>
          <w:p w14:paraId="1488A364" w14:textId="77777777" w:rsidR="00D727D9" w:rsidRDefault="00D46FD5">
            <w:pPr>
              <w:pStyle w:val="ListParagraph"/>
              <w:numPr>
                <w:ilvl w:val="0"/>
                <w:numId w:val="2"/>
              </w:numPr>
              <w:spacing w:after="80"/>
            </w:pPr>
            <w:r>
              <w:rPr>
                <w:rFonts w:ascii="Arial" w:eastAsia="Arial" w:hAnsi="Arial" w:cs="Arial"/>
                <w:sz w:val="18"/>
                <w:szCs w:val="18"/>
              </w:rPr>
              <w:t>Pragmatic under delivery pressure: sequences a multi-year target architecture into shippable, evidenced increments.</w:t>
            </w:r>
          </w:p>
          <w:p w14:paraId="58F0E3E1" w14:textId="49D664B5" w:rsidR="00D727D9" w:rsidRDefault="00D46FD5">
            <w:pPr>
              <w:pStyle w:val="ListParagraph"/>
              <w:numPr>
                <w:ilvl w:val="0"/>
                <w:numId w:val="2"/>
              </w:numPr>
              <w:spacing w:after="80"/>
            </w:pPr>
            <w:r>
              <w:rPr>
                <w:rFonts w:ascii="Arial" w:eastAsia="Arial" w:hAnsi="Arial" w:cs="Arial"/>
                <w:sz w:val="18"/>
                <w:szCs w:val="18"/>
              </w:rPr>
              <w:t>Strong mentor and developer of technical leads</w:t>
            </w:r>
            <w:r w:rsidR="00C2398D">
              <w:rPr>
                <w:rFonts w:ascii="Arial" w:eastAsia="Arial" w:hAnsi="Arial" w:cs="Arial"/>
                <w:sz w:val="18"/>
                <w:szCs w:val="18"/>
              </w:rPr>
              <w:t>,</w:t>
            </w:r>
            <w:r>
              <w:rPr>
                <w:rFonts w:ascii="Arial" w:eastAsia="Arial" w:hAnsi="Arial" w:cs="Arial"/>
                <w:sz w:val="18"/>
                <w:szCs w:val="18"/>
              </w:rPr>
              <w:t xml:space="preserve"> builds a team that outlasts any single delivery phase.</w:t>
            </w:r>
          </w:p>
          <w:p w14:paraId="2C63238E" w14:textId="77777777" w:rsidR="00D727D9" w:rsidRDefault="00D46FD5">
            <w:pPr>
              <w:pStyle w:val="ListParagraph"/>
              <w:numPr>
                <w:ilvl w:val="0"/>
                <w:numId w:val="2"/>
              </w:numPr>
              <w:spacing w:after="80"/>
            </w:pPr>
            <w:r>
              <w:rPr>
                <w:rFonts w:ascii="Arial" w:eastAsia="Arial" w:hAnsi="Arial" w:cs="Arial"/>
                <w:sz w:val="18"/>
                <w:szCs w:val="18"/>
              </w:rPr>
              <w:t>Forward-looking on AI, knowledge graphs and the evolving data platform landscape, translating emerging capability into governed, durable engineering rather than point experiments.</w:t>
            </w:r>
          </w:p>
          <w:p w14:paraId="7257B8E1" w14:textId="77777777" w:rsidR="00D727D9" w:rsidRDefault="00D46FD5">
            <w:pPr>
              <w:spacing w:before="160" w:after="80"/>
            </w:pPr>
            <w:r>
              <w:rPr>
                <w:rFonts w:ascii="Arial" w:eastAsia="Arial" w:hAnsi="Arial" w:cs="Arial"/>
                <w:b/>
                <w:bCs/>
                <w:color w:val="0000FF"/>
                <w:sz w:val="18"/>
                <w:szCs w:val="18"/>
              </w:rPr>
              <w:t>Equal opportunity employer</w:t>
            </w:r>
          </w:p>
          <w:p w14:paraId="2A5C75B8" w14:textId="77777777" w:rsidR="00D727D9" w:rsidRDefault="00D46FD5">
            <w:pPr>
              <w:spacing w:after="160"/>
            </w:pPr>
            <w:r>
              <w:rPr>
                <w:rFonts w:ascii="Arial" w:eastAsia="Arial" w:hAnsi="Arial" w:cs="Arial"/>
                <w:sz w:val="18"/>
                <w:szCs w:val="18"/>
              </w:rPr>
              <w:t>We are an Equal Opportunity Employer and take pride in a diverse workforce! We do not discriminate in recruitment, hiring, training, promotion or other employment practices for reasons of race, colour, religion, gender, sexual orientation, national origin, age, marital or veteran status, medical condition or handicap, disability, or any other legally protected status.</w:t>
            </w:r>
          </w:p>
        </w:tc>
      </w:tr>
    </w:tbl>
    <w:p w14:paraId="4453983C" w14:textId="77777777" w:rsidR="000E2689" w:rsidRDefault="000E2689"/>
    <w:sectPr w:rsidR="000E2689">
      <w:footerReference w:type="default" r:id="rId9"/>
      <w:headerReference w:type="first" r:id="rId10"/>
      <w:footerReference w:type="first" r:id="rId11"/>
      <w:pgSz w:w="11906" w:h="16838"/>
      <w:pgMar w:top="851" w:right="851" w:bottom="851" w:left="851" w:header="72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B5EED" w14:textId="77777777" w:rsidR="00D46FD5" w:rsidRDefault="00D46FD5">
      <w:r>
        <w:separator/>
      </w:r>
    </w:p>
  </w:endnote>
  <w:endnote w:type="continuationSeparator" w:id="0">
    <w:p w14:paraId="27A56642" w14:textId="77777777" w:rsidR="00D46FD5" w:rsidRDefault="00D46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5CD2" w14:textId="2BF44E85" w:rsidR="00D727D9" w:rsidRDefault="00C2398D">
    <w:r>
      <w:rPr>
        <w:noProof/>
      </w:rPr>
      <w:drawing>
        <wp:anchor distT="0" distB="0" distL="0" distR="0" simplePos="0" relativeHeight="251658240" behindDoc="0" locked="0" layoutInCell="1" allowOverlap="1" wp14:anchorId="0D6FE05A" wp14:editId="5E55958B">
          <wp:simplePos x="0" y="0"/>
          <wp:positionH relativeFrom="page">
            <wp:posOffset>5008595</wp:posOffset>
          </wp:positionH>
          <wp:positionV relativeFrom="bottomMargin">
            <wp:align>top</wp:align>
          </wp:positionV>
          <wp:extent cx="1952625" cy="542925"/>
          <wp:effectExtent l="0" t="0" r="9525" b="9525"/>
          <wp:wrapNone/>
          <wp:docPr id="1090861376" name="Picture 109086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52625" cy="542925"/>
                  </a:xfrm>
                  <a:prstGeom prst="rect">
                    <a:avLst/>
                  </a:prstGeom>
                </pic:spPr>
              </pic:pic>
            </a:graphicData>
          </a:graphic>
        </wp:anchor>
      </w:drawing>
    </w:r>
    <w:r>
      <w:rPr>
        <w:rFonts w:ascii="Arial" w:eastAsia="Arial" w:hAnsi="Arial" w:cs="Arial"/>
        <w:color w:val="0000FF"/>
        <w:sz w:val="18"/>
        <w:szCs w:val="18"/>
      </w:rPr>
      <w:t xml:space="preserve">Page </w:t>
    </w:r>
    <w:r>
      <w:rPr>
        <w:rFonts w:ascii="Arial" w:eastAsia="Arial" w:hAnsi="Arial" w:cs="Arial"/>
        <w:color w:val="0000FF"/>
        <w:sz w:val="18"/>
        <w:szCs w:val="18"/>
      </w:rPr>
      <w:fldChar w:fldCharType="begin"/>
    </w:r>
    <w:r>
      <w:rPr>
        <w:rFonts w:ascii="Arial" w:eastAsia="Arial" w:hAnsi="Arial" w:cs="Arial"/>
        <w:color w:val="0000FF"/>
        <w:sz w:val="18"/>
        <w:szCs w:val="18"/>
      </w:rPr>
      <w:instrText>PAGE</w:instrText>
    </w:r>
    <w:r>
      <w:rPr>
        <w:rFonts w:ascii="Arial" w:eastAsia="Arial" w:hAnsi="Arial" w:cs="Arial"/>
        <w:color w:val="0000FF"/>
        <w:sz w:val="18"/>
        <w:szCs w:val="18"/>
      </w:rPr>
      <w:fldChar w:fldCharType="separate"/>
    </w:r>
    <w:r>
      <w:rPr>
        <w:rFonts w:ascii="Arial" w:eastAsia="Arial" w:hAnsi="Arial" w:cs="Arial"/>
        <w:noProof/>
        <w:color w:val="0000FF"/>
        <w:sz w:val="18"/>
        <w:szCs w:val="18"/>
      </w:rPr>
      <w:t>2</w:t>
    </w:r>
    <w:r>
      <w:rPr>
        <w:rFonts w:ascii="Arial" w:eastAsia="Arial" w:hAnsi="Arial" w:cs="Arial"/>
        <w:color w:val="0000FF"/>
        <w:sz w:val="18"/>
        <w:szCs w:val="18"/>
      </w:rPr>
      <w:fldChar w:fldCharType="end"/>
    </w:r>
    <w:r>
      <w:rPr>
        <w:rFonts w:ascii="Arial" w:eastAsia="Arial" w:hAnsi="Arial" w:cs="Arial"/>
        <w:color w:val="0000FF"/>
        <w:sz w:val="18"/>
        <w:szCs w:val="18"/>
      </w:rPr>
      <w:t xml:space="preserve"> of </w:t>
    </w:r>
    <w:r>
      <w:rPr>
        <w:rFonts w:ascii="Arial" w:eastAsia="Arial" w:hAnsi="Arial" w:cs="Arial"/>
        <w:color w:val="0000FF"/>
        <w:sz w:val="18"/>
        <w:szCs w:val="18"/>
      </w:rPr>
      <w:fldChar w:fldCharType="begin"/>
    </w:r>
    <w:r>
      <w:rPr>
        <w:rFonts w:ascii="Arial" w:eastAsia="Arial" w:hAnsi="Arial" w:cs="Arial"/>
        <w:color w:val="0000FF"/>
        <w:sz w:val="18"/>
        <w:szCs w:val="18"/>
      </w:rPr>
      <w:instrText>NUMPAGES</w:instrText>
    </w:r>
    <w:r>
      <w:rPr>
        <w:rFonts w:ascii="Arial" w:eastAsia="Arial" w:hAnsi="Arial" w:cs="Arial"/>
        <w:color w:val="0000FF"/>
        <w:sz w:val="18"/>
        <w:szCs w:val="18"/>
      </w:rPr>
      <w:fldChar w:fldCharType="separate"/>
    </w:r>
    <w:r>
      <w:rPr>
        <w:rFonts w:ascii="Arial" w:eastAsia="Arial" w:hAnsi="Arial" w:cs="Arial"/>
        <w:noProof/>
        <w:color w:val="0000FF"/>
        <w:sz w:val="18"/>
        <w:szCs w:val="18"/>
      </w:rPr>
      <w:t>3</w:t>
    </w:r>
    <w:r>
      <w:rPr>
        <w:rFonts w:ascii="Arial" w:eastAsia="Arial" w:hAnsi="Arial" w:cs="Arial"/>
        <w:color w:val="0000F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6844" w14:textId="77777777" w:rsidR="00D727D9" w:rsidRDefault="00D46FD5">
    <w:r>
      <w:rPr>
        <w:rFonts w:ascii="Arial" w:eastAsia="Arial" w:hAnsi="Arial" w:cs="Arial"/>
        <w:color w:val="0000FF"/>
        <w:sz w:val="18"/>
        <w:szCs w:val="18"/>
      </w:rPr>
      <w:t xml:space="preserve">Page </w:t>
    </w:r>
    <w:r>
      <w:rPr>
        <w:rFonts w:ascii="Arial" w:eastAsia="Arial" w:hAnsi="Arial" w:cs="Arial"/>
        <w:color w:val="0000FF"/>
        <w:sz w:val="18"/>
        <w:szCs w:val="18"/>
      </w:rPr>
      <w:fldChar w:fldCharType="begin"/>
    </w:r>
    <w:r>
      <w:rPr>
        <w:rFonts w:ascii="Arial" w:eastAsia="Arial" w:hAnsi="Arial" w:cs="Arial"/>
        <w:color w:val="0000FF"/>
        <w:sz w:val="18"/>
        <w:szCs w:val="18"/>
      </w:rPr>
      <w:instrText>PAGE</w:instrText>
    </w:r>
    <w:r>
      <w:rPr>
        <w:rFonts w:ascii="Arial" w:eastAsia="Arial" w:hAnsi="Arial" w:cs="Arial"/>
        <w:color w:val="0000FF"/>
        <w:sz w:val="18"/>
        <w:szCs w:val="18"/>
      </w:rPr>
      <w:fldChar w:fldCharType="separate"/>
    </w:r>
    <w:r w:rsidR="00C2398D">
      <w:rPr>
        <w:rFonts w:ascii="Arial" w:eastAsia="Arial" w:hAnsi="Arial" w:cs="Arial"/>
        <w:noProof/>
        <w:color w:val="0000FF"/>
        <w:sz w:val="18"/>
        <w:szCs w:val="18"/>
      </w:rPr>
      <w:t>1</w:t>
    </w:r>
    <w:r>
      <w:rPr>
        <w:rFonts w:ascii="Arial" w:eastAsia="Arial" w:hAnsi="Arial" w:cs="Arial"/>
        <w:color w:val="0000FF"/>
        <w:sz w:val="18"/>
        <w:szCs w:val="18"/>
      </w:rPr>
      <w:fldChar w:fldCharType="end"/>
    </w:r>
    <w:r>
      <w:rPr>
        <w:rFonts w:ascii="Arial" w:eastAsia="Arial" w:hAnsi="Arial" w:cs="Arial"/>
        <w:color w:val="0000FF"/>
        <w:sz w:val="18"/>
        <w:szCs w:val="18"/>
      </w:rPr>
      <w:t xml:space="preserve"> of </w:t>
    </w:r>
    <w:r>
      <w:rPr>
        <w:rFonts w:ascii="Arial" w:eastAsia="Arial" w:hAnsi="Arial" w:cs="Arial"/>
        <w:color w:val="0000FF"/>
        <w:sz w:val="18"/>
        <w:szCs w:val="18"/>
      </w:rPr>
      <w:fldChar w:fldCharType="begin"/>
    </w:r>
    <w:r>
      <w:rPr>
        <w:rFonts w:ascii="Arial" w:eastAsia="Arial" w:hAnsi="Arial" w:cs="Arial"/>
        <w:color w:val="0000FF"/>
        <w:sz w:val="18"/>
        <w:szCs w:val="18"/>
      </w:rPr>
      <w:instrText>NUMPAGES</w:instrText>
    </w:r>
    <w:r>
      <w:rPr>
        <w:rFonts w:ascii="Arial" w:eastAsia="Arial" w:hAnsi="Arial" w:cs="Arial"/>
        <w:color w:val="0000FF"/>
        <w:sz w:val="18"/>
        <w:szCs w:val="18"/>
      </w:rPr>
      <w:fldChar w:fldCharType="separate"/>
    </w:r>
    <w:r w:rsidR="00C2398D">
      <w:rPr>
        <w:rFonts w:ascii="Arial" w:eastAsia="Arial" w:hAnsi="Arial" w:cs="Arial"/>
        <w:noProof/>
        <w:color w:val="0000FF"/>
        <w:sz w:val="18"/>
        <w:szCs w:val="18"/>
      </w:rPr>
      <w:t>2</w:t>
    </w:r>
    <w:r>
      <w:rPr>
        <w:rFonts w:ascii="Arial" w:eastAsia="Arial" w:hAnsi="Arial" w:cs="Arial"/>
        <w:color w:val="0000F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A0BAB" w14:textId="77777777" w:rsidR="00D46FD5" w:rsidRDefault="00D46FD5">
      <w:r>
        <w:separator/>
      </w:r>
    </w:p>
  </w:footnote>
  <w:footnote w:type="continuationSeparator" w:id="0">
    <w:p w14:paraId="2D565EB9" w14:textId="77777777" w:rsidR="00D46FD5" w:rsidRDefault="00D46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9E48" w14:textId="77777777" w:rsidR="00D727D9" w:rsidRDefault="00D46FD5">
    <w:r>
      <w:rPr>
        <w:noProof/>
      </w:rPr>
      <w:drawing>
        <wp:anchor distT="0" distB="0" distL="0" distR="0" simplePos="0" relativeHeight="251657216" behindDoc="0" locked="0" layoutInCell="1" allowOverlap="1" wp14:anchorId="1B32E211" wp14:editId="11ED486D">
          <wp:simplePos x="0" y="0"/>
          <wp:positionH relativeFrom="page">
            <wp:posOffset>400050</wp:posOffset>
          </wp:positionH>
          <wp:positionV relativeFrom="page">
            <wp:posOffset>271145</wp:posOffset>
          </wp:positionV>
          <wp:extent cx="1952625" cy="5429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52625" cy="5429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34E5"/>
    <w:multiLevelType w:val="hybridMultilevel"/>
    <w:tmpl w:val="D5D25F8E"/>
    <w:lvl w:ilvl="0" w:tplc="5BF0626E">
      <w:start w:val="1"/>
      <w:numFmt w:val="bullet"/>
      <w:lvlText w:val="●"/>
      <w:lvlJc w:val="left"/>
      <w:pPr>
        <w:ind w:left="720" w:hanging="360"/>
      </w:pPr>
    </w:lvl>
    <w:lvl w:ilvl="1" w:tplc="7C5A25C8">
      <w:start w:val="1"/>
      <w:numFmt w:val="bullet"/>
      <w:lvlText w:val="○"/>
      <w:lvlJc w:val="left"/>
      <w:pPr>
        <w:ind w:left="1440" w:hanging="360"/>
      </w:pPr>
    </w:lvl>
    <w:lvl w:ilvl="2" w:tplc="ACBAE808">
      <w:start w:val="1"/>
      <w:numFmt w:val="bullet"/>
      <w:lvlText w:val="■"/>
      <w:lvlJc w:val="left"/>
      <w:pPr>
        <w:ind w:left="2160" w:hanging="360"/>
      </w:pPr>
    </w:lvl>
    <w:lvl w:ilvl="3" w:tplc="25742D00">
      <w:start w:val="1"/>
      <w:numFmt w:val="bullet"/>
      <w:lvlText w:val="●"/>
      <w:lvlJc w:val="left"/>
      <w:pPr>
        <w:ind w:left="2880" w:hanging="360"/>
      </w:pPr>
    </w:lvl>
    <w:lvl w:ilvl="4" w:tplc="BD04C162">
      <w:start w:val="1"/>
      <w:numFmt w:val="bullet"/>
      <w:lvlText w:val="○"/>
      <w:lvlJc w:val="left"/>
      <w:pPr>
        <w:ind w:left="3600" w:hanging="360"/>
      </w:pPr>
    </w:lvl>
    <w:lvl w:ilvl="5" w:tplc="5CD8424A">
      <w:start w:val="1"/>
      <w:numFmt w:val="bullet"/>
      <w:lvlText w:val="■"/>
      <w:lvlJc w:val="left"/>
      <w:pPr>
        <w:ind w:left="4320" w:hanging="360"/>
      </w:pPr>
    </w:lvl>
    <w:lvl w:ilvl="6" w:tplc="A4FE348C">
      <w:start w:val="1"/>
      <w:numFmt w:val="bullet"/>
      <w:lvlText w:val="●"/>
      <w:lvlJc w:val="left"/>
      <w:pPr>
        <w:ind w:left="5040" w:hanging="360"/>
      </w:pPr>
    </w:lvl>
    <w:lvl w:ilvl="7" w:tplc="661A6AB8">
      <w:start w:val="1"/>
      <w:numFmt w:val="bullet"/>
      <w:lvlText w:val="●"/>
      <w:lvlJc w:val="left"/>
      <w:pPr>
        <w:ind w:left="5760" w:hanging="360"/>
      </w:pPr>
    </w:lvl>
    <w:lvl w:ilvl="8" w:tplc="9E22ED1A">
      <w:start w:val="1"/>
      <w:numFmt w:val="bullet"/>
      <w:lvlText w:val="●"/>
      <w:lvlJc w:val="left"/>
      <w:pPr>
        <w:ind w:left="6480" w:hanging="360"/>
      </w:pPr>
    </w:lvl>
  </w:abstractNum>
  <w:abstractNum w:abstractNumId="1" w15:restartNumberingAfterBreak="0">
    <w:nsid w:val="43000E7A"/>
    <w:multiLevelType w:val="hybridMultilevel"/>
    <w:tmpl w:val="43A0BEE0"/>
    <w:lvl w:ilvl="0" w:tplc="07827924">
      <w:start w:val="1"/>
      <w:numFmt w:val="bullet"/>
      <w:lvlText w:val="•"/>
      <w:lvlJc w:val="left"/>
      <w:pPr>
        <w:ind w:left="460" w:hanging="260"/>
      </w:pPr>
    </w:lvl>
    <w:lvl w:ilvl="1" w:tplc="D7429DE4">
      <w:numFmt w:val="decimal"/>
      <w:lvlText w:val=""/>
      <w:lvlJc w:val="left"/>
    </w:lvl>
    <w:lvl w:ilvl="2" w:tplc="CBB471B6">
      <w:numFmt w:val="decimal"/>
      <w:lvlText w:val=""/>
      <w:lvlJc w:val="left"/>
    </w:lvl>
    <w:lvl w:ilvl="3" w:tplc="B5AE6418">
      <w:numFmt w:val="decimal"/>
      <w:lvlText w:val=""/>
      <w:lvlJc w:val="left"/>
    </w:lvl>
    <w:lvl w:ilvl="4" w:tplc="45A2CC96">
      <w:numFmt w:val="decimal"/>
      <w:lvlText w:val=""/>
      <w:lvlJc w:val="left"/>
    </w:lvl>
    <w:lvl w:ilvl="5" w:tplc="396E9F72">
      <w:numFmt w:val="decimal"/>
      <w:lvlText w:val=""/>
      <w:lvlJc w:val="left"/>
    </w:lvl>
    <w:lvl w:ilvl="6" w:tplc="81DEAECC">
      <w:numFmt w:val="decimal"/>
      <w:lvlText w:val=""/>
      <w:lvlJc w:val="left"/>
    </w:lvl>
    <w:lvl w:ilvl="7" w:tplc="515A7278">
      <w:numFmt w:val="decimal"/>
      <w:lvlText w:val=""/>
      <w:lvlJc w:val="left"/>
    </w:lvl>
    <w:lvl w:ilvl="8" w:tplc="F8962206">
      <w:numFmt w:val="decimal"/>
      <w:lvlText w:val=""/>
      <w:lvlJc w:val="left"/>
    </w:lvl>
  </w:abstractNum>
  <w:num w:numId="1" w16cid:durableId="491413152">
    <w:abstractNumId w:val="0"/>
    <w:lvlOverride w:ilvl="0">
      <w:startOverride w:val="1"/>
    </w:lvlOverride>
  </w:num>
  <w:num w:numId="2" w16cid:durableId="7348190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7D9"/>
    <w:rsid w:val="000E2689"/>
    <w:rsid w:val="002B6668"/>
    <w:rsid w:val="005F4102"/>
    <w:rsid w:val="006F73AE"/>
    <w:rsid w:val="007074FD"/>
    <w:rsid w:val="009E5EB2"/>
    <w:rsid w:val="00C2398D"/>
    <w:rsid w:val="00D46FD5"/>
    <w:rsid w:val="00D72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8C0D2"/>
  <w15:docId w15:val="{FF66B995-CED6-4E0D-8052-4EA2AC665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398D"/>
    <w:pPr>
      <w:tabs>
        <w:tab w:val="center" w:pos="4513"/>
        <w:tab w:val="right" w:pos="9026"/>
      </w:tabs>
    </w:pPr>
  </w:style>
  <w:style w:type="character" w:customStyle="1" w:styleId="HeaderChar">
    <w:name w:val="Header Char"/>
    <w:basedOn w:val="DefaultParagraphFont"/>
    <w:link w:val="Header"/>
    <w:uiPriority w:val="99"/>
    <w:rsid w:val="00C2398D"/>
  </w:style>
  <w:style w:type="paragraph" w:styleId="Footer">
    <w:name w:val="footer"/>
    <w:basedOn w:val="Normal"/>
    <w:link w:val="FooterChar"/>
    <w:uiPriority w:val="99"/>
    <w:unhideWhenUsed/>
    <w:rsid w:val="00C2398D"/>
    <w:pPr>
      <w:tabs>
        <w:tab w:val="center" w:pos="4513"/>
        <w:tab w:val="right" w:pos="9026"/>
      </w:tabs>
    </w:pPr>
  </w:style>
  <w:style w:type="character" w:customStyle="1" w:styleId="FooterChar">
    <w:name w:val="Footer Char"/>
    <w:basedOn w:val="DefaultParagraphFont"/>
    <w:link w:val="Footer"/>
    <w:uiPriority w:val="99"/>
    <w:rsid w:val="00C23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Info xmlns:xsd="http://www.w3.org/2001/XMLSchema" xmlns:xsi="http://www.w3.org/2001/XMLSchema-instance" xmlns="http://www.boldonjames.com/2016/02/Classifier/internal/wrappedLabelInfo">
  <Value>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PGVsaD5SNTRJSFc1NmxPWEtFdXR6bW01d3Z5SzZMcU9vMEZkSDwvZWxoPjxjb25maWc+VHJhZmlndXJhPC9jb25maWc+PHBvbD5BbGwgVXNlcnM8L3BvbD48c3VtbWFyeSAvPjxhcHA+V29yZDwvYXBwPjxTaWduYXR1cmVWYWxpZD5mYWxzZTwvU2lnbmF0dXJlVmFsaWQ+PC9MYWJlbEluZm9YbWxQYXJ0Pg==</Value>
  <Signature xmlns="http://www.w3.org/2000/09/xmldsig#">
    <SignedInfo>
      <CanonicalizationMethod Algorithm="http://www.w3.org/TR/2001/REC-xml-c14n-20010315"/>
      <SignatureMethod Algorithm="http://www.w3.org/2001/04/xmldsig-more#rsa-sha256"/>
      <Reference URI="">
        <Transforms>
          <Transform Algorithm="http://www.w3.org/2000/09/xmldsig#enveloped-signature"/>
        </Transforms>
        <DigestMethod Algorithm="http://www.w3.org/2001/04/xmlenc#sha256"/>
        <DigestValue>VUhxghwJ7rvEDvbS5r2C5F+e79qogG4HS7R7+bS0oao=</DigestValue>
      </Reference>
      <Reference URI="#INFO">
        <DigestMethod Algorithm="http://www.w3.org/2001/04/xmlenc#sha256"/>
        <DigestValue>BW1uFGIUDj79q/RjwE1OgwjJjsVRLG5Av4odp/cnq4M=</DigestValue>
      </Reference>
    </SignedInfo>
    <SignatureValue>q/pqFFF2zMWGZDfXtvs8cKYCc23I190UfBBk5AG9TCU6TLPK6toCS+VZnb4/HH++juN9TNYbzU43MqV8Dx4Rew==</SignatureValue>
    <Object Id="INFO">
      <ArrayOfString xmlns:xsd="http://www.w3.org/2001/XMLSchema" xmlns:xsi="http://www.w3.org/2001/XMLSchema-instance" xmlns="">
        <string>R54IHW56lOXKEutzmm5wvyK6LqOo0FdH</string>
      </ArrayOfString>
    </Object>
  </Signature>
</WrappedLabelInfo>
</file>

<file path=customXml/item2.xml><?xml version="1.0" encoding="utf-8"?>
<sisl xmlns:xsd="http://www.w3.org/2001/XMLSchema" xmlns:xsi="http://www.w3.org/2001/XMLSchema-instance" xmlns="http://www.boldonjames.com/2008/01/sie/internal/label" sislVersion="0" policy="d496ab6f-82d7-47fa-ba56-55fc2c510ab4" origin="userSelected"/>
</file>

<file path=customXml/itemProps1.xml><?xml version="1.0" encoding="utf-8"?>
<ds:datastoreItem xmlns:ds="http://schemas.openxmlformats.org/officeDocument/2006/customXml" ds:itemID="{FB304B8A-CBEB-4100-A0A2-3387A7039E35}">
  <ds:schemaRefs>
    <ds:schemaRef ds:uri="http://www.w3.org/2001/XMLSchema"/>
    <ds:schemaRef ds:uri="http://www.boldonjames.com/2016/02/Classifier/internal/wrappedLabelInfo"/>
    <ds:schemaRef ds:uri="http://www.w3.org/2000/09/xmldsig#"/>
    <ds:schemaRef ds:uri=""/>
  </ds:schemaRefs>
</ds:datastoreItem>
</file>

<file path=customXml/itemProps2.xml><?xml version="1.0" encoding="utf-8"?>
<ds:datastoreItem xmlns:ds="http://schemas.openxmlformats.org/officeDocument/2006/customXml" ds:itemID="{9B4E6C8F-48D0-48BD-A8EF-9A8E251A6B80}">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1387</Words>
  <Characters>8869</Characters>
  <Application>Microsoft Office Word</Application>
  <DocSecurity>0</DocSecurity>
  <Lines>143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 Ewels</cp:lastModifiedBy>
  <cp:revision>2</cp:revision>
  <dcterms:created xsi:type="dcterms:W3CDTF">2026-09-10T14:03:00Z</dcterms:created>
  <dcterms:modified xsi:type="dcterms:W3CDTF">2026-09-10T14:57:00Z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a5bdeff4-fb76-4a3f-861c-77b098e11cb9</vt:lpwstr>
  </property>
  <property fmtid="{D5CDD505-2E9C-101B-9397-08002B2CF9AE}" pid="3" name="bjSaver">
    <vt:lpwstr>1x2hQGCd5WF3vPn47wz7tyJA1OH7D4zP</vt:lpwstr>
  </property>
  <property fmtid="{D5CDD505-2E9C-101B-9397-08002B2CF9AE}" pid="4" name="bjpmDocIH">
    <vt:lpwstr>c7TenK+E+WwdY/FjHruQsRCqgRp23J/3</vt:lpwstr>
  </property>
  <property fmtid="{D5CDD505-2E9C-101B-9397-08002B2CF9AE}" pid="5" name="bjDocumentSecurityLabel">
    <vt:lpwstr>No Marking</vt:lpwstr>
  </property>
  <property fmtid="{D5CDD505-2E9C-101B-9397-08002B2CF9AE}" pid="6" name="bjClsUserRVM">
    <vt:lpwstr>[]</vt:lpwstr>
  </property>
</Properties>
</file>