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>
          <w:rtl w:val="0"/>
        </w:rPr>
        <w:t>Moet</w:t>
      </w:r>
      <w:r>
        <w:rPr>
          <w:rFonts w:eastAsia="Arial Unicode MS" w:hint="eastAsia"/>
          <w:rtl w:val="0"/>
          <w:lang w:val="zh-TW" w:eastAsia="zh-TW"/>
        </w:rPr>
        <w:t>酩悦香槟法国微醺之旅</w:t>
      </w:r>
      <w:r>
        <w:rPr>
          <w:rtl w:val="0"/>
        </w:rPr>
        <w:t xml:space="preserve"> 9</w:t>
      </w:r>
      <w:r>
        <w:rPr>
          <w:rFonts w:eastAsia="Arial Unicode MS" w:hint="eastAsia"/>
          <w:rtl w:val="0"/>
          <w:lang w:val="zh-TW" w:eastAsia="zh-TW"/>
        </w:rPr>
        <w:t>日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巴黎</w:t>
      </w:r>
      <w:r>
        <w:rPr>
          <w:rtl w:val="0"/>
        </w:rPr>
        <w:t xml:space="preserve"> - </w:t>
      </w:r>
      <w:r>
        <w:rPr>
          <w:rFonts w:eastAsia="Arial Unicode MS" w:hint="eastAsia"/>
          <w:rtl w:val="0"/>
          <w:lang w:val="zh-TW" w:eastAsia="zh-TW"/>
        </w:rPr>
        <w:t>香槟区埃佩尔奈</w:t>
      </w:r>
      <w:r>
        <w:rPr>
          <w:rtl w:val="0"/>
        </w:rPr>
        <w:t xml:space="preserve"> - </w:t>
      </w:r>
      <w:r>
        <w:rPr>
          <w:rFonts w:eastAsia="Arial Unicode MS" w:hint="eastAsia"/>
          <w:rtl w:val="0"/>
          <w:lang w:val="zh-TW" w:eastAsia="zh-TW"/>
        </w:rPr>
        <w:t>香槟区兰斯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特色体验与景点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从埃菲尔铁塔到巴黎圣母院一览巴黎建筑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参观以香槟著称的法国小镇和城市兰斯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参观法国的</w:t>
      </w:r>
      <w:r>
        <w:rPr>
          <w:rtl w:val="0"/>
          <w:lang w:val="zh-TW" w:eastAsia="zh-TW"/>
        </w:rPr>
        <w:t>Moet</w:t>
      </w:r>
      <w:r>
        <w:rPr>
          <w:rFonts w:eastAsia="Arial Unicode MS" w:hint="eastAsia"/>
          <w:rtl w:val="0"/>
          <w:lang w:val="zh-TW" w:eastAsia="zh-TW"/>
        </w:rPr>
        <w:t>酒庄及</w:t>
      </w:r>
      <w:r>
        <w:rPr>
          <w:rtl w:val="0"/>
          <w:lang w:val="zh-TW" w:eastAsia="zh-TW"/>
        </w:rPr>
        <w:t>LV</w:t>
      </w:r>
      <w:r>
        <w:rPr>
          <w:rFonts w:eastAsia="Arial Unicode MS" w:hint="eastAsia"/>
          <w:rtl w:val="0"/>
          <w:lang w:val="zh-TW" w:eastAsia="zh-TW"/>
        </w:rPr>
        <w:t>艺术博物馆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品尝纯正的高级香槟及法国料理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丰富的额外自由时间活动安排（另收费）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行程包含</w:t>
      </w:r>
    </w:p>
    <w:p>
      <w:pPr>
        <w:pStyle w:val="正文 A"/>
      </w:pPr>
      <w:r>
        <w:rPr>
          <w:rtl w:val="0"/>
        </w:rPr>
        <w:t xml:space="preserve">• </w:t>
      </w:r>
      <w:r>
        <w:rPr>
          <w:rFonts w:eastAsia="Arial Unicode MS" w:hint="eastAsia"/>
          <w:rtl w:val="0"/>
          <w:lang w:val="zh-TW" w:eastAsia="zh-TW"/>
        </w:rPr>
        <w:t>来往机票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7</w:t>
      </w:r>
      <w:r>
        <w:rPr>
          <w:rFonts w:eastAsia="Arial Unicode MS" w:hint="eastAsia"/>
          <w:rtl w:val="0"/>
          <w:lang w:val="zh-TW" w:eastAsia="zh-TW"/>
        </w:rPr>
        <w:t>晚精选酒店住宿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每日早餐和</w:t>
      </w:r>
      <w:r>
        <w:rPr>
          <w:rtl w:val="0"/>
          <w:lang w:val="zh-TW" w:eastAsia="zh-TW"/>
        </w:rPr>
        <w:t>2</w:t>
      </w:r>
      <w:r>
        <w:rPr>
          <w:rFonts w:eastAsia="Arial Unicode MS" w:hint="eastAsia"/>
          <w:rtl w:val="0"/>
          <w:lang w:val="zh-TW" w:eastAsia="zh-TW"/>
        </w:rPr>
        <w:t>顿晚餐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多语言外籍导游和中方领队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专用豪华大巴接送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陪同观光和精选景点门票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除自由时间外涉及的海外服务小费</w:t>
      </w:r>
    </w:p>
    <w:p>
      <w:pPr>
        <w:pStyle w:val="正文 A"/>
      </w:pPr>
    </w:p>
    <w:p>
      <w:pPr>
        <w:pStyle w:val="正文 A"/>
        <w:rPr>
          <w:b w:val="1"/>
          <w:bCs w:val="1"/>
        </w:rPr>
      </w:pPr>
      <w:r>
        <w:rPr>
          <w:rFonts w:eastAsia="Arial Unicode MS" w:hint="eastAsia"/>
          <w:rtl w:val="0"/>
          <w:lang w:val="zh-TW" w:eastAsia="zh-TW"/>
        </w:rPr>
        <w:t>浸泡在香槟中的旅程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并不是所有的起泡酒，都能叫香槟</w:t>
      </w:r>
      <w:r>
        <w:rPr>
          <w:rtl w:val="0"/>
        </w:rPr>
        <w:t>Champagne</w:t>
      </w:r>
      <w:r>
        <w:rPr>
          <w:rFonts w:eastAsia="Arial Unicode MS" w:hint="eastAsia"/>
          <w:rtl w:val="0"/>
          <w:lang w:val="zh-TW" w:eastAsia="zh-TW"/>
        </w:rPr>
        <w:t>，只有在法国香槟产区所酿造的起泡酒，才拥有这一美誉。在这趟旅程中，你将来到两大著名香槟产区埃佩尔奈和兰斯，追溯从葡萄果实到香槟的诞生故事，品尝</w:t>
      </w:r>
      <w:r>
        <w:rPr>
          <w:rtl w:val="0"/>
        </w:rPr>
        <w:t>Moet</w:t>
      </w:r>
      <w:r>
        <w:rPr>
          <w:rFonts w:eastAsia="Arial Unicode MS" w:hint="eastAsia"/>
          <w:rtl w:val="0"/>
          <w:lang w:val="zh-TW" w:eastAsia="zh-TW"/>
        </w:rPr>
        <w:t>酩悦等奢华香槟的丰盈口感，学习香槟的品鉴知识，同时领略巴黎的浪漫城市氛围。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Day 1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启程并抵达巴黎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Day 2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巴黎观光游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及美食行</w:t>
      </w:r>
    </w:p>
    <w:p>
      <w:pPr>
        <w:pStyle w:val="正文 A"/>
      </w:pPr>
      <w:r>
        <w:rPr>
          <w:rtl w:val="0"/>
        </w:rPr>
        <w:t xml:space="preserve">• </w:t>
      </w:r>
      <w:r>
        <w:rPr>
          <w:rFonts w:eastAsia="Arial Unicode MS" w:hint="eastAsia"/>
          <w:rtl w:val="0"/>
          <w:lang w:val="zh-TW" w:eastAsia="zh-TW"/>
        </w:rPr>
        <w:t>顺着香榭丽舍大街驱车而下，参观凯旋门</w:t>
      </w:r>
    </w:p>
    <w:p>
      <w:pPr>
        <w:pStyle w:val="正文 A"/>
      </w:pPr>
      <w:r>
        <w:rPr>
          <w:rtl w:val="0"/>
        </w:rPr>
        <w:t xml:space="preserve">• </w:t>
      </w:r>
      <w:r>
        <w:rPr>
          <w:rFonts w:eastAsia="Arial Unicode MS" w:hint="eastAsia"/>
          <w:rtl w:val="0"/>
          <w:lang w:val="zh-TW" w:eastAsia="zh-TW"/>
        </w:rPr>
        <w:t>途经巴黎圣母院</w:t>
      </w:r>
    </w:p>
    <w:p>
      <w:pPr>
        <w:pStyle w:val="正文 A"/>
      </w:pPr>
      <w:r>
        <w:rPr>
          <w:rtl w:val="0"/>
        </w:rPr>
        <w:t xml:space="preserve">• </w:t>
      </w:r>
      <w:r>
        <w:rPr>
          <w:rFonts w:eastAsia="Arial Unicode MS" w:hint="eastAsia"/>
          <w:rtl w:val="0"/>
          <w:lang w:val="zh-TW" w:eastAsia="zh-TW"/>
        </w:rPr>
        <w:t>参观埃菲尔铁塔、巴黎歌剧院和协和广场</w:t>
      </w:r>
    </w:p>
    <w:p>
      <w:pPr>
        <w:pStyle w:val="正文 A"/>
        <w:numPr>
          <w:ilvl w:val="0"/>
          <w:numId w:val="2"/>
        </w:numPr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欣赏巴黎地标建筑卢浮宫和荣军院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在不同商店品尝法国点心、巧克力、马卡龙等（</w:t>
      </w:r>
      <w:r>
        <w:rPr>
          <w:rFonts w:eastAsia="Arial Unicode MS" w:hint="eastAsia"/>
          <w:rtl w:val="0"/>
          <w:lang w:val="zh-TW" w:eastAsia="zh-TW"/>
        </w:rPr>
        <w:t>圣日耳曼德佩教堂或玛黑区</w:t>
      </w:r>
      <w:r>
        <w:rPr>
          <w:rFonts w:eastAsia="Arial Unicode MS" w:hint="eastAsia"/>
          <w:rtl w:val="0"/>
          <w:lang w:val="zh-CN" w:eastAsia="zh-CN"/>
        </w:rPr>
        <w:t>）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参加欢迎晚宴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Day 3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巴黎自由行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可自由选择参加【在埃菲尔铁塔上午餐】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Day 4</w:t>
      </w:r>
    </w:p>
    <w:p>
      <w:pPr>
        <w:pStyle w:val="表格样式 2"/>
        <w:jc w:val="lef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nl-NL"/>
        </w:rPr>
        <w:t>Moet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酒庄香槟之旅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前往香槟小镇埃佩尔奈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参观</w:t>
      </w:r>
      <w:r>
        <w:rPr>
          <w:rFonts w:ascii="Arial Unicode MS" w:hAnsi="Arial Unicode MS"/>
          <w:rtl w:val="0"/>
          <w:lang w:val="zh-TW" w:eastAsia="zh-TW"/>
        </w:rPr>
        <w:t>Moet</w:t>
      </w:r>
      <w:r>
        <w:rPr>
          <w:rFonts w:eastAsia="Arial Unicode MS" w:hint="eastAsia"/>
          <w:rtl w:val="0"/>
          <w:lang w:val="zh-TW" w:eastAsia="zh-TW"/>
        </w:rPr>
        <w:t>酩悦香槟酒庄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在古老酒窖享用香槟午餐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而后前往香槟产区兰斯，并进行观光游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Day 5</w:t>
      </w: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兰斯</w:t>
      </w:r>
      <w:r>
        <w:rPr>
          <w:rFonts w:ascii="Arial Unicode MS" w:hAnsi="Arial Unicode MS"/>
          <w:rtl w:val="0"/>
          <w:lang w:val="zh-TW" w:eastAsia="zh-TW"/>
        </w:rPr>
        <w:t>Clicquot</w:t>
      </w:r>
      <w:r>
        <w:rPr>
          <w:rFonts w:eastAsia="Arial Unicode MS" w:hint="eastAsia"/>
          <w:rtl w:val="0"/>
          <w:lang w:val="zh-CN" w:eastAsia="zh-CN"/>
        </w:rPr>
        <w:t>酒庄香槟之旅</w:t>
      </w: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参观</w:t>
      </w:r>
      <w:r>
        <w:rPr>
          <w:rFonts w:ascii="Arial Unicode MS" w:hAnsi="Arial Unicode MS"/>
          <w:rtl w:val="0"/>
          <w:lang w:val="zh-TW" w:eastAsia="zh-TW"/>
        </w:rPr>
        <w:t>Clicquot</w:t>
      </w:r>
      <w:r>
        <w:rPr>
          <w:rFonts w:eastAsia="Arial Unicode MS" w:hint="eastAsia"/>
          <w:rtl w:val="0"/>
          <w:lang w:val="zh-TW" w:eastAsia="zh-TW"/>
        </w:rPr>
        <w:t>酒庄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CN" w:eastAsia="zh-CN"/>
        </w:rPr>
      </w:pPr>
      <w:r>
        <w:rPr>
          <w:rFonts w:eastAsia="Arial Unicode MS" w:hint="eastAsia"/>
          <w:rtl w:val="0"/>
          <w:lang w:val="zh-CN" w:eastAsia="zh-CN"/>
        </w:rPr>
        <w:t>前往巴黎</w:t>
      </w:r>
    </w:p>
    <w:p>
      <w:pPr>
        <w:pStyle w:val="正文 A"/>
        <w:numPr>
          <w:ilvl w:val="0"/>
          <w:numId w:val="4"/>
        </w:numPr>
        <w:rPr>
          <w:rFonts w:ascii="Arial Unicode MS" w:cs="Arial Unicode MS" w:hAnsi="Arial Unicode MS" w:eastAsia="Arial Unicode MS" w:hint="eastAsi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参观路易威登艺术博物馆</w:t>
      </w:r>
    </w:p>
    <w:p>
      <w:pPr>
        <w:pStyle w:val="表格样式 2"/>
        <w:rPr>
          <w:rFonts w:ascii="Arial" w:cs="Arial" w:hAnsi="Arial" w:eastAsia="Arial"/>
          <w:b w:val="1"/>
          <w:bCs w:val="1"/>
        </w:rPr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Day </w:t>
      </w:r>
      <w:r>
        <w:rPr>
          <w:rtl w:val="0"/>
          <w:lang w:val="zh-CN" w:eastAsia="zh-CN"/>
        </w:rPr>
        <w:t>6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巴黎自由行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在巴黎享受自在的一天，可选择参加【凡尔赛宫和花园参观】</w:t>
      </w:r>
      <w:r>
        <w:rPr>
          <w:rFonts w:eastAsia="Arial Unicode MS" w:hint="eastAsia"/>
          <w:rtl w:val="0"/>
          <w:lang w:val="zh-CN" w:eastAsia="zh-CN"/>
        </w:rPr>
        <w:t>和【</w:t>
      </w:r>
      <w:r>
        <w:rPr>
          <w:rFonts w:eastAsia="Arial Unicode MS" w:hint="eastAsia"/>
          <w:rtl w:val="0"/>
          <w:lang w:val="zh-TW" w:eastAsia="zh-TW"/>
        </w:rPr>
        <w:t>塞纳河游船晚餐</w:t>
      </w:r>
      <w:r>
        <w:rPr>
          <w:rFonts w:eastAsia="Arial Unicode MS" w:hint="eastAsia"/>
          <w:rtl w:val="0"/>
          <w:lang w:val="zh-CN" w:eastAsia="zh-CN"/>
        </w:rPr>
        <w:t>】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Day </w:t>
      </w:r>
      <w:r>
        <w:rPr>
          <w:rtl w:val="0"/>
          <w:lang w:val="zh-CN" w:eastAsia="zh-CN"/>
        </w:rPr>
        <w:t>7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巴黎自由行</w:t>
      </w:r>
      <w:r>
        <w:rPr>
          <w:rtl w:val="0"/>
        </w:rPr>
        <w:t xml:space="preserve"> 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在蒙帕纳斯大楼俯瞰美景，享用告别晚餐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Day </w:t>
      </w:r>
      <w:r>
        <w:rPr>
          <w:rtl w:val="0"/>
          <w:lang w:val="zh-CN" w:eastAsia="zh-CN"/>
        </w:rPr>
        <w:t>8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前往机场搭乘返程航班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Day </w:t>
      </w:r>
      <w:r>
        <w:rPr>
          <w:rtl w:val="0"/>
          <w:lang w:val="zh-CN" w:eastAsia="zh-CN"/>
        </w:rPr>
        <w:t>9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抵达中国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3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