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43"/>
        <w:gridCol w:w="4763"/>
      </w:tblGrid>
      <w:tr>
        <w:tc>
          <w:tcPr>
            <w:tcW w:type="dxa" w:w="11906"/>
            <w:gridSpan w:val="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C9A84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9A84C"/>
                <w:sz w:val="16"/>
                <w:szCs w:val="16"/>
              </w:rPr>
              <w:t xml:space="preserve"> </w:t>
            </w:r>
          </w:p>
        </w:tc>
      </w:tr>
      <w:tr>
        <w:tc>
          <w:tcPr>
            <w:tcW w:type="dxa" w:w="595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2D5A" w:val="clear"/>
            <w:tcMar>
              <w:top w:type="dxa" w:w="160"/>
              <w:left w:type="dxa" w:w="460"/>
              <w:bottom w:type="dxa" w:w="1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Legitimo</w:t>
            </w:r>
            <w:r>
              <w:rPr>
                <w:rFonts w:ascii="Arial" w:cs="Arial" w:eastAsia="Arial" w:hAnsi="Arial"/>
                <w:b/>
                <w:bCs/>
                <w:color w:val="E8C878"/>
                <w:sz w:val="24"/>
                <w:szCs w:val="24"/>
              </w:rPr>
              <w:t xml:space="preserve">Tech</w:t>
            </w:r>
            <w:r>
              <w:rPr>
                <w:rFonts w:ascii="Arial" w:cs="Arial" w:eastAsia="Arial" w:hAnsi="Arial"/>
                <w:b/>
                <w:bCs/>
                <w:color w:val="7AACDB"/>
                <w:sz w:val="24"/>
                <w:szCs w:val="24"/>
              </w:rPr>
              <w:t xml:space="preserve"> Solutions</w:t>
            </w:r>
          </w:p>
        </w:tc>
        <w:tc>
          <w:tcPr>
            <w:tcW w:type="dxa" w:w="595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2D5A" w:val="clear"/>
            <w:tcMar>
              <w:top w:type="dxa" w:w="160"/>
              <w:left w:type="dxa" w:w="0"/>
              <w:bottom w:type="dxa" w:w="160"/>
              <w:right w:type="dxa" w:w="46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6B84A0"/>
                <w:sz w:val="18"/>
                <w:szCs w:val="18"/>
              </w:rPr>
              <w:t xml:space="preserve">Mifos X / Apache Fineract</w:t>
            </w:r>
          </w:p>
        </w:tc>
      </w:tr>
      <w:tr>
        <w:tc>
          <w:tcPr>
            <w:tcW w:type="dxa" w:w="714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2D5A" w:val="clear"/>
            <w:tcMar>
              <w:top w:type="dxa" w:w="440"/>
              <w:left w:type="dxa" w:w="460"/>
              <w:bottom w:type="dxa" w:w="440"/>
              <w:right w:type="dxa" w:w="280"/>
            </w:tcMar>
          </w:tcPr>
          <w:tbl>
            <w:tblPr>
              <w:tblW w:type="dxa" w:w="668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683"/>
            </w:tblGrid>
            <w:tr>
              <w:tc>
                <w:tcPr>
                  <w:tcW w:type="dxa" w:w="6683"/>
                  <w:tcBorders>
                    <w:top w:val="none" w:color="auto" w:sz="0"/>
                    <w:left w:val="single" w:color="C9A84C" w:sz="6"/>
                    <w:bottom w:val="none" w:color="auto" w:sz="0"/>
                    <w:right w:val="none" w:color="auto" w:sz="0"/>
                  </w:tcBorders>
                  <w:shd w:fill="0D3A8A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8C878"/>
                      <w:spacing w:val="20"/>
                      <w:sz w:val="16"/>
                      <w:szCs w:val="16"/>
                    </w:rPr>
                    <w:t xml:space="preserve">  PRICING PROPOSAL · 2025  </w:t>
                  </w:r>
                </w:p>
              </w:tc>
            </w:tr>
          </w:tbl>
          <w:p>
            <w:pPr>
              <w:spacing w:before="160" w:after="0"/>
            </w:pPr>
            <w:r>
              <w:rPr>
                <w:rFonts w:ascii="Arial" w:cs="Arial" w:eastAsia="Arial" w:hAnsi="Arial"/>
                <w:color w:val="334E6E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74"/>
                <w:szCs w:val="74"/>
              </w:rPr>
              <w:t xml:space="preserve">Core Banking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E8C878"/>
                <w:sz w:val="74"/>
                <w:szCs w:val="74"/>
              </w:rPr>
              <w:t xml:space="preserve">for Microfinance.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334E6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9A84C" w:sz="16" w:space="2"/>
              </w:pBdr>
              <w:spacing w:before="0" w:after="120"/>
            </w:pP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7AACDB"/>
                <w:sz w:val="22"/>
                <w:szCs w:val="22"/>
              </w:rPr>
              <w:t xml:space="preserve">Deployment packages — Mifos X / Apache Fineract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34E6E"/>
                <w:sz w:val="20"/>
                <w:szCs w:val="20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7AACDB"/>
                <w:sz w:val="20"/>
                <w:szCs w:val="20"/>
              </w:rPr>
              <w:t xml:space="preserve">Three deployment tiers covering every institutional scale — from first-time digital deployment to full multi-branch operations. Powered by the world’s most trusted open-source MFI platform.</w:t>
            </w:r>
          </w:p>
        </w:tc>
        <w:tc>
          <w:tcPr>
            <w:tcW w:type="dxa" w:w="476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F2D5A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76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763"/>
            </w:tblGrid>
            <w:tr>
              <w:tc>
                <w:tcPr>
                  <w:tcW w:type="dxa" w:w="4763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1A5FAB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1A5FAB"/>
                      <w:sz w:val="80"/>
                      <w:szCs w:val="80"/>
                    </w:rPr>
                    <w:t xml:space="preserve"> </w:t>
                  </w:r>
                </w:p>
              </w:tc>
            </w:tr>
            <w:tr>
              <w:tc>
                <w:tcPr>
                  <w:tcW w:type="dxa" w:w="4763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0F2D5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0F2D5A"/>
                      <w:sz w:val="20"/>
                      <w:szCs w:val="20"/>
                    </w:rPr>
                    <w:t xml:space="preserve"> </w:t>
                  </w:r>
                </w:p>
              </w:tc>
            </w:tr>
          </w:tbl>
          <w:p/>
        </w:tc>
      </w:tr>
      <w:tr>
        <w:tc>
          <w:tcPr>
            <w:tcW w:type="dxa" w:w="2976"/>
            <w:tcBorders>
              <w:top w:val="single" w:color="C9A84C" w:sz="8" w:space="0"/>
              <w:left w:val="none" w:color="auto" w:sz="0"/>
              <w:bottom w:val="none" w:color="auto" w:sz="0"/>
              <w:right w:val="none" w:color="auto" w:sz="0"/>
            </w:tcBorders>
            <w:shd w:fill="0F2D5A" w:val="clear"/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UGX 2.5M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84A0"/>
                <w:sz w:val="17"/>
                <w:szCs w:val="17"/>
              </w:rPr>
              <w:t xml:space="preserve">Basic Deployment</w:t>
            </w:r>
          </w:p>
        </w:tc>
        <w:tc>
          <w:tcPr>
            <w:tcW w:type="dxa" w:w="2976"/>
            <w:tcBorders>
              <w:top w:val="single" w:color="C9A84C" w:sz="8" w:space="0"/>
              <w:left w:val="single" w:color="162444" w:sz="3"/>
              <w:bottom w:val="none" w:color="auto" w:sz="0"/>
              <w:right w:val="none" w:color="auto" w:sz="0"/>
            </w:tcBorders>
            <w:shd w:fill="0D3A8A" w:val="clear"/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UGX 3.5M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84A0"/>
                <w:sz w:val="17"/>
                <w:szCs w:val="17"/>
              </w:rPr>
              <w:t xml:space="preserve">Professional</w:t>
            </w:r>
          </w:p>
        </w:tc>
        <w:tc>
          <w:tcPr>
            <w:tcW w:type="dxa" w:w="2976"/>
            <w:tcBorders>
              <w:top w:val="single" w:color="C9A84C" w:sz="8" w:space="0"/>
              <w:left w:val="single" w:color="162444" w:sz="3"/>
              <w:bottom w:val="none" w:color="auto" w:sz="0"/>
              <w:right w:val="none" w:color="auto" w:sz="0"/>
            </w:tcBorders>
            <w:shd w:fill="0F2D5A" w:val="clear"/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UGX 5.5M+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84A0"/>
                <w:sz w:val="17"/>
                <w:szCs w:val="17"/>
              </w:rPr>
              <w:t xml:space="preserve">Enterprise</w:t>
            </w:r>
          </w:p>
        </w:tc>
        <w:tc>
          <w:tcPr>
            <w:tcW w:type="dxa" w:w="2976"/>
            <w:tcBorders>
              <w:top w:val="single" w:color="C9A84C" w:sz="8" w:space="0"/>
              <w:left w:val="single" w:color="162444" w:sz="3"/>
              <w:bottom w:val="none" w:color="auto" w:sz="0"/>
              <w:right w:val="none" w:color="auto" w:sz="0"/>
            </w:tcBorders>
            <w:shd w:fill="0A1E3C" w:val="clear"/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8C878"/>
                <w:sz w:val="30"/>
                <w:szCs w:val="30"/>
              </w:rPr>
              <w:t xml:space="preserve">UGX 400K /mo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84A0"/>
                <w:sz w:val="17"/>
                <w:szCs w:val="17"/>
              </w:rPr>
              <w:t xml:space="preserve">Monthly Maintenance</w:t>
            </w:r>
          </w:p>
        </w:tc>
      </w:tr>
      <w:tr>
        <w:tc>
          <w:tcPr>
            <w:tcW w:type="dxa" w:w="654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70F1E" w:val="clear"/>
            <w:tcMar>
              <w:top w:type="dxa" w:w="110"/>
              <w:left w:type="dxa" w:w="460"/>
              <w:bottom w:type="dxa" w:w="11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A6090"/>
                <w:sz w:val="16"/>
                <w:szCs w:val="16"/>
              </w:rPr>
              <w:t xml:space="preserve">Powered by Mifos X / Apache Fineract · Certified Digital Public Good</w:t>
            </w:r>
          </w:p>
        </w:tc>
        <w:tc>
          <w:tcPr>
            <w:tcW w:type="dxa" w:w="535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70F1E" w:val="clear"/>
            <w:tcMar>
              <w:top w:type="dxa" w:w="110"/>
              <w:left w:type="dxa" w:w="0"/>
              <w:bottom w:type="dxa" w:w="110"/>
              <w:right w:type="dxa" w:w="46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3A6090"/>
                <w:sz w:val="16"/>
                <w:szCs w:val="16"/>
              </w:rPr>
              <w:t xml:space="preserve">legitimo.tech · Confidential</w:t>
            </w:r>
          </w:p>
        </w:tc>
      </w:tr>
    </w:tbl>
    <w:p>
      <w:pPr>
        <w:sectPr>
          <w:type w:val="nextPage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before="220" w:after="60"/>
      </w:pPr>
      <w:r>
        <w:rPr>
          <w:rFonts w:ascii="Arial" w:cs="Arial" w:eastAsia="Arial" w:hAnsi="Arial"/>
          <w:b/>
          <w:bCs/>
          <w:color w:val="1E88E5"/>
          <w:spacing w:val="50"/>
          <w:sz w:val="16"/>
          <w:szCs w:val="16"/>
        </w:rPr>
        <w:t xml:space="preserve">SECTION 1 — PRICING OVERVIEW</w:t>
      </w:r>
    </w:p>
    <w:p>
      <w:pPr>
        <w:pBdr>
          <w:bottom w:val="single" w:color="1E88E5" w:sz="10" w:space="4"/>
        </w:pBdr>
        <w:spacing w:before="0" w:after="100"/>
      </w:pPr>
      <w:r>
        <w:rPr>
          <w:rFonts w:ascii="Arial" w:cs="Arial" w:eastAsia="Arial" w:hAnsi="Arial"/>
          <w:b/>
          <w:bCs/>
          <w:color w:val="0F2D5A"/>
          <w:sz w:val="34"/>
          <w:szCs w:val="34"/>
        </w:rPr>
        <w:t xml:space="preserve">Deployment Packages — Feature Comparison</w:t>
      </w:r>
    </w:p>
    <w:p>
      <w:pPr>
        <w:spacing w:before="0" w:after="80"/>
      </w:pPr>
      <w:r>
        <w:rPr>
          <w:rFonts w:ascii="Arial" w:cs="Arial" w:eastAsia="Arial" w:hAnsi="Arial"/>
          <w:color w:val="334E6E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color w:val="334E6E"/>
          <w:sz w:val="20"/>
          <w:szCs w:val="20"/>
        </w:rPr>
        <w:t xml:space="preserve">Each tier builds on the previous. Everything in Basic is included in Professional; everything in Professional is included in Enterprise.</w:t>
      </w:r>
    </w:p>
    <w:p>
      <w:pPr>
        <w:spacing w:before="0" w:after="120"/>
      </w:pPr>
      <w:r>
        <w:rPr>
          <w:rFonts w:ascii="Arial" w:cs="Arial" w:eastAsia="Arial" w:hAnsi="Arial"/>
          <w:color w:val="334E6E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48"/>
        <w:gridCol w:w="2248"/>
        <w:gridCol w:w="2250"/>
      </w:tblGrid>
      <w:tr>
        <w:trPr>
          <w:tblHeader/>
        </w:trPr>
        <w:tc>
          <w:tcPr>
            <w:tcW w:type="dxa" w:w="3000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0F2D5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2248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1040A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AACDB"/>
                <w:spacing w:val="30"/>
                <w:sz w:val="17"/>
                <w:szCs w:val="17"/>
              </w:rPr>
              <w:t xml:space="preserve">BASIC</w:t>
            </w:r>
          </w:p>
        </w:tc>
        <w:tc>
          <w:tcPr>
            <w:tcW w:type="dxa" w:w="2248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0D3A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AACDB"/>
                <w:spacing w:val="30"/>
                <w:sz w:val="17"/>
                <w:szCs w:val="17"/>
              </w:rPr>
              <w:t xml:space="preserve">PROFESSIONAL</w:t>
            </w:r>
          </w:p>
        </w:tc>
        <w:tc>
          <w:tcPr>
            <w:tcW w:type="dxa" w:w="2248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0F2D5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AACDB"/>
                <w:spacing w:val="30"/>
                <w:sz w:val="17"/>
                <w:szCs w:val="17"/>
              </w:rPr>
              <w:t xml:space="preserve">ENTERPRISE</w:t>
            </w:r>
          </w:p>
        </w:tc>
      </w:tr>
      <w:tr>
        <w:tc>
          <w:tcPr>
            <w:tcW w:type="dxa" w:w="3000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4E6E"/>
                <w:sz w:val="19"/>
                <w:szCs w:val="19"/>
              </w:rPr>
              <w:t xml:space="preserve">Deployment Cost</w:t>
            </w:r>
          </w:p>
        </w:tc>
        <w:tc>
          <w:tcPr>
            <w:tcW w:type="dxa" w:w="2248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EEF5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2D5A"/>
                <w:sz w:val="22"/>
                <w:szCs w:val="22"/>
              </w:rPr>
              <w:t xml:space="preserve">UGX 2,500,000</w:t>
            </w:r>
          </w:p>
        </w:tc>
        <w:tc>
          <w:tcPr>
            <w:tcW w:type="dxa" w:w="2248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D0E4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2D5A"/>
                <w:sz w:val="22"/>
                <w:szCs w:val="22"/>
              </w:rPr>
              <w:t xml:space="preserve">UGX 3,500,000</w:t>
            </w:r>
          </w:p>
        </w:tc>
        <w:tc>
          <w:tcPr>
            <w:tcW w:type="dxa" w:w="2248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C8D8F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2D5A"/>
                <w:sz w:val="22"/>
                <w:szCs w:val="22"/>
              </w:rPr>
              <w:t xml:space="preserve">UGX 5,500,000+</w:t>
            </w:r>
          </w:p>
        </w:tc>
      </w:tr>
      <w:tr>
        <w:tc>
          <w:tcPr>
            <w:tcW w:type="dxa" w:w="3000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4E6E"/>
                <w:sz w:val="19"/>
                <w:szCs w:val="19"/>
              </w:rPr>
              <w:t xml:space="preserve">Monthly Maintenance</w:t>
            </w:r>
          </w:p>
        </w:tc>
        <w:tc>
          <w:tcPr>
            <w:tcW w:type="dxa" w:w="2248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UGX 400,000</w:t>
            </w:r>
          </w:p>
        </w:tc>
        <w:tc>
          <w:tcPr>
            <w:tcW w:type="dxa" w:w="2248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UGX 400,000</w:t>
            </w:r>
          </w:p>
        </w:tc>
        <w:tc>
          <w:tcPr>
            <w:tcW w:type="dxa" w:w="2248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UGX 400,000</w:t>
            </w:r>
          </w:p>
        </w:tc>
      </w:tr>
      <w:tr>
        <w:tc>
          <w:tcPr>
            <w:tcW w:type="dxa" w:w="3000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4E6E"/>
                <w:sz w:val="19"/>
                <w:szCs w:val="19"/>
              </w:rPr>
              <w:t xml:space="preserve">Branches supported</w:t>
            </w:r>
          </w:p>
        </w:tc>
        <w:tc>
          <w:tcPr>
            <w:tcW w:type="dxa" w:w="2248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EEF5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20"/>
                <w:szCs w:val="20"/>
              </w:rPr>
              <w:t xml:space="preserve">Up to 3</w:t>
            </w:r>
          </w:p>
        </w:tc>
        <w:tc>
          <w:tcPr>
            <w:tcW w:type="dxa" w:w="2248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EEF5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20"/>
                <w:szCs w:val="20"/>
              </w:rPr>
              <w:t xml:space="preserve">Up to 10</w:t>
            </w:r>
          </w:p>
        </w:tc>
        <w:tc>
          <w:tcPr>
            <w:tcW w:type="dxa" w:w="2248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EEF5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000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4E6E"/>
                <w:sz w:val="19"/>
                <w:szCs w:val="19"/>
              </w:rPr>
              <w:t xml:space="preserve">Group lending</w:t>
            </w:r>
          </w:p>
        </w:tc>
        <w:tc>
          <w:tcPr>
            <w:tcW w:type="dxa" w:w="2248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84A0"/>
                <w:sz w:val="20"/>
                <w:szCs w:val="20"/>
              </w:rPr>
              <w:t xml:space="preserve">—</w:t>
            </w:r>
          </w:p>
        </w:tc>
        <w:tc>
          <w:tcPr>
            <w:tcW w:type="dxa" w:w="2248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✔</w:t>
            </w:r>
          </w:p>
        </w:tc>
        <w:tc>
          <w:tcPr>
            <w:tcW w:type="dxa" w:w="2248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3000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4E6E"/>
                <w:sz w:val="19"/>
                <w:szCs w:val="19"/>
              </w:rPr>
              <w:t xml:space="preserve">SMS notifications</w:t>
            </w:r>
          </w:p>
        </w:tc>
        <w:tc>
          <w:tcPr>
            <w:tcW w:type="dxa" w:w="2248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EEF5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84A0"/>
                <w:sz w:val="20"/>
                <w:szCs w:val="20"/>
              </w:rPr>
              <w:t xml:space="preserve">—</w:t>
            </w:r>
          </w:p>
        </w:tc>
        <w:tc>
          <w:tcPr>
            <w:tcW w:type="dxa" w:w="2248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EEF5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✔</w:t>
            </w:r>
          </w:p>
        </w:tc>
        <w:tc>
          <w:tcPr>
            <w:tcW w:type="dxa" w:w="2248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EEF5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3000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4E6E"/>
                <w:sz w:val="19"/>
                <w:szCs w:val="19"/>
              </w:rPr>
              <w:t xml:space="preserve">Mobile money integration</w:t>
            </w:r>
          </w:p>
        </w:tc>
        <w:tc>
          <w:tcPr>
            <w:tcW w:type="dxa" w:w="2248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84A0"/>
                <w:sz w:val="20"/>
                <w:szCs w:val="20"/>
              </w:rPr>
              <w:t xml:space="preserve">—</w:t>
            </w:r>
          </w:p>
        </w:tc>
        <w:tc>
          <w:tcPr>
            <w:tcW w:type="dxa" w:w="2248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84A0"/>
                <w:sz w:val="20"/>
                <w:szCs w:val="20"/>
              </w:rPr>
              <w:t xml:space="preserve">—</w:t>
            </w:r>
          </w:p>
        </w:tc>
        <w:tc>
          <w:tcPr>
            <w:tcW w:type="dxa" w:w="2248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3000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4E6E"/>
                <w:sz w:val="19"/>
                <w:szCs w:val="19"/>
              </w:rPr>
              <w:t xml:space="preserve">API / fintech integrations</w:t>
            </w:r>
          </w:p>
        </w:tc>
        <w:tc>
          <w:tcPr>
            <w:tcW w:type="dxa" w:w="2248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EEF5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84A0"/>
                <w:sz w:val="20"/>
                <w:szCs w:val="20"/>
              </w:rPr>
              <w:t xml:space="preserve">—</w:t>
            </w:r>
          </w:p>
        </w:tc>
        <w:tc>
          <w:tcPr>
            <w:tcW w:type="dxa" w:w="2248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EEF5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84A0"/>
                <w:sz w:val="20"/>
                <w:szCs w:val="20"/>
              </w:rPr>
              <w:t xml:space="preserve">—</w:t>
            </w:r>
          </w:p>
        </w:tc>
        <w:tc>
          <w:tcPr>
            <w:tcW w:type="dxa" w:w="2248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EEF5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3000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4E6E"/>
                <w:sz w:val="19"/>
                <w:szCs w:val="19"/>
              </w:rPr>
              <w:t xml:space="preserve">Analytics dashboards</w:t>
            </w:r>
          </w:p>
        </w:tc>
        <w:tc>
          <w:tcPr>
            <w:tcW w:type="dxa" w:w="2248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9"/>
                <w:szCs w:val="19"/>
              </w:rPr>
              <w:t xml:space="preserve">Basic</w:t>
            </w:r>
          </w:p>
        </w:tc>
        <w:tc>
          <w:tcPr>
            <w:tcW w:type="dxa" w:w="2248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9"/>
                <w:szCs w:val="19"/>
              </w:rPr>
              <w:t xml:space="preserve">Branch-level</w:t>
            </w:r>
          </w:p>
        </w:tc>
        <w:tc>
          <w:tcPr>
            <w:tcW w:type="dxa" w:w="2248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9"/>
                <w:szCs w:val="19"/>
              </w:rPr>
              <w:t xml:space="preserve">Advanced</w:t>
            </w:r>
          </w:p>
        </w:tc>
      </w:tr>
      <w:tr>
        <w:tc>
          <w:tcPr>
            <w:tcW w:type="dxa" w:w="3000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4E6E"/>
                <w:sz w:val="19"/>
                <w:szCs w:val="19"/>
              </w:rPr>
              <w:t xml:space="preserve">Staff training included</w:t>
            </w:r>
          </w:p>
        </w:tc>
        <w:tc>
          <w:tcPr>
            <w:tcW w:type="dxa" w:w="2248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EEF5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20"/>
                <w:szCs w:val="20"/>
              </w:rPr>
              <w:t xml:space="preserve">2 days</w:t>
            </w:r>
          </w:p>
        </w:tc>
        <w:tc>
          <w:tcPr>
            <w:tcW w:type="dxa" w:w="2248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EEF5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20"/>
                <w:szCs w:val="20"/>
              </w:rPr>
              <w:t xml:space="preserve">2–3 days</w:t>
            </w:r>
          </w:p>
        </w:tc>
        <w:tc>
          <w:tcPr>
            <w:tcW w:type="dxa" w:w="2248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EEF5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20"/>
                <w:szCs w:val="20"/>
              </w:rPr>
              <w:t xml:space="preserve">3–4 days</w:t>
            </w:r>
          </w:p>
        </w:tc>
      </w:tr>
      <w:tr>
        <w:tc>
          <w:tcPr>
            <w:tcW w:type="dxa" w:w="3000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4E6E"/>
                <w:sz w:val="19"/>
                <w:szCs w:val="19"/>
              </w:rPr>
              <w:t xml:space="preserve">Go-live timeline</w:t>
            </w:r>
          </w:p>
        </w:tc>
        <w:tc>
          <w:tcPr>
            <w:tcW w:type="dxa" w:w="2248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9"/>
                <w:szCs w:val="19"/>
              </w:rPr>
              <w:t xml:space="preserve">3–4 wks</w:t>
            </w:r>
          </w:p>
        </w:tc>
        <w:tc>
          <w:tcPr>
            <w:tcW w:type="dxa" w:w="2248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9"/>
                <w:szCs w:val="19"/>
              </w:rPr>
              <w:t xml:space="preserve">4–6 wks</w:t>
            </w:r>
          </w:p>
        </w:tc>
        <w:tc>
          <w:tcPr>
            <w:tcW w:type="dxa" w:w="2248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F3C"/>
                <w:sz w:val="19"/>
                <w:szCs w:val="19"/>
              </w:rPr>
              <w:t xml:space="preserve">6–10 wks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334E6E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C9A84C" w:sz="20"/>
              <w:bottom w:val="none" w:color="auto" w:sz="0"/>
              <w:right w:val="none" w:color="auto" w:sz="0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C4200"/>
                <w:sz w:val="19"/>
                <w:szCs w:val="19"/>
              </w:rPr>
              <w:t xml:space="preserve">💡  Pricing is flexible and tailored to your institution’s scale. Final cost depends on branches, clients, and integrations required. Enterprise starts at UGX 5,500,000 and is scoped per engagement.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34E6E"/>
          <w:sz w:val="20"/>
          <w:szCs w:val="20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F2D5A"/>
          <w:sz w:val="24"/>
          <w:szCs w:val="24"/>
        </w:rPr>
        <w:t xml:space="preserve">Monthly Platform License &amp; Maintenance</w:t>
      </w:r>
    </w:p>
    <w:p>
      <w:pPr>
        <w:spacing w:before="0" w:after="80"/>
      </w:pPr>
      <w:r>
        <w:rPr>
          <w:rFonts w:ascii="Arial" w:cs="Arial" w:eastAsia="Arial" w:hAnsi="Arial"/>
          <w:color w:val="334E6E"/>
          <w:sz w:val="20"/>
          <w:szCs w:val="20"/>
        </w:rPr>
        <w:t xml:space="preserve">The monthly rate is fixed at UGX 400,000 across all three tiers. No per-user charges, no tier-based increases.</w:t>
      </w:r>
    </w:p>
    <w:p>
      <w:pPr>
        <w:spacing w:before="0" w:after="80"/>
      </w:pPr>
      <w:r>
        <w:rPr>
          <w:rFonts w:ascii="Arial" w:cs="Arial" w:eastAsia="Arial" w:hAnsi="Arial"/>
          <w:color w:val="334E6E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9746"/>
            <w:gridSpan w:val="2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0F2D5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8C878"/>
                <w:sz w:val="30"/>
                <w:szCs w:val="30"/>
              </w:rPr>
              <w:t xml:space="preserve">UGX 400,000 / month</w:t>
            </w:r>
            <w:r>
              <w:rPr>
                <w:rFonts w:ascii="Arial" w:cs="Arial" w:eastAsia="Arial" w:hAnsi="Arial"/>
                <w:color w:val="7AACDB"/>
                <w:sz w:val="19"/>
                <w:szCs w:val="19"/>
              </w:rPr>
              <w:t xml:space="preserve"> — same across all tiers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8C8F0"/>
                <w:sz w:val="20"/>
                <w:szCs w:val="20"/>
              </w:rPr>
              <w:t xml:space="preserve">Monthly Platform License &amp; Maintenance</w:t>
            </w:r>
          </w:p>
        </w:tc>
      </w:tr>
      <w:tr>
        <w:tc>
          <w:tcPr>
            <w:tcW w:type="dxa" w:w="9746"/>
            <w:gridSpan w:val="2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E8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88E5"/>
                <w:spacing w:val="40"/>
                <w:sz w:val="16"/>
                <w:szCs w:val="16"/>
              </w:rPr>
              <w:t xml:space="preserve">COVERED SERVICES</w:t>
            </w:r>
          </w:p>
        </w:tc>
      </w:tr>
      <w:tr>
        <w:tc>
          <w:tcPr>
            <w:tcW w:type="dxa" w:w="4873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✔ </w:t>
            </w:r>
            <w:r>
              <w:rPr>
                <w:rFonts w:ascii="Arial" w:cs="Arial" w:eastAsia="Arial" w:hAnsi="Arial"/>
                <w:color w:val="334E6E"/>
                <w:sz w:val="19"/>
                <w:szCs w:val="19"/>
              </w:rPr>
              <w:t xml:space="preserve">Platform licensing for core banking system</w:t>
            </w:r>
          </w:p>
        </w:tc>
        <w:tc>
          <w:tcPr>
            <w:tcW w:type="dxa" w:w="4873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✔ </w:t>
            </w:r>
            <w:r>
              <w:rPr>
                <w:rFonts w:ascii="Arial" w:cs="Arial" w:eastAsia="Arial" w:hAnsi="Arial"/>
                <w:color w:val="334E6E"/>
                <w:sz w:val="19"/>
                <w:szCs w:val="19"/>
              </w:rPr>
              <w:t xml:space="preserve">System monitoring &amp; uptime assurance</w:t>
            </w:r>
          </w:p>
        </w:tc>
      </w:tr>
      <w:tr>
        <w:tc>
          <w:tcPr>
            <w:tcW w:type="dxa" w:w="4873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✔ </w:t>
            </w:r>
            <w:r>
              <w:rPr>
                <w:rFonts w:ascii="Arial" w:cs="Arial" w:eastAsia="Arial" w:hAnsi="Arial"/>
                <w:color w:val="334E6E"/>
                <w:sz w:val="19"/>
                <w:szCs w:val="19"/>
              </w:rPr>
              <w:t xml:space="preserve">Software updates &amp; security patching</w:t>
            </w:r>
          </w:p>
        </w:tc>
        <w:tc>
          <w:tcPr>
            <w:tcW w:type="dxa" w:w="4873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✔ </w:t>
            </w:r>
            <w:r>
              <w:rPr>
                <w:rFonts w:ascii="Arial" w:cs="Arial" w:eastAsia="Arial" w:hAnsi="Arial"/>
                <w:color w:val="334E6E"/>
                <w:sz w:val="19"/>
                <w:szCs w:val="19"/>
              </w:rPr>
              <w:t xml:space="preserve">Backup verification &amp; database integrity</w:t>
            </w:r>
          </w:p>
        </w:tc>
      </w:tr>
      <w:tr>
        <w:tc>
          <w:tcPr>
            <w:tcW w:type="dxa" w:w="4873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✔ </w:t>
            </w:r>
            <w:r>
              <w:rPr>
                <w:rFonts w:ascii="Arial" w:cs="Arial" w:eastAsia="Arial" w:hAnsi="Arial"/>
                <w:color w:val="334E6E"/>
                <w:sz w:val="19"/>
                <w:szCs w:val="19"/>
              </w:rPr>
              <w:t xml:space="preserve">Technical support &amp; troubleshooting</w:t>
            </w:r>
          </w:p>
        </w:tc>
        <w:tc>
          <w:tcPr>
            <w:tcW w:type="dxa" w:w="4873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✔ </w:t>
            </w:r>
            <w:r>
              <w:rPr>
                <w:rFonts w:ascii="Arial" w:cs="Arial" w:eastAsia="Arial" w:hAnsi="Arial"/>
                <w:color w:val="334E6E"/>
                <w:sz w:val="19"/>
                <w:szCs w:val="19"/>
              </w:rPr>
              <w:t xml:space="preserve">Performance optimisation</w:t>
            </w:r>
          </w:p>
        </w:tc>
      </w:tr>
      <w:tr>
        <w:tc>
          <w:tcPr>
            <w:tcW w:type="dxa" w:w="4873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✔ </w:t>
            </w:r>
            <w:r>
              <w:rPr>
                <w:rFonts w:ascii="Arial" w:cs="Arial" w:eastAsia="Arial" w:hAnsi="Arial"/>
                <w:color w:val="334E6E"/>
                <w:sz w:val="19"/>
                <w:szCs w:val="19"/>
              </w:rPr>
              <w:t xml:space="preserve">Security monitoring</w:t>
            </w:r>
          </w:p>
        </w:tc>
        <w:tc>
          <w:tcPr>
            <w:tcW w:type="dxa" w:w="4873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✔ </w:t>
            </w:r>
            <w:r>
              <w:rPr>
                <w:rFonts w:ascii="Arial" w:cs="Arial" w:eastAsia="Arial" w:hAnsi="Arial"/>
                <w:color w:val="334E6E"/>
                <w:sz w:val="19"/>
                <w:szCs w:val="19"/>
              </w:rPr>
              <w:t xml:space="preserve">Bug fixes &amp; minor enhancements</w:t>
            </w:r>
          </w:p>
        </w:tc>
      </w:tr>
    </w:tbl>
    <w:p>
      <w:r>
        <w:br w:type="page"/>
      </w:r>
    </w:p>
    <w:p>
      <w:pPr>
        <w:spacing w:before="220" w:after="60"/>
      </w:pPr>
      <w:r>
        <w:rPr>
          <w:rFonts w:ascii="Arial" w:cs="Arial" w:eastAsia="Arial" w:hAnsi="Arial"/>
          <w:b/>
          <w:bCs/>
          <w:color w:val="1E88E5"/>
          <w:spacing w:val="50"/>
          <w:sz w:val="16"/>
          <w:szCs w:val="16"/>
        </w:rPr>
        <w:t xml:space="preserve">SECTION 2 — DEPLOYMENT SCOPE</w:t>
      </w:r>
    </w:p>
    <w:p>
      <w:pPr>
        <w:pBdr>
          <w:bottom w:val="single" w:color="1E88E5" w:sz="10" w:space="4"/>
        </w:pBdr>
        <w:spacing w:before="0" w:after="100"/>
      </w:pPr>
      <w:r>
        <w:rPr>
          <w:rFonts w:ascii="Arial" w:cs="Arial" w:eastAsia="Arial" w:hAnsi="Arial"/>
          <w:b/>
          <w:bCs/>
          <w:color w:val="0F2D5A"/>
          <w:sz w:val="34"/>
          <w:szCs w:val="34"/>
        </w:rPr>
        <w:t xml:space="preserve">What Each Package Delivers</w:t>
      </w:r>
    </w:p>
    <w:p>
      <w:pPr>
        <w:spacing w:before="0" w:after="80"/>
      </w:pPr>
      <w:r>
        <w:rPr>
          <w:rFonts w:ascii="Arial" w:cs="Arial" w:eastAsia="Arial" w:hAnsi="Arial"/>
          <w:color w:val="334E6E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color w:val="334E6E"/>
          <w:sz w:val="20"/>
          <w:szCs w:val="20"/>
        </w:rPr>
        <w:t xml:space="preserve">Detailed scope for each tier. Bold items are the key differentiators introduced at that level.</w:t>
      </w:r>
    </w:p>
    <w:p>
      <w:pPr>
        <w:spacing w:before="0" w:after="120"/>
      </w:pPr>
      <w:r>
        <w:rPr>
          <w:rFonts w:ascii="Arial" w:cs="Arial" w:eastAsia="Arial" w:hAnsi="Arial"/>
          <w:color w:val="334E6E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9746"/>
            <w:gridSpan w:val="2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EEF5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F2D5A"/>
                <w:sz w:val="26"/>
                <w:szCs w:val="26"/>
              </w:rPr>
              <w:t xml:space="preserve">Basic Deployment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B84A0"/>
                <w:sz w:val="18"/>
                <w:szCs w:val="18"/>
              </w:rPr>
              <w:t xml:space="preserve">For MFIs launching digital core banking operations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2D5A"/>
                <w:sz w:val="28"/>
                <w:szCs w:val="28"/>
              </w:rPr>
              <w:t xml:space="preserve">UGX 2,500,000</w:t>
            </w:r>
            <w:r>
              <w:rPr>
                <w:rFonts w:ascii="Arial" w:cs="Arial" w:eastAsia="Arial" w:hAnsi="Arial"/>
                <w:color w:val="6B84A0"/>
                <w:sz w:val="17"/>
                <w:szCs w:val="17"/>
              </w:rPr>
              <w:t xml:space="preserve"> — One-time deployment</w:t>
            </w:r>
          </w:p>
        </w:tc>
      </w:tr>
      <w:tr>
        <w:tc>
          <w:tcPr>
            <w:tcW w:type="dxa" w:w="9746"/>
            <w:gridSpan w:val="2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E8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88E5"/>
                <w:spacing w:val="40"/>
                <w:sz w:val="16"/>
                <w:szCs w:val="16"/>
              </w:rPr>
              <w:t xml:space="preserve">SCOPE &amp; FEATURES INCLUDED</w:t>
            </w:r>
          </w:p>
        </w:tc>
      </w:tr>
      <w:tr>
        <w:tc>
          <w:tcPr>
            <w:tcW w:type="dxa" w:w="4873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88E5"/>
                <w:sz w:val="18"/>
                <w:szCs w:val="18"/>
              </w:rPr>
              <w:t xml:space="preserve">◆ </w:t>
            </w:r>
            <w:r>
              <w:rPr>
                <w:rFonts w:ascii="Arial" w:cs="Arial" w:eastAsia="Arial" w:hAnsi="Arial"/>
                <w:b w:val="false"/>
                <w:bCs w:val="false"/>
                <w:color w:val="334E6E"/>
                <w:sz w:val="19"/>
                <w:szCs w:val="19"/>
              </w:rPr>
              <w:t xml:space="preserve">Core system installation &amp; setup</w:t>
            </w:r>
          </w:p>
        </w:tc>
        <w:tc>
          <w:tcPr>
            <w:tcW w:type="dxa" w:w="4873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88E5"/>
                <w:sz w:val="18"/>
                <w:szCs w:val="18"/>
              </w:rPr>
              <w:t xml:space="preserve">◆ </w:t>
            </w:r>
            <w:r>
              <w:rPr>
                <w:rFonts w:ascii="Arial" w:cs="Arial" w:eastAsia="Arial" w:hAnsi="Arial"/>
                <w:b w:val="false"/>
                <w:bCs w:val="false"/>
                <w:color w:val="334E6E"/>
                <w:sz w:val="19"/>
                <w:szCs w:val="19"/>
              </w:rPr>
              <w:t xml:space="preserve">Loan product configuration</w:t>
            </w:r>
          </w:p>
        </w:tc>
      </w:tr>
      <w:tr>
        <w:tc>
          <w:tcPr>
            <w:tcW w:type="dxa" w:w="4873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88E5"/>
                <w:sz w:val="18"/>
                <w:szCs w:val="18"/>
              </w:rPr>
              <w:t xml:space="preserve">◆ </w:t>
            </w:r>
            <w:r>
              <w:rPr>
                <w:rFonts w:ascii="Arial" w:cs="Arial" w:eastAsia="Arial" w:hAnsi="Arial"/>
                <w:b w:val="false"/>
                <w:bCs w:val="false"/>
                <w:color w:val="334E6E"/>
                <w:sz w:val="19"/>
                <w:szCs w:val="19"/>
              </w:rPr>
              <w:t xml:space="preserve">Savings product setup</w:t>
            </w:r>
          </w:p>
        </w:tc>
        <w:tc>
          <w:tcPr>
            <w:tcW w:type="dxa" w:w="4873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88E5"/>
                <w:sz w:val="18"/>
                <w:szCs w:val="18"/>
              </w:rPr>
              <w:t xml:space="preserve">◆ </w:t>
            </w:r>
            <w:r>
              <w:rPr>
                <w:rFonts w:ascii="Arial" w:cs="Arial" w:eastAsia="Arial" w:hAnsi="Arial"/>
                <w:b w:val="false"/>
                <w:bCs w:val="false"/>
                <w:color w:val="334E6E"/>
                <w:sz w:val="19"/>
                <w:szCs w:val="19"/>
              </w:rPr>
              <w:t xml:space="preserve">Client database setup &amp; user roles</w:t>
            </w:r>
          </w:p>
        </w:tc>
      </w:tr>
      <w:tr>
        <w:tc>
          <w:tcPr>
            <w:tcW w:type="dxa" w:w="4873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88E5"/>
                <w:sz w:val="18"/>
                <w:szCs w:val="18"/>
              </w:rPr>
              <w:t xml:space="preserve">◆ </w:t>
            </w:r>
            <w:r>
              <w:rPr>
                <w:rFonts w:ascii="Arial" w:cs="Arial" w:eastAsia="Arial" w:hAnsi="Arial"/>
                <w:b w:val="false"/>
                <w:bCs w:val="false"/>
                <w:color w:val="334E6E"/>
                <w:sz w:val="19"/>
                <w:szCs w:val="19"/>
              </w:rPr>
              <w:t xml:space="preserve">Standard approval &amp; repayment workflows</w:t>
            </w:r>
          </w:p>
        </w:tc>
        <w:tc>
          <w:tcPr>
            <w:tcW w:type="dxa" w:w="4873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88E5"/>
                <w:sz w:val="18"/>
                <w:szCs w:val="18"/>
              </w:rPr>
              <w:t xml:space="preserve">◆ </w:t>
            </w:r>
            <w:r>
              <w:rPr>
                <w:rFonts w:ascii="Arial" w:cs="Arial" w:eastAsia="Arial" w:hAnsi="Arial"/>
                <w:b w:val="false"/>
                <w:bCs w:val="false"/>
                <w:color w:val="334E6E"/>
                <w:sz w:val="19"/>
                <w:szCs w:val="19"/>
              </w:rPr>
              <w:t xml:space="preserve">Basic reporting templates</w:t>
            </w:r>
          </w:p>
        </w:tc>
      </w:tr>
      <w:tr>
        <w:tc>
          <w:tcPr>
            <w:tcW w:type="dxa" w:w="4873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88E5"/>
                <w:sz w:val="18"/>
                <w:szCs w:val="18"/>
              </w:rPr>
              <w:t xml:space="preserve">◆ </w:t>
            </w:r>
            <w:r>
              <w:rPr>
                <w:rFonts w:ascii="Arial" w:cs="Arial" w:eastAsia="Arial" w:hAnsi="Arial"/>
                <w:b w:val="false"/>
                <w:bCs w:val="false"/>
                <w:color w:val="334E6E"/>
                <w:sz w:val="19"/>
                <w:szCs w:val="19"/>
              </w:rPr>
              <w:t xml:space="preserve">Staff onboarding &amp; training — 2 days</w:t>
            </w:r>
          </w:p>
        </w:tc>
        <w:tc>
          <w:tcPr>
            <w:tcW w:type="dxa" w:w="4873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88E5"/>
                <w:sz w:val="18"/>
                <w:szCs w:val="18"/>
              </w:rPr>
              <w:t xml:space="preserve">◆ </w:t>
            </w:r>
            <w:r>
              <w:rPr>
                <w:rFonts w:ascii="Arial" w:cs="Arial" w:eastAsia="Arial" w:hAnsi="Arial"/>
                <w:b w:val="false"/>
                <w:bCs w:val="false"/>
                <w:color w:val="334E6E"/>
                <w:sz w:val="19"/>
                <w:szCs w:val="19"/>
              </w:rPr>
              <w:t xml:space="preserve">Go-live support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color w:val="334E6E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9746"/>
            <w:gridSpan w:val="2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1040A0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Professional Deployment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7AACDB"/>
                <w:sz w:val="18"/>
                <w:szCs w:val="18"/>
              </w:rPr>
              <w:t xml:space="preserve">Multi-branch MFIs with group lending and growing portfolios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C878"/>
                <w:sz w:val="28"/>
                <w:szCs w:val="28"/>
              </w:rPr>
              <w:t xml:space="preserve">UGX 3,500,000</w:t>
            </w:r>
            <w:r>
              <w:rPr>
                <w:rFonts w:ascii="Arial" w:cs="Arial" w:eastAsia="Arial" w:hAnsi="Arial"/>
                <w:color w:val="7AACDB"/>
                <w:sz w:val="17"/>
                <w:szCs w:val="17"/>
              </w:rPr>
              <w:t xml:space="preserve"> — One-time deployment</w:t>
            </w:r>
          </w:p>
        </w:tc>
      </w:tr>
      <w:tr>
        <w:tc>
          <w:tcPr>
            <w:tcW w:type="dxa" w:w="9746"/>
            <w:gridSpan w:val="2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E8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88E5"/>
                <w:spacing w:val="40"/>
                <w:sz w:val="16"/>
                <w:szCs w:val="16"/>
              </w:rPr>
              <w:t xml:space="preserve">SCOPE &amp; FEATURES INCLUDED</w:t>
            </w:r>
          </w:p>
        </w:tc>
      </w:tr>
      <w:tr>
        <w:tc>
          <w:tcPr>
            <w:tcW w:type="dxa" w:w="4873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88E5"/>
                <w:sz w:val="18"/>
                <w:szCs w:val="18"/>
              </w:rPr>
              <w:t xml:space="preserve">◆ </w:t>
            </w: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Everything in Basic (included)</w:t>
            </w:r>
          </w:p>
        </w:tc>
        <w:tc>
          <w:tcPr>
            <w:tcW w:type="dxa" w:w="4873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88E5"/>
                <w:sz w:val="18"/>
                <w:szCs w:val="18"/>
              </w:rPr>
              <w:t xml:space="preserve">◆ </w:t>
            </w: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Branch setup &amp; multi-user management</w:t>
            </w:r>
          </w:p>
        </w:tc>
      </w:tr>
      <w:tr>
        <w:tc>
          <w:tcPr>
            <w:tcW w:type="dxa" w:w="4873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88E5"/>
                <w:sz w:val="18"/>
                <w:szCs w:val="18"/>
              </w:rPr>
              <w:t xml:space="preserve">◆ </w:t>
            </w: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Group loan product configuration</w:t>
            </w:r>
          </w:p>
        </w:tc>
        <w:tc>
          <w:tcPr>
            <w:tcW w:type="dxa" w:w="4873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88E5"/>
                <w:sz w:val="18"/>
                <w:szCs w:val="18"/>
              </w:rPr>
              <w:t xml:space="preserve">◆ </w:t>
            </w: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SMS notifications (reminders &amp; alerts)</w:t>
            </w:r>
          </w:p>
        </w:tc>
      </w:tr>
      <w:tr>
        <w:tc>
          <w:tcPr>
            <w:tcW w:type="dxa" w:w="4873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88E5"/>
                <w:sz w:val="18"/>
                <w:szCs w:val="18"/>
              </w:rPr>
              <w:t xml:space="preserve">◆ </w:t>
            </w:r>
            <w:r>
              <w:rPr>
                <w:rFonts w:ascii="Arial" w:cs="Arial" w:eastAsia="Arial" w:hAnsi="Arial"/>
                <w:b w:val="false"/>
                <w:bCs w:val="false"/>
                <w:color w:val="334E6E"/>
                <w:sz w:val="19"/>
                <w:szCs w:val="19"/>
              </w:rPr>
              <w:t xml:space="preserve">Flexible repayment schedule setup</w:t>
            </w:r>
          </w:p>
        </w:tc>
        <w:tc>
          <w:tcPr>
            <w:tcW w:type="dxa" w:w="4873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88E5"/>
                <w:sz w:val="18"/>
                <w:szCs w:val="18"/>
              </w:rPr>
              <w:t xml:space="preserve">◆ </w:t>
            </w:r>
            <w:r>
              <w:rPr>
                <w:rFonts w:ascii="Arial" w:cs="Arial" w:eastAsia="Arial" w:hAnsi="Arial"/>
                <w:b w:val="false"/>
                <w:bCs w:val="false"/>
                <w:color w:val="334E6E"/>
                <w:sz w:val="19"/>
                <w:szCs w:val="19"/>
              </w:rPr>
              <w:t xml:space="preserve">Portfolio &amp; branch-level reporting</w:t>
            </w:r>
          </w:p>
        </w:tc>
      </w:tr>
      <w:tr>
        <w:tc>
          <w:tcPr>
            <w:tcW w:type="dxa" w:w="4873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88E5"/>
                <w:sz w:val="18"/>
                <w:szCs w:val="18"/>
              </w:rPr>
              <w:t xml:space="preserve">◆ </w:t>
            </w:r>
            <w:r>
              <w:rPr>
                <w:rFonts w:ascii="Arial" w:cs="Arial" w:eastAsia="Arial" w:hAnsi="Arial"/>
                <w:b w:val="false"/>
                <w:bCs w:val="false"/>
                <w:color w:val="334E6E"/>
                <w:sz w:val="19"/>
                <w:szCs w:val="19"/>
              </w:rPr>
              <w:t xml:space="preserve">Database optimisation for growing base</w:t>
            </w:r>
          </w:p>
        </w:tc>
        <w:tc>
          <w:tcPr>
            <w:tcW w:type="dxa" w:w="4873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88E5"/>
                <w:sz w:val="18"/>
                <w:szCs w:val="18"/>
              </w:rPr>
              <w:t xml:space="preserve">◆ </w:t>
            </w:r>
            <w:r>
              <w:rPr>
                <w:rFonts w:ascii="Arial" w:cs="Arial" w:eastAsia="Arial" w:hAnsi="Arial"/>
                <w:b w:val="false"/>
                <w:bCs w:val="false"/>
                <w:color w:val="334E6E"/>
                <w:sz w:val="19"/>
                <w:szCs w:val="19"/>
              </w:rPr>
              <w:t xml:space="preserve">Workflow automation &amp; approval chains</w:t>
            </w:r>
          </w:p>
        </w:tc>
      </w:tr>
      <w:tr>
        <w:tc>
          <w:tcPr>
            <w:tcW w:type="dxa" w:w="4873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88E5"/>
                <w:sz w:val="18"/>
                <w:szCs w:val="18"/>
              </w:rPr>
              <w:t xml:space="preserve">◆ </w:t>
            </w:r>
            <w:r>
              <w:rPr>
                <w:rFonts w:ascii="Arial" w:cs="Arial" w:eastAsia="Arial" w:hAnsi="Arial"/>
                <w:b w:val="false"/>
                <w:bCs w:val="false"/>
                <w:color w:val="334E6E"/>
                <w:sz w:val="19"/>
                <w:szCs w:val="19"/>
              </w:rPr>
              <w:t xml:space="preserve">Operational training — 2–3 days</w:t>
            </w:r>
          </w:p>
        </w:tc>
        <w:tc>
          <w:tcPr>
            <w:tcW w:type="dxa" w:w="4873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4E6E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color w:val="334E6E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9746"/>
            <w:gridSpan w:val="2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0F2D5A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Enterprise Deployment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7AACDB"/>
                <w:sz w:val="18"/>
                <w:szCs w:val="18"/>
              </w:rPr>
              <w:t xml:space="preserve">High-volume multi-branch institutions — API, mobile money &amp; advanced analytics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C878"/>
                <w:sz w:val="28"/>
                <w:szCs w:val="28"/>
              </w:rPr>
              <w:t xml:space="preserve">UGX 5,500,000+</w:t>
            </w:r>
            <w:r>
              <w:rPr>
                <w:rFonts w:ascii="Arial" w:cs="Arial" w:eastAsia="Arial" w:hAnsi="Arial"/>
                <w:color w:val="7AACDB"/>
                <w:sz w:val="17"/>
                <w:szCs w:val="17"/>
              </w:rPr>
              <w:t xml:space="preserve"> — One-time · Custom scoped</w:t>
            </w:r>
          </w:p>
        </w:tc>
      </w:tr>
      <w:tr>
        <w:tc>
          <w:tcPr>
            <w:tcW w:type="dxa" w:w="9746"/>
            <w:gridSpan w:val="2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E8F2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88E5"/>
                <w:spacing w:val="40"/>
                <w:sz w:val="16"/>
                <w:szCs w:val="16"/>
              </w:rPr>
              <w:t xml:space="preserve">SCOPE &amp; FEATURES INCLUDED</w:t>
            </w:r>
          </w:p>
        </w:tc>
      </w:tr>
      <w:tr>
        <w:tc>
          <w:tcPr>
            <w:tcW w:type="dxa" w:w="4873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88E5"/>
                <w:sz w:val="18"/>
                <w:szCs w:val="18"/>
              </w:rPr>
              <w:t xml:space="preserve">◆ </w:t>
            </w: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Everything in Professional (included)</w:t>
            </w:r>
          </w:p>
        </w:tc>
        <w:tc>
          <w:tcPr>
            <w:tcW w:type="dxa" w:w="4873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88E5"/>
                <w:sz w:val="18"/>
                <w:szCs w:val="18"/>
              </w:rPr>
              <w:t xml:space="preserve">◆ </w:t>
            </w: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Mobile money integration (M-Pesa, MTN, Airtel)</w:t>
            </w:r>
          </w:p>
        </w:tc>
      </w:tr>
      <w:tr>
        <w:tc>
          <w:tcPr>
            <w:tcW w:type="dxa" w:w="4873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88E5"/>
                <w:sz w:val="18"/>
                <w:szCs w:val="18"/>
              </w:rPr>
              <w:t xml:space="preserve">◆ </w:t>
            </w: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API readiness for fintech partners</w:t>
            </w:r>
          </w:p>
        </w:tc>
        <w:tc>
          <w:tcPr>
            <w:tcW w:type="dxa" w:w="4873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88E5"/>
                <w:sz w:val="18"/>
                <w:szCs w:val="18"/>
              </w:rPr>
              <w:t xml:space="preserve">◆ </w:t>
            </w:r>
            <w:r>
              <w:rPr>
                <w:rFonts w:ascii="Arial" w:cs="Arial" w:eastAsia="Arial" w:hAnsi="Arial"/>
                <w:b/>
                <w:bCs/>
                <w:color w:val="0D1F3C"/>
                <w:sz w:val="19"/>
                <w:szCs w:val="19"/>
              </w:rPr>
              <w:t xml:space="preserve">Advanced analytics &amp; portfolio dashboards</w:t>
            </w:r>
          </w:p>
        </w:tc>
      </w:tr>
      <w:tr>
        <w:tc>
          <w:tcPr>
            <w:tcW w:type="dxa" w:w="4873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88E5"/>
                <w:sz w:val="18"/>
                <w:szCs w:val="18"/>
              </w:rPr>
              <w:t xml:space="preserve">◆ </w:t>
            </w:r>
            <w:r>
              <w:rPr>
                <w:rFonts w:ascii="Arial" w:cs="Arial" w:eastAsia="Arial" w:hAnsi="Arial"/>
                <w:b w:val="false"/>
                <w:bCs w:val="false"/>
                <w:color w:val="334E6E"/>
                <w:sz w:val="19"/>
                <w:szCs w:val="19"/>
              </w:rPr>
              <w:t xml:space="preserve">Security hardening &amp; full audit trails</w:t>
            </w:r>
          </w:p>
        </w:tc>
        <w:tc>
          <w:tcPr>
            <w:tcW w:type="dxa" w:w="4873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88E5"/>
                <w:sz w:val="18"/>
                <w:szCs w:val="18"/>
              </w:rPr>
              <w:t xml:space="preserve">◆ </w:t>
            </w:r>
            <w:r>
              <w:rPr>
                <w:rFonts w:ascii="Arial" w:cs="Arial" w:eastAsia="Arial" w:hAnsi="Arial"/>
                <w:b w:val="false"/>
                <w:bCs w:val="false"/>
                <w:color w:val="334E6E"/>
                <w:sz w:val="19"/>
                <w:szCs w:val="19"/>
              </w:rPr>
              <w:t xml:space="preserve">Multi-branch, multi-product setup</w:t>
            </w:r>
          </w:p>
        </w:tc>
      </w:tr>
      <w:tr>
        <w:tc>
          <w:tcPr>
            <w:tcW w:type="dxa" w:w="4873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88E5"/>
                <w:sz w:val="18"/>
                <w:szCs w:val="18"/>
              </w:rPr>
              <w:t xml:space="preserve">◆ </w:t>
            </w:r>
            <w:r>
              <w:rPr>
                <w:rFonts w:ascii="Arial" w:cs="Arial" w:eastAsia="Arial" w:hAnsi="Arial"/>
                <w:b w:val="false"/>
                <w:bCs w:val="false"/>
                <w:color w:val="334E6E"/>
                <w:sz w:val="19"/>
                <w:szCs w:val="19"/>
              </w:rPr>
              <w:t xml:space="preserve">High-volume transaction optimisation</w:t>
            </w:r>
          </w:p>
        </w:tc>
        <w:tc>
          <w:tcPr>
            <w:tcW w:type="dxa" w:w="4873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88E5"/>
                <w:sz w:val="18"/>
                <w:szCs w:val="18"/>
              </w:rPr>
              <w:t xml:space="preserve">◆ </w:t>
            </w:r>
            <w:r>
              <w:rPr>
                <w:rFonts w:ascii="Arial" w:cs="Arial" w:eastAsia="Arial" w:hAnsi="Arial"/>
                <w:b w:val="false"/>
                <w:bCs w:val="false"/>
                <w:color w:val="334E6E"/>
                <w:sz w:val="19"/>
                <w:szCs w:val="19"/>
              </w:rPr>
              <w:t xml:space="preserve">Full digital banking training — 3–4 days</w:t>
            </w:r>
          </w:p>
        </w:tc>
      </w:tr>
      <w:tr>
        <w:tc>
          <w:tcPr>
            <w:tcW w:type="dxa" w:w="4873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88E5"/>
                <w:sz w:val="18"/>
                <w:szCs w:val="18"/>
              </w:rPr>
              <w:t xml:space="preserve">◆ </w:t>
            </w:r>
            <w:r>
              <w:rPr>
                <w:rFonts w:ascii="Arial" w:cs="Arial" w:eastAsia="Arial" w:hAnsi="Arial"/>
                <w:b w:val="false"/>
                <w:bCs w:val="false"/>
                <w:color w:val="334E6E"/>
                <w:sz w:val="19"/>
                <w:szCs w:val="19"/>
              </w:rPr>
              <w:t xml:space="preserve">Custom scope review &amp; dedicated project plan</w:t>
            </w:r>
          </w:p>
        </w:tc>
        <w:tc>
          <w:tcPr>
            <w:tcW w:type="dxa" w:w="4873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4E6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before="220" w:after="60"/>
      </w:pPr>
      <w:r>
        <w:rPr>
          <w:rFonts w:ascii="Arial" w:cs="Arial" w:eastAsia="Arial" w:hAnsi="Arial"/>
          <w:b/>
          <w:bCs/>
          <w:color w:val="1E88E5"/>
          <w:spacing w:val="50"/>
          <w:sz w:val="16"/>
          <w:szCs w:val="16"/>
        </w:rPr>
        <w:t xml:space="preserve">SECTION 3 — GET IN TOUCH</w:t>
      </w:r>
    </w:p>
    <w:p>
      <w:pPr>
        <w:pBdr>
          <w:bottom w:val="single" w:color="1E88E5" w:sz="10" w:space="4"/>
        </w:pBdr>
        <w:spacing w:before="0" w:after="100"/>
      </w:pPr>
      <w:r>
        <w:rPr>
          <w:rFonts w:ascii="Arial" w:cs="Arial" w:eastAsia="Arial" w:hAnsi="Arial"/>
          <w:b/>
          <w:bCs/>
          <w:color w:val="0F2D5A"/>
          <w:sz w:val="34"/>
          <w:szCs w:val="34"/>
        </w:rPr>
        <w:t xml:space="preserve">Request a Demo or Custom Quote</w:t>
      </w:r>
    </w:p>
    <w:p>
      <w:pPr>
        <w:spacing w:before="0" w:after="80"/>
      </w:pPr>
      <w:r>
        <w:rPr>
          <w:rFonts w:ascii="Arial" w:cs="Arial" w:eastAsia="Arial" w:hAnsi="Arial"/>
          <w:color w:val="334E6E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color w:val="334E6E"/>
          <w:sz w:val="20"/>
          <w:szCs w:val="20"/>
        </w:rPr>
        <w:t xml:space="preserve">Our consultants will walk through your institution’s specific needs, demonstrate Mifos X live, and deliver a tailored proposal within 48 hours — no obligation.</w:t>
      </w:r>
    </w:p>
    <w:p>
      <w:pPr>
        <w:spacing w:before="0" w:after="120"/>
      </w:pPr>
      <w:r>
        <w:rPr>
          <w:rFonts w:ascii="Arial" w:cs="Arial" w:eastAsia="Arial" w:hAnsi="Arial"/>
          <w:color w:val="334E6E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0F2D5A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Contact Our Consultant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7AACDB"/>
                <w:sz w:val="18"/>
                <w:szCs w:val="18"/>
              </w:rPr>
              <w:t xml:space="preserve">Send us a message via our secure online form. We respond within 24 hours.</w:t>
            </w:r>
          </w:p>
          <w:p>
            <w:pPr>
              <w:spacing w:before="0" w:after="0"/>
            </w:pPr>
            <w:hyperlink w:history="1" r:id="rIditpyuogh7gj0yrujbzqzb">
              <w:r>
                <w:rPr>
                  <w:rFonts w:ascii="Arial" w:cs="Arial" w:eastAsia="Arial" w:hAnsi="Arial"/>
                  <w:b/>
                  <w:bCs/>
                  <w:color w:val="E8C878"/>
                  <w:sz w:val="20"/>
                  <w:szCs w:val="20"/>
                </w:rPr>
                <w:t xml:space="preserve">→ Click here to send an enquiry</w:t>
              </w:r>
            </w:hyperlink>
          </w:p>
        </w:tc>
        <w:tc>
          <w:tcPr>
            <w:tcW w:type="dxa" w:w="4873"/>
            <w:tcBorders>
              <w:top w:val="single" w:color="C5DDF9" w:sz="4"/>
              <w:left w:val="single" w:color="C5DDF9" w:sz="4"/>
              <w:bottom w:val="single" w:color="C5DDF9" w:sz="4"/>
              <w:right w:val="single" w:color="C5DDF9" w:sz="4"/>
            </w:tcBorders>
            <w:shd w:fill="E8F2F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2D5A"/>
                <w:sz w:val="22"/>
                <w:szCs w:val="22"/>
              </w:rPr>
              <w:t xml:space="preserve">Legitimo Tech Solutions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6B84A0"/>
                <w:sz w:val="18"/>
                <w:szCs w:val="18"/>
              </w:rPr>
              <w:t xml:space="preserve">Mifos X Deployment Partner — East Africa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565C0"/>
                <w:sz w:val="18"/>
                <w:szCs w:val="18"/>
              </w:rPr>
              <w:t xml:space="preserve">Powered by Apache Fineract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✔ Certified Digital Public Good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334E6E"/>
          <w:sz w:val="20"/>
          <w:szCs w:val="20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Enquiry Notes</w:t>
      </w:r>
    </w:p>
    <w:p>
      <w:pPr>
        <w:spacing w:before="0" w:after="80"/>
      </w:pPr>
      <w:r>
        <w:rPr>
          <w:rFonts w:ascii="Arial" w:cs="Arial" w:eastAsia="Arial" w:hAnsi="Arial"/>
          <w:color w:val="334E6E"/>
          <w:sz w:val="20"/>
          <w:szCs w:val="20"/>
        </w:rPr>
        <w:t xml:space="preserve">Use this space to note your institution’s details before submitting your enquiry:</w:t>
      </w:r>
    </w:p>
    <w:p>
      <w:pPr>
        <w:spacing w:before="0" w:after="80"/>
      </w:pPr>
      <w:r>
        <w:rPr>
          <w:rFonts w:ascii="Arial" w:cs="Arial" w:eastAsia="Arial" w:hAnsi="Arial"/>
          <w:color w:val="334E6E"/>
          <w:sz w:val="20"/>
          <w:szCs w:val="20"/>
        </w:rPr>
        <w:t xml:space="preserve"/>
      </w:r>
    </w:p>
    <w:p>
      <w:pPr>
        <w:pBdr>
          <w:bottom w:val="single" w:color="C5DDF9" w:sz="4" w:space="8"/>
        </w:pBdr>
        <w:spacing w:before="0" w:after="0"/>
      </w:pPr>
      <w:r>
        <w:rPr>
          <w:rFonts w:ascii="Arial" w:cs="Arial" w:eastAsia="Arial" w:hAnsi="Arial"/>
          <w:color w:val="334E6E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color w:val="334E6E"/>
          <w:sz w:val="20"/>
          <w:szCs w:val="20"/>
        </w:rPr>
        <w:t xml:space="preserve"/>
      </w:r>
    </w:p>
    <w:p>
      <w:pPr>
        <w:pBdr>
          <w:bottom w:val="single" w:color="C5DDF9" w:sz="4" w:space="8"/>
        </w:pBdr>
        <w:spacing w:before="0" w:after="0"/>
      </w:pPr>
      <w:r>
        <w:rPr>
          <w:rFonts w:ascii="Arial" w:cs="Arial" w:eastAsia="Arial" w:hAnsi="Arial"/>
          <w:color w:val="334E6E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color w:val="334E6E"/>
          <w:sz w:val="20"/>
          <w:szCs w:val="20"/>
        </w:rPr>
        <w:t xml:space="preserve"/>
      </w:r>
    </w:p>
    <w:p>
      <w:pPr>
        <w:pBdr>
          <w:bottom w:val="single" w:color="C5DDF9" w:sz="4" w:space="8"/>
        </w:pBdr>
        <w:spacing w:before="0" w:after="0"/>
      </w:pPr>
      <w:r>
        <w:rPr>
          <w:rFonts w:ascii="Arial" w:cs="Arial" w:eastAsia="Arial" w:hAnsi="Arial"/>
          <w:color w:val="334E6E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color w:val="334E6E"/>
          <w:sz w:val="20"/>
          <w:szCs w:val="20"/>
        </w:rPr>
        <w:t xml:space="preserve"/>
      </w:r>
    </w:p>
    <w:p>
      <w:pPr>
        <w:pBdr>
          <w:bottom w:val="single" w:color="C5DDF9" w:sz="4" w:space="8"/>
        </w:pBdr>
        <w:spacing w:before="0" w:after="0"/>
      </w:pPr>
      <w:r>
        <w:rPr>
          <w:rFonts w:ascii="Arial" w:cs="Arial" w:eastAsia="Arial" w:hAnsi="Arial"/>
          <w:color w:val="334E6E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color w:val="334E6E"/>
          <w:sz w:val="20"/>
          <w:szCs w:val="20"/>
        </w:rPr>
        <w:t xml:space="preserve"/>
      </w:r>
    </w:p>
    <w:p>
      <w:pPr>
        <w:pBdr>
          <w:bottom w:val="single" w:color="C5DDF9" w:sz="4" w:space="8"/>
        </w:pBdr>
        <w:spacing w:before="0" w:after="0"/>
      </w:pPr>
      <w:r>
        <w:rPr>
          <w:rFonts w:ascii="Arial" w:cs="Arial" w:eastAsia="Arial" w:hAnsi="Arial"/>
          <w:color w:val="334E6E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color w:val="334E6E"/>
          <w:sz w:val="20"/>
          <w:szCs w:val="20"/>
        </w:rPr>
        <w:t xml:space="preserve"/>
      </w:r>
    </w:p>
    <w:p>
      <w:pPr>
        <w:pBdr>
          <w:bottom w:val="single" w:color="C5DDF9" w:sz="4" w:space="8"/>
        </w:pBdr>
        <w:spacing w:before="0" w:after="0"/>
      </w:pPr>
      <w:r>
        <w:rPr>
          <w:rFonts w:ascii="Arial" w:cs="Arial" w:eastAsia="Arial" w:hAnsi="Arial"/>
          <w:color w:val="334E6E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color w:val="334E6E"/>
          <w:sz w:val="20"/>
          <w:szCs w:val="20"/>
        </w:rPr>
        <w:t xml:space="preserve"/>
      </w:r>
    </w:p>
    <w:p>
      <w:pPr>
        <w:pBdr>
          <w:bottom w:val="single" w:color="C5DDF9" w:sz="4" w:space="8"/>
        </w:pBdr>
        <w:spacing w:before="0" w:after="0"/>
      </w:pPr>
      <w:r>
        <w:rPr>
          <w:rFonts w:ascii="Arial" w:cs="Arial" w:eastAsia="Arial" w:hAnsi="Arial"/>
          <w:color w:val="334E6E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color w:val="334E6E"/>
          <w:sz w:val="20"/>
          <w:szCs w:val="20"/>
        </w:rPr>
        <w:t xml:space="preserve"/>
      </w:r>
    </w:p>
    <w:p>
      <w:pPr>
        <w:pBdr>
          <w:bottom w:val="single" w:color="C5DDF9" w:sz="4" w:space="8"/>
        </w:pBdr>
        <w:spacing w:before="0" w:after="0"/>
      </w:pPr>
      <w:r>
        <w:rPr>
          <w:rFonts w:ascii="Arial" w:cs="Arial" w:eastAsia="Arial" w:hAnsi="Arial"/>
          <w:color w:val="334E6E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color w:val="334E6E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4E6E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1E88E5" w:sz="20"/>
              <w:bottom w:val="none" w:color="auto" w:sz="0"/>
              <w:right w:val="none" w:color="auto" w:sz="0"/>
            </w:tcBorders>
            <w:shd w:fill="E8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6B84A0"/>
                <w:sz w:val="19"/>
                <w:szCs w:val="19"/>
              </w:rPr>
              <w:t xml:space="preserve">Pricing valid for 2025. Subject to formal engagement agreement. All figures in Uganda Shillings (UGX). Enterprise is custom-scoped; final pricing depends on confirmed requirements.</w:t>
            </w:r>
          </w:p>
        </w:tc>
      </w:tr>
    </w:tbl>
    <w:sectPr>
      <w:headerReference w:type="default" r:id="rId6"/>
      <w:footerReference w:type="default" r:id="rId7"/>
      <w:type w:val="nextPage"/>
      <w:pgSz w:w="11906" w:h="16838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DF9" w:sz="4" w:space="4"/>
      </w:pBdr>
      <w:tabs>
        <w:tab w:val="right" w:pos="9746"/>
      </w:tabs>
      <w:spacing w:before="80" w:after="0"/>
    </w:pPr>
    <w:r>
      <w:rPr>
        <w:rFonts w:ascii="Arial" w:cs="Arial" w:eastAsia="Arial" w:hAnsi="Arial"/>
        <w:color w:val="6B84A0"/>
        <w:sz w:val="16"/>
        <w:szCs w:val="16"/>
      </w:rPr>
      <w:t xml:space="preserve">Legitimo Tech Solutions · Mifos X / Apache Fineract · Confidential</w:t>
    </w:r>
    <w:r>
      <w:rPr>
        <w:rFonts w:ascii="Arial" w:cs="Arial" w:eastAsia="Arial" w:hAnsi="Arial"/>
        <w:color w:val="6B84A0"/>
        <w:sz w:val="16"/>
        <w:szCs w:val="16"/>
      </w:rPr>
      <w:t xml:space="preserve">	</w:t>
    </w:r>
    <w:r>
      <w:rPr>
        <w:rFonts w:ascii="Arial" w:cs="Arial" w:eastAsia="Arial" w:hAnsi="Arial"/>
        <w:color w:val="6B84A0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873"/>
      <w:gridCol w:w="4873"/>
    </w:tblGrid>
    <w:tr>
      <w:tc>
        <w:tcPr>
          <w:tcW w:type="dxa" w:w="4873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shd w:fill="0F2D5A" w:val="clear"/>
          <w:tcMar>
            <w:top w:type="dxa" w:w="90"/>
            <w:left w:type="dxa" w:w="140"/>
            <w:bottom w:type="dxa" w:w="90"/>
            <w:right w:type="dxa" w:w="0"/>
          </w:tcMar>
        </w:tcPr>
        <w:p>
          <w:pPr>
            <w:spacing w:before="0" w:after="0"/>
          </w:pPr>
          <w:r>
            <w:rPr>
              <w:rFonts w:ascii="Arial" w:cs="Arial" w:eastAsia="Arial" w:hAnsi="Arial"/>
              <w:b/>
              <w:bCs/>
              <w:color w:val="FFFFFF"/>
              <w:sz w:val="22"/>
              <w:szCs w:val="22"/>
            </w:rPr>
            <w:t xml:space="preserve">Legitimo</w:t>
          </w:r>
          <w:r>
            <w:rPr>
              <w:rFonts w:ascii="Arial" w:cs="Arial" w:eastAsia="Arial" w:hAnsi="Arial"/>
              <w:b/>
              <w:bCs/>
              <w:color w:val="E8C878"/>
              <w:sz w:val="22"/>
              <w:szCs w:val="22"/>
            </w:rPr>
            <w:t xml:space="preserve"> Tech Solutions</w:t>
          </w:r>
        </w:p>
      </w:tc>
      <w:tc>
        <w:tcPr>
          <w:tcW w:type="dxa" w:w="4873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shd w:fill="0F2D5A" w:val="clear"/>
          <w:tcMar>
            <w:top w:type="dxa" w:w="90"/>
            <w:left w:type="dxa" w:w="0"/>
            <w:bottom w:type="dxa" w:w="90"/>
            <w:right w:type="dxa" w:w="140"/>
          </w:tcMar>
        </w:tcPr>
        <w:p>
          <w:pPr>
            <w:spacing w:before="0" w:after="0"/>
            <w:jc w:val="right"/>
          </w:pPr>
          <w:r>
            <w:rPr>
              <w:rFonts w:ascii="Arial" w:cs="Arial" w:eastAsia="Arial" w:hAnsi="Arial"/>
              <w:color w:val="7AACDB"/>
              <w:spacing w:val="30"/>
              <w:sz w:val="16"/>
              <w:szCs w:val="16"/>
            </w:rPr>
            <w:t xml:space="preserve">MIFOS X  ·  PRICING 2025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640" w:hanging="320"/>
      </w:pPr>
      <w:rPr>
        <w:rFonts w:ascii="Arial" w:cs="Arial" w:eastAsia="Arial" w:hAnsi="Arial"/>
        <w:color w:val="1E88E5"/>
        <w:sz w:val="18"/>
        <w:szCs w:val="1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F2D5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0F2D5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itpyuogh7gj0yrujbzqzb" Type="http://schemas.openxmlformats.org/officeDocument/2006/relationships/hyperlink" Target="https://chrl3y.github.io/legitimo.mifosWebservice#contact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Legitimo Tech Solutions — Mifos X Pricing 2025</dc:title>
  <dc:creator>Legitimo Tech Solutions</dc:creator>
  <cp:lastModifiedBy>Un-named</cp:lastModifiedBy>
  <cp:revision>1</cp:revision>
  <dcterms:created xsi:type="dcterms:W3CDTF">2026-03-10T19:49:33.164Z</dcterms:created>
  <dcterms:modified xsi:type="dcterms:W3CDTF">2026-03-10T19:49:33.165Z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