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D8D2" w14:textId="77777777" w:rsidR="00960A84" w:rsidRPr="00960A84" w:rsidRDefault="00960A84" w:rsidP="00960A84">
      <w:pPr>
        <w:spacing w:after="75" w:line="240" w:lineRule="auto"/>
        <w:outlineLvl w:val="0"/>
        <w:rPr>
          <w:rFonts w:ascii="Arial" w:eastAsia="Times New Roman" w:hAnsi="Arial" w:cs="Arial"/>
          <w:color w:val="4A5E81"/>
          <w:kern w:val="36"/>
          <w:sz w:val="36"/>
          <w:szCs w:val="36"/>
          <w:lang w:eastAsia="fr-FR"/>
        </w:rPr>
      </w:pPr>
      <w:r w:rsidRPr="00960A84">
        <w:rPr>
          <w:rFonts w:ascii="Arial" w:eastAsia="Times New Roman" w:hAnsi="Arial" w:cs="Arial"/>
          <w:color w:val="4A5E81"/>
          <w:kern w:val="36"/>
          <w:sz w:val="36"/>
          <w:szCs w:val="36"/>
          <w:lang w:eastAsia="fr-FR"/>
        </w:rPr>
        <w:t>Décret n° 2011-54 du 13 janvier 2011 modifiant le décret n° 2009-285 du 12 mars 2009 relatif aux enquêteurs sociaux et à la tarification des enquêtes sociales en matière civile</w:t>
      </w:r>
    </w:p>
    <w:p w14:paraId="7B9DBD16" w14:textId="77777777" w:rsidR="00960A84" w:rsidRPr="00960A84" w:rsidRDefault="00960A84" w:rsidP="00960A84">
      <w:pPr>
        <w:spacing w:after="0" w:line="240" w:lineRule="auto"/>
        <w:rPr>
          <w:rFonts w:ascii="Arial" w:eastAsia="Times New Roman" w:hAnsi="Arial" w:cs="Arial"/>
          <w:i/>
          <w:iCs/>
          <w:color w:val="3C3C3C"/>
          <w:sz w:val="18"/>
          <w:szCs w:val="18"/>
          <w:lang w:eastAsia="fr-FR"/>
        </w:rPr>
      </w:pPr>
      <w:r w:rsidRPr="00960A84">
        <w:rPr>
          <w:rFonts w:ascii="Arial" w:eastAsia="Times New Roman" w:hAnsi="Arial" w:cs="Arial"/>
          <w:i/>
          <w:iCs/>
          <w:color w:val="3C3C3C"/>
          <w:sz w:val="18"/>
          <w:szCs w:val="18"/>
          <w:lang w:eastAsia="fr-FR"/>
        </w:rPr>
        <w:t>Dernière mise à jour des données de ce texte : 16 janvier 2011</w:t>
      </w:r>
    </w:p>
    <w:p w14:paraId="6D6BFC29" w14:textId="77777777" w:rsidR="00960A84" w:rsidRPr="00960A84" w:rsidRDefault="00960A84" w:rsidP="00960A84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NOR : JUSC1022271D</w:t>
      </w:r>
    </w:p>
    <w:p w14:paraId="62B5A4CF" w14:textId="77777777" w:rsidR="00960A84" w:rsidRPr="00960A84" w:rsidRDefault="00960A84" w:rsidP="00960A84">
      <w:pPr>
        <w:wordWrap w:val="0"/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hyperlink r:id="rId5" w:history="1">
        <w:r w:rsidRPr="00960A84">
          <w:rPr>
            <w:rFonts w:ascii="Arial" w:eastAsia="Times New Roman" w:hAnsi="Arial" w:cs="Arial"/>
            <w:color w:val="4A5E81"/>
            <w:sz w:val="24"/>
            <w:szCs w:val="24"/>
            <w:u w:val="single"/>
            <w:lang w:eastAsia="fr-FR"/>
          </w:rPr>
          <w:t>JORF n°0012 du 15 janvier 2011</w:t>
        </w:r>
      </w:hyperlink>
    </w:p>
    <w:p w14:paraId="6D807309" w14:textId="77777777" w:rsidR="00960A84" w:rsidRPr="00960A84" w:rsidRDefault="00960A84" w:rsidP="00960A84">
      <w:pPr>
        <w:numPr>
          <w:ilvl w:val="0"/>
          <w:numId w:val="1"/>
        </w:numPr>
        <w:spacing w:before="100" w:beforeAutospacing="1" w:after="100" w:afterAutospacing="1" w:line="240" w:lineRule="auto"/>
        <w:ind w:right="300"/>
        <w:rPr>
          <w:rFonts w:ascii="Arial" w:eastAsia="Times New Roman" w:hAnsi="Arial" w:cs="Arial"/>
          <w:color w:val="3C3C3C"/>
          <w:sz w:val="21"/>
          <w:szCs w:val="21"/>
          <w:lang w:eastAsia="fr-FR"/>
        </w:rPr>
      </w:pPr>
      <w:hyperlink r:id="rId6" w:history="1">
        <w:r w:rsidRPr="00960A84">
          <w:rPr>
            <w:rFonts w:ascii="Arial" w:eastAsia="Times New Roman" w:hAnsi="Arial" w:cs="Arial"/>
            <w:color w:val="5C75A2"/>
            <w:sz w:val="21"/>
            <w:szCs w:val="21"/>
            <w:u w:val="single"/>
            <w:lang w:eastAsia="fr-FR"/>
          </w:rPr>
          <w:t>Accéder à la version initiale</w:t>
        </w:r>
      </w:hyperlink>
    </w:p>
    <w:p w14:paraId="73CA184D" w14:textId="43F43AF1" w:rsidR="00960A84" w:rsidRPr="00960A84" w:rsidRDefault="00960A84" w:rsidP="00960A84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 xml:space="preserve">Recherche simple dans le </w:t>
      </w:r>
      <w:proofErr w:type="spellStart"/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codeRechercher</w:t>
      </w:r>
      <w:proofErr w:type="spellEnd"/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 xml:space="preserve"> dans le texte...</w:t>
      </w: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object w:dxaOrig="1440" w:dyaOrig="1440" w14:anchorId="39C67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5.2pt;height:18pt" o:ole="">
            <v:imagedata r:id="rId7" o:title=""/>
          </v:shape>
          <w:control r:id="rId8" w:name="DefaultOcxName" w:shapeid="_x0000_i1033"/>
        </w:object>
      </w:r>
    </w:p>
    <w:p w14:paraId="2B1341E0" w14:textId="32007414" w:rsidR="00960A84" w:rsidRPr="00960A84" w:rsidRDefault="00960A84" w:rsidP="00960A84">
      <w:pPr>
        <w:spacing w:after="0" w:line="240" w:lineRule="auto"/>
        <w:rPr>
          <w:rFonts w:ascii="Arial" w:eastAsia="Times New Roman" w:hAnsi="Arial" w:cs="Arial"/>
          <w:color w:val="3C3C3C"/>
          <w:sz w:val="18"/>
          <w:szCs w:val="18"/>
          <w:lang w:eastAsia="fr-FR"/>
        </w:rPr>
      </w:pPr>
      <w:r w:rsidRPr="00960A84">
        <w:rPr>
          <w:rFonts w:ascii="Arial" w:eastAsia="Times New Roman" w:hAnsi="Arial" w:cs="Arial"/>
          <w:color w:val="3C3C3C"/>
          <w:sz w:val="18"/>
          <w:szCs w:val="18"/>
          <w:lang w:eastAsia="fr-FR"/>
        </w:rPr>
        <w:object w:dxaOrig="1440" w:dyaOrig="1440" w14:anchorId="0CF6F026">
          <v:shape id="_x0000_i1032" type="#_x0000_t75" style="width:62.4pt;height:18pt" o:ole="">
            <v:imagedata r:id="rId9" o:title=""/>
          </v:shape>
          <w:control r:id="rId10" w:name="DefaultOcxName1" w:shapeid="_x0000_i1032"/>
        </w:object>
      </w:r>
    </w:p>
    <w:p w14:paraId="1CD30A9D" w14:textId="77777777" w:rsidR="00960A84" w:rsidRPr="00960A84" w:rsidRDefault="00960A84" w:rsidP="00960A84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 xml:space="preserve">Valider la </w:t>
      </w:r>
      <w:proofErr w:type="spellStart"/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recherche</w:t>
      </w:r>
      <w:hyperlink r:id="rId11" w:tooltip="Réinitialiser le contenu du champ de formulaire" w:history="1">
        <w:r w:rsidRPr="00960A84">
          <w:rPr>
            <w:rFonts w:ascii="Arial" w:eastAsia="Times New Roman" w:hAnsi="Arial" w:cs="Arial"/>
            <w:color w:val="5C5C5C"/>
            <w:sz w:val="21"/>
            <w:szCs w:val="21"/>
            <w:u w:val="single"/>
            <w:lang w:eastAsia="fr-FR"/>
          </w:rPr>
          <w:t>Réinitialiser</w:t>
        </w:r>
        <w:proofErr w:type="spellEnd"/>
      </w:hyperlink>
    </w:p>
    <w:p w14:paraId="674AF383" w14:textId="77777777" w:rsidR="00960A84" w:rsidRPr="00960A84" w:rsidRDefault="00960A84" w:rsidP="00960A84">
      <w:pPr>
        <w:shd w:val="clear" w:color="auto" w:fill="4A5E81"/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FFFFFF"/>
          <w:sz w:val="30"/>
          <w:szCs w:val="30"/>
          <w:lang w:eastAsia="fr-FR"/>
        </w:rPr>
      </w:pPr>
      <w:proofErr w:type="spellStart"/>
      <w:r w:rsidRPr="00960A84">
        <w:rPr>
          <w:rFonts w:ascii="Arial" w:eastAsia="Times New Roman" w:hAnsi="Arial" w:cs="Arial"/>
          <w:b/>
          <w:bCs/>
          <w:color w:val="FFFFFF"/>
          <w:sz w:val="30"/>
          <w:szCs w:val="30"/>
          <w:lang w:eastAsia="fr-FR"/>
        </w:rPr>
        <w:t>ChronoLégi</w:t>
      </w:r>
      <w:proofErr w:type="spellEnd"/>
    </w:p>
    <w:p w14:paraId="416CD78F" w14:textId="77777777" w:rsidR="00960A84" w:rsidRPr="00960A84" w:rsidRDefault="00960A84" w:rsidP="00960A84">
      <w:pPr>
        <w:shd w:val="clear" w:color="auto" w:fill="5C75A2"/>
        <w:spacing w:after="0" w:line="240" w:lineRule="auto"/>
        <w:textAlignment w:val="top"/>
        <w:rPr>
          <w:rFonts w:ascii="Arial" w:eastAsia="Times New Roman" w:hAnsi="Arial" w:cs="Arial"/>
          <w:color w:val="FFFFFF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FFFFFF"/>
          <w:sz w:val="24"/>
          <w:szCs w:val="24"/>
          <w:lang w:eastAsia="fr-FR"/>
        </w:rPr>
        <w:t>Version à la date(format JJ/MM/AAAA)d'aujourd'hui</w:t>
      </w:r>
    </w:p>
    <w:p w14:paraId="0796632B" w14:textId="77777777" w:rsidR="00960A84" w:rsidRPr="00960A84" w:rsidRDefault="00960A84" w:rsidP="00960A84">
      <w:pPr>
        <w:shd w:val="clear" w:color="auto" w:fill="5C75A2"/>
        <w:spacing w:after="0" w:line="240" w:lineRule="auto"/>
        <w:textAlignment w:val="top"/>
        <w:rPr>
          <w:rFonts w:ascii="Arial" w:eastAsia="Times New Roman" w:hAnsi="Arial" w:cs="Arial"/>
          <w:color w:val="FFFFFF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FFFFFF"/>
          <w:sz w:val="24"/>
          <w:szCs w:val="24"/>
          <w:lang w:eastAsia="fr-FR"/>
        </w:rPr>
        <w:t>ou du</w:t>
      </w:r>
    </w:p>
    <w:p w14:paraId="2F671069" w14:textId="48DAD0A8" w:rsidR="00960A84" w:rsidRPr="00960A84" w:rsidRDefault="00960A84" w:rsidP="00960A84">
      <w:pPr>
        <w:shd w:val="clear" w:color="auto" w:fill="5C75A2"/>
        <w:spacing w:after="0" w:line="240" w:lineRule="auto"/>
        <w:textAlignment w:val="bottom"/>
        <w:rPr>
          <w:rFonts w:ascii="Arial" w:eastAsia="Times New Roman" w:hAnsi="Arial" w:cs="Arial"/>
          <w:color w:val="FFFFFF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FFFFFF"/>
          <w:sz w:val="24"/>
          <w:szCs w:val="24"/>
          <w:lang w:eastAsia="fr-FR"/>
        </w:rPr>
        <w:object w:dxaOrig="1440" w:dyaOrig="1440" w14:anchorId="7867979A">
          <v:shape id="_x0000_i1031" type="#_x0000_t75" style="width:55.2pt;height:18pt" o:ole="">
            <v:imagedata r:id="rId12" o:title=""/>
          </v:shape>
          <w:control r:id="rId13" w:name="DefaultOcxName2" w:shapeid="_x0000_i1031"/>
        </w:object>
      </w:r>
    </w:p>
    <w:p w14:paraId="1FED50EE" w14:textId="77777777" w:rsidR="00960A84" w:rsidRPr="00960A84" w:rsidRDefault="00960A84" w:rsidP="00960A84">
      <w:pPr>
        <w:shd w:val="clear" w:color="auto" w:fill="5C75A2"/>
        <w:spacing w:after="0" w:line="240" w:lineRule="auto"/>
        <w:textAlignment w:val="top"/>
        <w:rPr>
          <w:rFonts w:ascii="Arial" w:eastAsia="Times New Roman" w:hAnsi="Arial" w:cs="Arial"/>
          <w:color w:val="FFFFFF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FFFFFF"/>
          <w:sz w:val="24"/>
          <w:szCs w:val="24"/>
          <w:lang w:eastAsia="fr-FR"/>
        </w:rPr>
        <w:t xml:space="preserve">valider la recherche à la </w:t>
      </w:r>
      <w:proofErr w:type="spellStart"/>
      <w:r w:rsidRPr="00960A84">
        <w:rPr>
          <w:rFonts w:ascii="Arial" w:eastAsia="Times New Roman" w:hAnsi="Arial" w:cs="Arial"/>
          <w:color w:val="FFFFFF"/>
          <w:sz w:val="24"/>
          <w:szCs w:val="24"/>
          <w:lang w:eastAsia="fr-FR"/>
        </w:rPr>
        <w:t>dateVoir</w:t>
      </w:r>
      <w:proofErr w:type="spellEnd"/>
      <w:r w:rsidRPr="00960A84">
        <w:rPr>
          <w:rFonts w:ascii="Arial" w:eastAsia="Times New Roman" w:hAnsi="Arial" w:cs="Arial"/>
          <w:color w:val="FFFFFF"/>
          <w:sz w:val="24"/>
          <w:szCs w:val="24"/>
          <w:lang w:eastAsia="fr-FR"/>
        </w:rPr>
        <w:t xml:space="preserve"> les modifications dans le temps</w:t>
      </w:r>
    </w:p>
    <w:p w14:paraId="6E468A8F" w14:textId="77777777" w:rsidR="00960A84" w:rsidRPr="00960A84" w:rsidRDefault="00960A84" w:rsidP="00960A84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b/>
          <w:bCs/>
          <w:color w:val="4A5E81"/>
          <w:sz w:val="27"/>
          <w:szCs w:val="27"/>
          <w:lang w:eastAsia="fr-FR"/>
        </w:rPr>
      </w:pPr>
      <w:r w:rsidRPr="00960A84">
        <w:rPr>
          <w:rFonts w:ascii="Arial" w:eastAsia="Times New Roman" w:hAnsi="Arial" w:cs="Arial"/>
          <w:b/>
          <w:bCs/>
          <w:color w:val="4A5E81"/>
          <w:sz w:val="27"/>
          <w:szCs w:val="27"/>
          <w:lang w:eastAsia="fr-FR"/>
        </w:rPr>
        <w:t>Version en vigueur au 02 août 2021</w:t>
      </w:r>
    </w:p>
    <w:p w14:paraId="233E7075" w14:textId="77777777" w:rsidR="00960A84" w:rsidRPr="00960A84" w:rsidRDefault="00960A84" w:rsidP="00960A84">
      <w:pPr>
        <w:spacing w:after="240" w:line="240" w:lineRule="auto"/>
        <w:rPr>
          <w:rFonts w:ascii="Arial" w:eastAsia="Times New Roman" w:hAnsi="Arial" w:cs="Arial"/>
          <w:color w:val="3C3C3C"/>
          <w:sz w:val="21"/>
          <w:szCs w:val="21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t>Le Premier ministre,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Sur le rapport du garde des sceaux, ministre de la justice et des libertés,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Vu le </w:t>
      </w:r>
      <w:hyperlink r:id="rId14" w:tooltip="Code civil (V)" w:history="1">
        <w:r w:rsidRPr="00960A84">
          <w:rPr>
            <w:rFonts w:ascii="Arial" w:eastAsia="Times New Roman" w:hAnsi="Arial" w:cs="Arial"/>
            <w:color w:val="4A5E81"/>
            <w:sz w:val="21"/>
            <w:szCs w:val="21"/>
            <w:u w:val="single"/>
            <w:lang w:eastAsia="fr-FR"/>
          </w:rPr>
          <w:t>code civil</w:t>
        </w:r>
      </w:hyperlink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t>, notamment son article 373-2-12 ;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Vu le code de procédure civile, notamment ses articles 1072, 1171 et 1221 ;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Vu le </w:t>
      </w:r>
      <w:hyperlink r:id="rId15" w:tooltip="Code de procédure pénale (V)" w:history="1">
        <w:r w:rsidRPr="00960A84">
          <w:rPr>
            <w:rFonts w:ascii="Arial" w:eastAsia="Times New Roman" w:hAnsi="Arial" w:cs="Arial"/>
            <w:color w:val="4A5E81"/>
            <w:sz w:val="21"/>
            <w:szCs w:val="21"/>
            <w:u w:val="single"/>
            <w:lang w:eastAsia="fr-FR"/>
          </w:rPr>
          <w:t>code de procédure pénale</w:t>
        </w:r>
      </w:hyperlink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t>, notamment ses articles 800 et R. 93 ;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Vu le </w:t>
      </w:r>
      <w:hyperlink r:id="rId16" w:tooltip="Décret n°2009-285  du 12 mars 2009 (V)" w:history="1">
        <w:r w:rsidRPr="00960A84">
          <w:rPr>
            <w:rFonts w:ascii="Arial" w:eastAsia="Times New Roman" w:hAnsi="Arial" w:cs="Arial"/>
            <w:color w:val="4A5E81"/>
            <w:sz w:val="21"/>
            <w:szCs w:val="21"/>
            <w:u w:val="single"/>
            <w:lang w:eastAsia="fr-FR"/>
          </w:rPr>
          <w:t>décret n° 2009-285 du 12 mars 2009</w:t>
        </w:r>
      </w:hyperlink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t> relatif aux enquêteurs sociaux et à la tarification des enquêtes sociales en matière civile ;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Le Conseil d'Etat (section de l'intérieur) entendu,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Décrète :</w:t>
      </w:r>
    </w:p>
    <w:p w14:paraId="2D6D108C" w14:textId="77777777" w:rsidR="00960A84" w:rsidRPr="00960A84" w:rsidRDefault="00960A84" w:rsidP="00960A84">
      <w:pPr>
        <w:numPr>
          <w:ilvl w:val="0"/>
          <w:numId w:val="2"/>
        </w:numPr>
        <w:spacing w:after="120" w:line="240" w:lineRule="auto"/>
        <w:outlineLvl w:val="3"/>
        <w:rPr>
          <w:rFonts w:ascii="Arial" w:eastAsia="Times New Roman" w:hAnsi="Arial" w:cs="Arial"/>
          <w:b/>
          <w:bCs/>
          <w:color w:val="4A5E81"/>
          <w:sz w:val="24"/>
          <w:szCs w:val="24"/>
          <w:lang w:eastAsia="fr-FR"/>
        </w:rPr>
      </w:pPr>
      <w:hyperlink r:id="rId17" w:history="1">
        <w:r w:rsidRPr="00960A84">
          <w:rPr>
            <w:rFonts w:ascii="Arial" w:eastAsia="Times New Roman" w:hAnsi="Arial" w:cs="Arial"/>
            <w:b/>
            <w:bCs/>
            <w:color w:val="4A5E81"/>
            <w:sz w:val="24"/>
            <w:szCs w:val="24"/>
            <w:u w:val="single"/>
            <w:lang w:eastAsia="fr-FR"/>
          </w:rPr>
          <w:t>Article 1</w:t>
        </w:r>
      </w:hyperlink>
    </w:p>
    <w:p w14:paraId="4C208EBE" w14:textId="77777777" w:rsidR="00960A84" w:rsidRPr="00960A84" w:rsidRDefault="00960A84" w:rsidP="00960A84">
      <w:pPr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A modifié les dispositions suivantes</w:t>
      </w: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br/>
      </w:r>
    </w:p>
    <w:p w14:paraId="1810FE98" w14:textId="77777777" w:rsidR="00960A84" w:rsidRPr="00960A84" w:rsidRDefault="00960A84" w:rsidP="00960A84">
      <w:pPr>
        <w:numPr>
          <w:ilvl w:val="1"/>
          <w:numId w:val="2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Modifie </w:t>
      </w:r>
      <w:hyperlink r:id="rId18" w:history="1">
        <w:r w:rsidRPr="00960A84">
          <w:rPr>
            <w:rFonts w:ascii="Arial" w:eastAsia="Times New Roman" w:hAnsi="Arial" w:cs="Arial"/>
            <w:color w:val="4A5E81"/>
            <w:sz w:val="24"/>
            <w:szCs w:val="24"/>
            <w:u w:val="single"/>
            <w:lang w:eastAsia="fr-FR"/>
          </w:rPr>
          <w:t>Décret n°2009-285 du 12 mars 2009 - art. 1 (V)</w:t>
        </w:r>
      </w:hyperlink>
    </w:p>
    <w:p w14:paraId="5F03D273" w14:textId="77777777" w:rsidR="00960A84" w:rsidRPr="00960A84" w:rsidRDefault="00960A84" w:rsidP="00960A84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Versions</w:t>
      </w:r>
    </w:p>
    <w:p w14:paraId="30AD7FB0" w14:textId="77777777" w:rsidR="00960A84" w:rsidRPr="00960A84" w:rsidRDefault="00960A84" w:rsidP="00960A84">
      <w:pPr>
        <w:numPr>
          <w:ilvl w:val="0"/>
          <w:numId w:val="2"/>
        </w:numPr>
        <w:spacing w:after="120" w:line="240" w:lineRule="auto"/>
        <w:outlineLvl w:val="3"/>
        <w:rPr>
          <w:rFonts w:ascii="Arial" w:eastAsia="Times New Roman" w:hAnsi="Arial" w:cs="Arial"/>
          <w:b/>
          <w:bCs/>
          <w:color w:val="4A5E81"/>
          <w:sz w:val="24"/>
          <w:szCs w:val="24"/>
          <w:lang w:eastAsia="fr-FR"/>
        </w:rPr>
      </w:pPr>
      <w:hyperlink r:id="rId19" w:history="1">
        <w:r w:rsidRPr="00960A84">
          <w:rPr>
            <w:rFonts w:ascii="Arial" w:eastAsia="Times New Roman" w:hAnsi="Arial" w:cs="Arial"/>
            <w:b/>
            <w:bCs/>
            <w:color w:val="4A5E81"/>
            <w:sz w:val="24"/>
            <w:szCs w:val="24"/>
            <w:u w:val="single"/>
            <w:lang w:eastAsia="fr-FR"/>
          </w:rPr>
          <w:t>Article 2</w:t>
        </w:r>
      </w:hyperlink>
    </w:p>
    <w:p w14:paraId="0B084AB9" w14:textId="77777777" w:rsidR="00960A84" w:rsidRPr="00960A84" w:rsidRDefault="00960A84" w:rsidP="00960A84">
      <w:pPr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A modifié les dispositions suivantes</w:t>
      </w: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br/>
      </w:r>
    </w:p>
    <w:p w14:paraId="58274F22" w14:textId="77777777" w:rsidR="00960A84" w:rsidRPr="00960A84" w:rsidRDefault="00960A84" w:rsidP="00960A84">
      <w:pPr>
        <w:numPr>
          <w:ilvl w:val="1"/>
          <w:numId w:val="2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Modifie </w:t>
      </w:r>
      <w:hyperlink r:id="rId20" w:history="1">
        <w:r w:rsidRPr="00960A84">
          <w:rPr>
            <w:rFonts w:ascii="Arial" w:eastAsia="Times New Roman" w:hAnsi="Arial" w:cs="Arial"/>
            <w:color w:val="4A5E81"/>
            <w:sz w:val="24"/>
            <w:szCs w:val="24"/>
            <w:u w:val="single"/>
            <w:lang w:eastAsia="fr-FR"/>
          </w:rPr>
          <w:t>Décret n°2009-285 du 12 mars 2009 - art. 12 (V)</w:t>
        </w:r>
      </w:hyperlink>
    </w:p>
    <w:p w14:paraId="7713A078" w14:textId="77777777" w:rsidR="00960A84" w:rsidRPr="00960A84" w:rsidRDefault="00960A84" w:rsidP="00960A84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proofErr w:type="spellStart"/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VersionsLiens</w:t>
      </w:r>
      <w:proofErr w:type="spellEnd"/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 xml:space="preserve"> relatifs</w:t>
      </w:r>
    </w:p>
    <w:p w14:paraId="4700029F" w14:textId="77777777" w:rsidR="00960A84" w:rsidRPr="00960A84" w:rsidRDefault="00960A84" w:rsidP="00960A84">
      <w:pPr>
        <w:numPr>
          <w:ilvl w:val="0"/>
          <w:numId w:val="2"/>
        </w:numPr>
        <w:spacing w:after="120" w:line="240" w:lineRule="auto"/>
        <w:outlineLvl w:val="3"/>
        <w:rPr>
          <w:rFonts w:ascii="Arial" w:eastAsia="Times New Roman" w:hAnsi="Arial" w:cs="Arial"/>
          <w:b/>
          <w:bCs/>
          <w:color w:val="4A5E81"/>
          <w:sz w:val="24"/>
          <w:szCs w:val="24"/>
          <w:lang w:eastAsia="fr-FR"/>
        </w:rPr>
      </w:pPr>
      <w:hyperlink r:id="rId21" w:history="1">
        <w:r w:rsidRPr="00960A84">
          <w:rPr>
            <w:rFonts w:ascii="Arial" w:eastAsia="Times New Roman" w:hAnsi="Arial" w:cs="Arial"/>
            <w:b/>
            <w:bCs/>
            <w:color w:val="4A5E81"/>
            <w:sz w:val="24"/>
            <w:szCs w:val="24"/>
            <w:u w:val="single"/>
            <w:lang w:eastAsia="fr-FR"/>
          </w:rPr>
          <w:t>Article 3</w:t>
        </w:r>
      </w:hyperlink>
    </w:p>
    <w:p w14:paraId="66715E4F" w14:textId="77777777" w:rsidR="00960A84" w:rsidRPr="00960A84" w:rsidRDefault="00960A84" w:rsidP="00960A84">
      <w:pPr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lastRenderedPageBreak/>
        <w:t>A modifié les dispositions suivantes</w:t>
      </w: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br/>
      </w:r>
    </w:p>
    <w:p w14:paraId="263BE0A8" w14:textId="77777777" w:rsidR="00960A84" w:rsidRPr="00960A84" w:rsidRDefault="00960A84" w:rsidP="00960A84">
      <w:pPr>
        <w:numPr>
          <w:ilvl w:val="1"/>
          <w:numId w:val="2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Modifie </w:t>
      </w:r>
      <w:hyperlink r:id="rId22" w:history="1">
        <w:r w:rsidRPr="00960A84">
          <w:rPr>
            <w:rFonts w:ascii="Arial" w:eastAsia="Times New Roman" w:hAnsi="Arial" w:cs="Arial"/>
            <w:color w:val="4A5E81"/>
            <w:sz w:val="24"/>
            <w:szCs w:val="24"/>
            <w:u w:val="single"/>
            <w:lang w:eastAsia="fr-FR"/>
          </w:rPr>
          <w:t>Code de procédure civile - art. 695 (V)</w:t>
        </w:r>
      </w:hyperlink>
    </w:p>
    <w:p w14:paraId="62264C58" w14:textId="77777777" w:rsidR="00960A84" w:rsidRPr="00960A84" w:rsidRDefault="00960A84" w:rsidP="00960A84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Versions</w:t>
      </w:r>
    </w:p>
    <w:p w14:paraId="724BB876" w14:textId="77777777" w:rsidR="00960A84" w:rsidRPr="00960A84" w:rsidRDefault="00960A84" w:rsidP="00960A84">
      <w:pPr>
        <w:numPr>
          <w:ilvl w:val="0"/>
          <w:numId w:val="2"/>
        </w:numPr>
        <w:spacing w:after="120" w:line="240" w:lineRule="auto"/>
        <w:outlineLvl w:val="3"/>
        <w:rPr>
          <w:rFonts w:ascii="Arial" w:eastAsia="Times New Roman" w:hAnsi="Arial" w:cs="Arial"/>
          <w:b/>
          <w:bCs/>
          <w:color w:val="4A5E81"/>
          <w:sz w:val="24"/>
          <w:szCs w:val="24"/>
          <w:lang w:eastAsia="fr-FR"/>
        </w:rPr>
      </w:pPr>
      <w:hyperlink r:id="rId23" w:history="1">
        <w:r w:rsidRPr="00960A84">
          <w:rPr>
            <w:rFonts w:ascii="Arial" w:eastAsia="Times New Roman" w:hAnsi="Arial" w:cs="Arial"/>
            <w:b/>
            <w:bCs/>
            <w:color w:val="4A5E81"/>
            <w:sz w:val="24"/>
            <w:szCs w:val="24"/>
            <w:u w:val="single"/>
            <w:lang w:eastAsia="fr-FR"/>
          </w:rPr>
          <w:t>Article 4</w:t>
        </w:r>
      </w:hyperlink>
    </w:p>
    <w:p w14:paraId="5DF087AB" w14:textId="77777777" w:rsidR="00960A84" w:rsidRPr="00960A84" w:rsidRDefault="00960A84" w:rsidP="00960A84">
      <w:pPr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A modifié les dispositions suivantes</w:t>
      </w: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br/>
      </w:r>
    </w:p>
    <w:p w14:paraId="6F918E40" w14:textId="77777777" w:rsidR="00960A84" w:rsidRPr="00960A84" w:rsidRDefault="00960A84" w:rsidP="00960A84">
      <w:pPr>
        <w:numPr>
          <w:ilvl w:val="1"/>
          <w:numId w:val="2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Modifie </w:t>
      </w:r>
      <w:hyperlink r:id="rId24" w:history="1">
        <w:r w:rsidRPr="00960A84">
          <w:rPr>
            <w:rFonts w:ascii="Arial" w:eastAsia="Times New Roman" w:hAnsi="Arial" w:cs="Arial"/>
            <w:color w:val="4A5E81"/>
            <w:sz w:val="24"/>
            <w:szCs w:val="24"/>
            <w:u w:val="single"/>
            <w:lang w:eastAsia="fr-FR"/>
          </w:rPr>
          <w:t>Code de procédure pénale - art. R93 (V)</w:t>
        </w:r>
      </w:hyperlink>
    </w:p>
    <w:p w14:paraId="3E0B1301" w14:textId="77777777" w:rsidR="00960A84" w:rsidRPr="00960A84" w:rsidRDefault="00960A84" w:rsidP="00960A84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Versions</w:t>
      </w:r>
    </w:p>
    <w:p w14:paraId="49E4DA9D" w14:textId="77777777" w:rsidR="00960A84" w:rsidRPr="00960A84" w:rsidRDefault="00960A84" w:rsidP="00960A84">
      <w:pPr>
        <w:numPr>
          <w:ilvl w:val="0"/>
          <w:numId w:val="2"/>
        </w:numPr>
        <w:spacing w:after="120" w:line="240" w:lineRule="auto"/>
        <w:outlineLvl w:val="3"/>
        <w:rPr>
          <w:rFonts w:ascii="Arial" w:eastAsia="Times New Roman" w:hAnsi="Arial" w:cs="Arial"/>
          <w:b/>
          <w:bCs/>
          <w:color w:val="4A5E81"/>
          <w:sz w:val="24"/>
          <w:szCs w:val="24"/>
          <w:lang w:eastAsia="fr-FR"/>
        </w:rPr>
      </w:pPr>
      <w:hyperlink r:id="rId25" w:history="1">
        <w:r w:rsidRPr="00960A84">
          <w:rPr>
            <w:rFonts w:ascii="Arial" w:eastAsia="Times New Roman" w:hAnsi="Arial" w:cs="Arial"/>
            <w:b/>
            <w:bCs/>
            <w:color w:val="4A5E81"/>
            <w:sz w:val="24"/>
            <w:szCs w:val="24"/>
            <w:u w:val="single"/>
            <w:lang w:eastAsia="fr-FR"/>
          </w:rPr>
          <w:t>Article 5</w:t>
        </w:r>
      </w:hyperlink>
    </w:p>
    <w:p w14:paraId="6BA39D49" w14:textId="77777777" w:rsidR="00960A84" w:rsidRPr="00960A84" w:rsidRDefault="00960A84" w:rsidP="00960A84">
      <w:pPr>
        <w:spacing w:after="240" w:line="240" w:lineRule="auto"/>
        <w:ind w:left="720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br/>
        <w:t>Le garde des sceaux, ministre de la justice et des libertés, et le ministre du budget, des comptes publics, de la fonction publique et de la réforme de l'Etat, porte-parole du Gouvernement, sont chargés, chacun en ce qui le concerne, de l'exécution du présent décret, qui sera publié au Journal officiel de la République française.</w:t>
      </w:r>
    </w:p>
    <w:p w14:paraId="7ED5FB11" w14:textId="77777777" w:rsidR="00960A84" w:rsidRPr="00960A84" w:rsidRDefault="00960A84" w:rsidP="00960A84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C3C3C"/>
          <w:sz w:val="24"/>
          <w:szCs w:val="24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4"/>
          <w:szCs w:val="24"/>
          <w:lang w:eastAsia="fr-FR"/>
        </w:rPr>
        <w:t>Versions</w:t>
      </w:r>
    </w:p>
    <w:p w14:paraId="720DBDA0" w14:textId="77777777" w:rsidR="00960A84" w:rsidRPr="00960A84" w:rsidRDefault="00960A84" w:rsidP="00960A84">
      <w:pPr>
        <w:spacing w:after="240" w:line="240" w:lineRule="auto"/>
        <w:rPr>
          <w:rFonts w:ascii="Arial" w:eastAsia="Times New Roman" w:hAnsi="Arial" w:cs="Arial"/>
          <w:color w:val="3C3C3C"/>
          <w:sz w:val="21"/>
          <w:szCs w:val="21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Fait à Paris, le 13 janvier 2011.</w:t>
      </w:r>
    </w:p>
    <w:p w14:paraId="1430861C" w14:textId="77777777" w:rsidR="00960A84" w:rsidRPr="00960A84" w:rsidRDefault="00960A84" w:rsidP="00960A84">
      <w:pPr>
        <w:spacing w:after="240" w:line="240" w:lineRule="auto"/>
        <w:jc w:val="center"/>
        <w:rPr>
          <w:rFonts w:ascii="Arial" w:eastAsia="Times New Roman" w:hAnsi="Arial" w:cs="Arial"/>
          <w:color w:val="3C3C3C"/>
          <w:sz w:val="21"/>
          <w:szCs w:val="21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François Fillon</w:t>
      </w:r>
    </w:p>
    <w:p w14:paraId="249591B4" w14:textId="77777777" w:rsidR="00960A84" w:rsidRPr="00960A84" w:rsidRDefault="00960A84" w:rsidP="00960A84">
      <w:pPr>
        <w:spacing w:after="240" w:line="240" w:lineRule="auto"/>
        <w:rPr>
          <w:rFonts w:ascii="Arial" w:eastAsia="Times New Roman" w:hAnsi="Arial" w:cs="Arial"/>
          <w:color w:val="3C3C3C"/>
          <w:sz w:val="21"/>
          <w:szCs w:val="21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Par le Premier ministre :</w:t>
      </w:r>
    </w:p>
    <w:p w14:paraId="19035C57" w14:textId="77777777" w:rsidR="00960A84" w:rsidRPr="00960A84" w:rsidRDefault="00960A84" w:rsidP="00960A84">
      <w:pPr>
        <w:spacing w:after="240" w:line="240" w:lineRule="auto"/>
        <w:jc w:val="center"/>
        <w:rPr>
          <w:rFonts w:ascii="Arial" w:eastAsia="Times New Roman" w:hAnsi="Arial" w:cs="Arial"/>
          <w:color w:val="3C3C3C"/>
          <w:sz w:val="21"/>
          <w:szCs w:val="21"/>
          <w:lang w:eastAsia="fr-FR"/>
        </w:rPr>
      </w:pP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Le garde des sceaux,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ministre de la justice et des libertés,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Michel Mercier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Le ministre du budget, des comptes publics,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de la fonction publique et de la réforme de l'Etat,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porte-parole du Gouvernement,</w:t>
      </w:r>
      <w:r w:rsidRPr="00960A84">
        <w:rPr>
          <w:rFonts w:ascii="Arial" w:eastAsia="Times New Roman" w:hAnsi="Arial" w:cs="Arial"/>
          <w:color w:val="3C3C3C"/>
          <w:sz w:val="21"/>
          <w:szCs w:val="21"/>
          <w:lang w:eastAsia="fr-FR"/>
        </w:rPr>
        <w:br/>
        <w:t>François Baroin</w:t>
      </w:r>
    </w:p>
    <w:p w14:paraId="38FDD548" w14:textId="77777777" w:rsidR="00992A8B" w:rsidRDefault="00992A8B"/>
    <w:sectPr w:rsidR="00992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1B1D"/>
    <w:multiLevelType w:val="multilevel"/>
    <w:tmpl w:val="AD36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1551B"/>
    <w:multiLevelType w:val="multilevel"/>
    <w:tmpl w:val="8692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84"/>
    <w:rsid w:val="00960A84"/>
    <w:rsid w:val="0099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A19D"/>
  <w15:chartTrackingRefBased/>
  <w15:docId w15:val="{64E0EF0C-F7FB-4626-8205-19A99940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18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798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3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5159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626767">
          <w:marLeft w:val="0"/>
          <w:marRight w:val="0"/>
          <w:marTop w:val="0"/>
          <w:marBottom w:val="0"/>
          <w:divBdr>
            <w:top w:val="single" w:sz="6" w:space="11" w:color="DBDBDB"/>
            <w:left w:val="none" w:sz="0" w:space="0" w:color="auto"/>
            <w:bottom w:val="single" w:sz="6" w:space="11" w:color="DBDBDB"/>
            <w:right w:val="none" w:sz="0" w:space="0" w:color="auto"/>
          </w:divBdr>
        </w:div>
        <w:div w:id="1908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583">
              <w:marLeft w:val="0"/>
              <w:marRight w:val="0"/>
              <w:marTop w:val="0"/>
              <w:marBottom w:val="0"/>
              <w:divBdr>
                <w:top w:val="single" w:sz="6" w:space="11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602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4549">
              <w:marLeft w:val="0"/>
              <w:marRight w:val="0"/>
              <w:marTop w:val="0"/>
              <w:marBottom w:val="0"/>
              <w:divBdr>
                <w:top w:val="single" w:sz="6" w:space="11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60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807218">
              <w:marLeft w:val="0"/>
              <w:marRight w:val="0"/>
              <w:marTop w:val="0"/>
              <w:marBottom w:val="0"/>
              <w:divBdr>
                <w:top w:val="single" w:sz="6" w:space="11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15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663810">
              <w:marLeft w:val="0"/>
              <w:marRight w:val="0"/>
              <w:marTop w:val="0"/>
              <w:marBottom w:val="0"/>
              <w:divBdr>
                <w:top w:val="single" w:sz="6" w:space="11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29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36305">
              <w:marLeft w:val="0"/>
              <w:marRight w:val="0"/>
              <w:marTop w:val="0"/>
              <w:marBottom w:val="0"/>
              <w:divBdr>
                <w:top w:val="single" w:sz="6" w:space="11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43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hyperlink" Target="https://www.legifrance.gouv.fr/loda/id/LEGIARTI000023442020/2011-01-16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legifrance.gouv.fr/loda/article_lc/LEGIARTI000023429961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hyperlink" Target="https://www.legifrance.gouv.fr/loda/article_lc/LEGIARTI000023429959" TargetMode="External"/><Relationship Id="rId25" Type="http://schemas.openxmlformats.org/officeDocument/2006/relationships/hyperlink" Target="https://www.legifrance.gouv.fr/loda/article_lc/LEGIARTI0000234299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gifrance.gouv.fr/affichTexte.do?cidTexte=JORFTEXT000020380539&amp;categorieLien=cid" TargetMode="External"/><Relationship Id="rId20" Type="http://schemas.openxmlformats.org/officeDocument/2006/relationships/hyperlink" Target="https://www.legifrance.gouv.fr/loda/id/LEGIARTI000023442025/2011-01-1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gifrance.gouv.fr/jorf/id/JORFTEXT000023428064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s://www.legifrance.gouv.fr/codes/id/LEGIARTI000023442043/2011-01-16" TargetMode="External"/><Relationship Id="rId5" Type="http://schemas.openxmlformats.org/officeDocument/2006/relationships/hyperlink" Target="https://www.legifrance.gouv.fr/jorf/jo/2011/01/15/0012" TargetMode="External"/><Relationship Id="rId15" Type="http://schemas.openxmlformats.org/officeDocument/2006/relationships/hyperlink" Target="https://www.legifrance.gouv.fr/affichCode.do?cidTexte=LEGITEXT000006071154&amp;dateTexte=29990101&amp;categorieLien=cid" TargetMode="External"/><Relationship Id="rId23" Type="http://schemas.openxmlformats.org/officeDocument/2006/relationships/hyperlink" Target="https://www.legifrance.gouv.fr/loda/article_lc/LEGIARTI000023429953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s://www.legifrance.gouv.fr/loda/article_lc/LEGIARTI00002342995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s://www.legifrance.gouv.fr/affichCode.do?cidTexte=LEGITEXT000006070721&amp;dateTexte=29990101&amp;categorieLien=cid" TargetMode="External"/><Relationship Id="rId22" Type="http://schemas.openxmlformats.org/officeDocument/2006/relationships/hyperlink" Target="https://www.legifrance.gouv.fr/codes/id/LEGIARTI000023442037/2011-01-16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Quemin</dc:creator>
  <cp:keywords/>
  <dc:description/>
  <cp:lastModifiedBy>virginie Quemin</cp:lastModifiedBy>
  <cp:revision>1</cp:revision>
  <dcterms:created xsi:type="dcterms:W3CDTF">2021-08-02T07:44:00Z</dcterms:created>
  <dcterms:modified xsi:type="dcterms:W3CDTF">2021-08-02T07:45:00Z</dcterms:modified>
</cp:coreProperties>
</file>