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9ABE9" w14:textId="4AA85F3B" w:rsidR="00B35B7C" w:rsidRDefault="00B35B7C" w:rsidP="00203000">
      <w:pPr>
        <w:pStyle w:val="Title"/>
      </w:pPr>
      <w:r>
        <w:t xml:space="preserve">Protocol for systematic review, meta-analysis and meta-regression of differential vaccine efficacy across high income, </w:t>
      </w:r>
      <w:r w:rsidR="00331C83">
        <w:t>lower-middle income and low-income settings</w:t>
      </w:r>
    </w:p>
    <w:p w14:paraId="385A4056" w14:textId="77777777" w:rsidR="00827D19" w:rsidRPr="00827D19" w:rsidRDefault="00827D19" w:rsidP="00827D19"/>
    <w:p w14:paraId="1761F99B" w14:textId="3CC678FF" w:rsidR="00940306" w:rsidRDefault="00EB66E5" w:rsidP="00442E57">
      <w:pPr>
        <w:pStyle w:val="Heading1"/>
      </w:pPr>
      <w:r>
        <w:t>Overview</w:t>
      </w:r>
    </w:p>
    <w:p w14:paraId="0B3D37BD" w14:textId="1496BC22" w:rsidR="009064D3" w:rsidRDefault="009064D3" w:rsidP="009064D3">
      <w:r>
        <w:t xml:space="preserve">Most vaccine efficacy trials are conducted in higher income settings rather than in lower income settings.  Lower income settings may differ from high-income settings in health service resources, the prevalence of comorbid diseases, and genetic characteristics of the infectious agent. This presents a challenge to </w:t>
      </w:r>
      <w:r w:rsidR="000E54C8">
        <w:t>policymakers</w:t>
      </w:r>
      <w:r>
        <w:t xml:space="preserve"> in low-income settings, who must make some assumption about the applicability of trial data from high-income settings, or else seek to conduct trials locally. The latter is challenging as resources are scarce, while the former is difficult because </w:t>
      </w:r>
      <w:r w:rsidR="0004651F">
        <w:t xml:space="preserve">there are few quantitative estimates as to </w:t>
      </w:r>
      <w:r>
        <w:t>how vaccine efficacy differs between high and low-income settings. Since 1990, at least 700 RCTs of vaccines have been conducted and 171 of these have had one or more site within a low or lower-middle income country. Th</w:t>
      </w:r>
      <w:r w:rsidR="00EC611A">
        <w:t>ese</w:t>
      </w:r>
      <w:r>
        <w:t xml:space="preserve"> data provide an opportunity to address this evidence gap.</w:t>
      </w:r>
    </w:p>
    <w:p w14:paraId="5FCD85C5" w14:textId="66341F9E" w:rsidR="00EB66E5" w:rsidRDefault="00EB66E5" w:rsidP="009064D3">
      <w:r>
        <w:t xml:space="preserve">We will therefore conduct a systematic review to identify all trials for vaccines of interest where at least one trial wholly or partly conducted in a low or lower-middle income country can be identified. Effect estimates and trial-level characteristics will be extracted for each trial, and where appropriate sub-group effect estimates for each site. Using these data, </w:t>
      </w:r>
      <w:r w:rsidR="00C83C90">
        <w:t xml:space="preserve">we will </w:t>
      </w:r>
      <w:r>
        <w:t>perform Bayesian hierarchical generalized linear modelling. We will include terms to estimate the difference in efficacy across settings, with additional terms to identify factors which modify the difference in efficacy. Vaccines will be grouped into clinically/biologically meaningful categories for rational information sharing within and between groups.</w:t>
      </w:r>
    </w:p>
    <w:p w14:paraId="468FFA3E" w14:textId="77777777" w:rsidR="009064D3" w:rsidRDefault="009064D3" w:rsidP="00442E57">
      <w:pPr>
        <w:pStyle w:val="Heading1"/>
      </w:pPr>
      <w:r>
        <w:t>Objectives</w:t>
      </w:r>
    </w:p>
    <w:p w14:paraId="1C7FF94A" w14:textId="4A9D80B0" w:rsidR="009064D3" w:rsidRDefault="009064D3" w:rsidP="009064D3">
      <w:r>
        <w:t>Conduct a systematic review and hierarchical meta-regression to determine</w:t>
      </w:r>
      <w:r w:rsidR="00442E57">
        <w:t xml:space="preserve">, for selected </w:t>
      </w:r>
      <w:r w:rsidR="0055621E">
        <w:t>vaccines: -</w:t>
      </w:r>
    </w:p>
    <w:p w14:paraId="748B3A69" w14:textId="11345FF8" w:rsidR="009064D3" w:rsidRDefault="009064D3" w:rsidP="009064D3">
      <w:r>
        <w:t>1.</w:t>
      </w:r>
      <w:r w:rsidR="001B3F03">
        <w:t xml:space="preserve"> </w:t>
      </w:r>
      <w:r w:rsidR="00902043">
        <w:t>Estimate the</w:t>
      </w:r>
      <w:r>
        <w:t xml:space="preserve"> frequency and magnitude with which vaccine efficacy differs across high/</w:t>
      </w:r>
      <w:proofErr w:type="gramStart"/>
      <w:r>
        <w:t>low income</w:t>
      </w:r>
      <w:proofErr w:type="gramEnd"/>
      <w:r>
        <w:t xml:space="preserve"> settings</w:t>
      </w:r>
      <w:r w:rsidR="0055621E">
        <w:t>.</w:t>
      </w:r>
    </w:p>
    <w:p w14:paraId="1C4CC6A2" w14:textId="175ECB2A" w:rsidR="009064D3" w:rsidRDefault="009064D3" w:rsidP="009064D3">
      <w:r>
        <w:t>2.</w:t>
      </w:r>
      <w:r w:rsidR="001B3F03">
        <w:t xml:space="preserve"> </w:t>
      </w:r>
      <w:r w:rsidR="00902043">
        <w:t>Estimate which</w:t>
      </w:r>
      <w:r>
        <w:t xml:space="preserve"> trial-level characteristics (</w:t>
      </w:r>
      <w:r w:rsidR="0055621E">
        <w:t>e.g.</w:t>
      </w:r>
      <w:r>
        <w:t xml:space="preserve"> vaccine, agent, host, etc) are associated with 1</w:t>
      </w:r>
      <w:r w:rsidR="0055621E">
        <w:t>.</w:t>
      </w:r>
    </w:p>
    <w:p w14:paraId="50898674" w14:textId="77777777" w:rsidR="009064D3" w:rsidRDefault="009064D3" w:rsidP="00442E57">
      <w:pPr>
        <w:pStyle w:val="Heading1"/>
      </w:pPr>
      <w:r>
        <w:t>Outputs</w:t>
      </w:r>
    </w:p>
    <w:p w14:paraId="7AE212B5" w14:textId="2A882EEA" w:rsidR="00CF069F" w:rsidRDefault="009064D3" w:rsidP="009064D3">
      <w:r>
        <w:t xml:space="preserve">New knowledge on the frequency and magnitude of differential vaccine efficacy between low and high-income settings and </w:t>
      </w:r>
      <w:r w:rsidR="00B018B9">
        <w:t xml:space="preserve">an </w:t>
      </w:r>
      <w:r>
        <w:t>improve</w:t>
      </w:r>
      <w:r w:rsidR="00B018B9">
        <w:t>d</w:t>
      </w:r>
      <w:r>
        <w:t xml:space="preserve"> understanding of which factors cause such differences. We will also use the modelling to produce a set of distributions concerning the probable difference in efficacy (with plausible ranges) for a given vaccine </w:t>
      </w:r>
      <w:proofErr w:type="gramStart"/>
      <w:r>
        <w:t>in a given</w:t>
      </w:r>
      <w:proofErr w:type="gramEnd"/>
      <w:r>
        <w:t xml:space="preserve"> setting, compared to the high income </w:t>
      </w:r>
      <w:r>
        <w:lastRenderedPageBreak/>
        <w:t xml:space="preserve">setting in which it was originally studied. Such priors may then be used directly in health economic modelling studies, or as informative priors for clinical trials. Following this systematic review and meta-analysis we will conduct simulation studies to determine how the use of our informative priors would affect the power (and hence required sample size) for clinical trials of vaccine efficacy in </w:t>
      </w:r>
      <w:proofErr w:type="gramStart"/>
      <w:r>
        <w:t>low income</w:t>
      </w:r>
      <w:proofErr w:type="gramEnd"/>
      <w:r>
        <w:t xml:space="preserve"> countries</w:t>
      </w:r>
      <w:r w:rsidR="00442E57">
        <w:t>.</w:t>
      </w:r>
    </w:p>
    <w:p w14:paraId="7FA82395" w14:textId="622E3F03" w:rsidR="002A3705" w:rsidRDefault="000C3CE0" w:rsidP="002A3705">
      <w:pPr>
        <w:pStyle w:val="Heading1"/>
      </w:pPr>
      <w:r>
        <w:t>Pre-r</w:t>
      </w:r>
      <w:r w:rsidR="002A3705">
        <w:t>egistration</w:t>
      </w:r>
    </w:p>
    <w:p w14:paraId="262316FC" w14:textId="7DBC337A" w:rsidR="002A3705" w:rsidRPr="00C47B63" w:rsidRDefault="002A3705" w:rsidP="009064D3">
      <w:r>
        <w:t xml:space="preserve">The </w:t>
      </w:r>
      <w:r w:rsidR="00C47B63">
        <w:t>systematic review protocol will be pre-registered on PROSPERO before data extraction, as per the latest PROSPERO rules</w:t>
      </w:r>
      <w:r w:rsidR="00FF3995">
        <w:t xml:space="preserve"> (</w:t>
      </w:r>
      <w:hyperlink r:id="rId8" w:history="1">
        <w:r w:rsidR="00FF3995">
          <w:rPr>
            <w:rStyle w:val="Hyperlink"/>
          </w:rPr>
          <w:t>https://www.crd.york.ac.uk/prospero/</w:t>
        </w:r>
      </w:hyperlink>
      <w:r w:rsidR="00FF3995">
        <w:t>)</w:t>
      </w:r>
      <w:r w:rsidR="00C47B63">
        <w:t>.</w:t>
      </w:r>
      <w:r w:rsidR="00132FF5">
        <w:t xml:space="preserve"> We may conduct the search and screening prior to registration.</w:t>
      </w:r>
    </w:p>
    <w:p w14:paraId="1A794B5C" w14:textId="435CC14B" w:rsidR="00394E02" w:rsidRPr="006C3D23" w:rsidRDefault="00394E02" w:rsidP="00394E02">
      <w:pPr>
        <w:pStyle w:val="Heading1"/>
      </w:pPr>
      <w:r>
        <w:t>Protocol</w:t>
      </w:r>
    </w:p>
    <w:p w14:paraId="6B58015A" w14:textId="6972AC00" w:rsidR="00442E57" w:rsidRDefault="00394E02" w:rsidP="00394E02">
      <w:pPr>
        <w:pStyle w:val="Heading2"/>
      </w:pPr>
      <w:bookmarkStart w:id="0" w:name="_Ref25583536"/>
      <w:r>
        <w:t xml:space="preserve">Defining </w:t>
      </w:r>
      <w:r w:rsidR="003E2479">
        <w:t>vaccines of interest</w:t>
      </w:r>
      <w:bookmarkEnd w:id="0"/>
    </w:p>
    <w:p w14:paraId="36D56DEE" w14:textId="41487601" w:rsidR="00442E57" w:rsidRDefault="00E703AC" w:rsidP="00442E57">
      <w:r>
        <w:t xml:space="preserve">Informed by </w:t>
      </w:r>
      <w:r w:rsidR="00A7383B">
        <w:t xml:space="preserve">a </w:t>
      </w:r>
      <w:r w:rsidR="00D34F42">
        <w:t>review of the vaccine trials identified in our recent scoping study</w:t>
      </w:r>
      <w:r w:rsidR="006F5603">
        <w:t xml:space="preserve"> (Appendix)</w:t>
      </w:r>
      <w:r w:rsidR="00D34F42">
        <w:t xml:space="preserve"> </w:t>
      </w:r>
      <w:r>
        <w:t>we will define</w:t>
      </w:r>
      <w:r w:rsidR="00D34F42">
        <w:t xml:space="preserve"> a set of vaccines </w:t>
      </w:r>
      <w:r>
        <w:t xml:space="preserve">which are of clinical interest, and </w:t>
      </w:r>
      <w:r w:rsidR="007A508B">
        <w:t xml:space="preserve">where </w:t>
      </w:r>
      <w:r w:rsidR="000246FE">
        <w:t xml:space="preserve">there are </w:t>
      </w:r>
      <w:r>
        <w:t xml:space="preserve">likely to be </w:t>
      </w:r>
      <w:r w:rsidR="000246FE">
        <w:t xml:space="preserve">at </w:t>
      </w:r>
      <w:r>
        <w:t xml:space="preserve">least </w:t>
      </w:r>
      <w:r w:rsidR="000246FE">
        <w:t xml:space="preserve">some vaccine trials performed in </w:t>
      </w:r>
      <w:r w:rsidR="009B1FF5">
        <w:t xml:space="preserve">both </w:t>
      </w:r>
      <w:r w:rsidR="000246FE">
        <w:t>high and low-income</w:t>
      </w:r>
      <w:r w:rsidR="009B1FF5">
        <w:t xml:space="preserve">/lower-middle income </w:t>
      </w:r>
      <w:r w:rsidR="000246FE">
        <w:t>settings.</w:t>
      </w:r>
      <w:r w:rsidR="005B778B">
        <w:t xml:space="preserve"> </w:t>
      </w:r>
      <w:r w:rsidR="00BC0F0A">
        <w:t xml:space="preserve">The vaccines will be drawn from the list of vaccines provided by the WHO Anatomic Therapeutic Classification (WHO ATC) dictionary (Table 1). </w:t>
      </w:r>
      <w:r w:rsidR="005B778B">
        <w:t xml:space="preserve">We will </w:t>
      </w:r>
      <w:r w:rsidR="003E2479">
        <w:t xml:space="preserve">confine </w:t>
      </w:r>
      <w:r w:rsidR="00E32601">
        <w:t>the systematic review</w:t>
      </w:r>
      <w:r w:rsidR="003E2479">
        <w:t xml:space="preserve"> to this </w:t>
      </w:r>
      <w:r w:rsidR="005B778B">
        <w:t>agree</w:t>
      </w:r>
      <w:r w:rsidR="003E2479">
        <w:t>d</w:t>
      </w:r>
      <w:r w:rsidR="005B778B">
        <w:t xml:space="preserve"> set of vaccines</w:t>
      </w:r>
      <w:r w:rsidR="00676DEC">
        <w:t xml:space="preserve"> </w:t>
      </w:r>
      <w:r w:rsidR="00CB418E">
        <w:t>for all subsequent</w:t>
      </w:r>
      <w:r w:rsidR="00676DEC">
        <w:t xml:space="preserve"> analys</w:t>
      </w:r>
      <w:r w:rsidR="00CB418E">
        <w:t>e</w:t>
      </w:r>
      <w:r w:rsidR="00676DEC">
        <w:t>s.</w:t>
      </w:r>
    </w:p>
    <w:p w14:paraId="080F386F" w14:textId="4BCEE004" w:rsidR="004E5A22" w:rsidRDefault="00BC0F0A" w:rsidP="00BC0F0A">
      <w:pPr>
        <w:pStyle w:val="Heading3"/>
      </w:pPr>
      <w:r>
        <w:t>Table 1 List of vaccine classes from WHO ATC</w:t>
      </w:r>
      <w:r w:rsidR="002C7C56">
        <w:t xml:space="preserve"> drug dictionary</w:t>
      </w:r>
    </w:p>
    <w:tbl>
      <w:tblPr>
        <w:tblStyle w:val="PlainTable1"/>
        <w:tblW w:w="0" w:type="auto"/>
        <w:tblLook w:val="0420" w:firstRow="1" w:lastRow="0" w:firstColumn="0" w:lastColumn="0" w:noHBand="0" w:noVBand="1"/>
      </w:tblPr>
      <w:tblGrid>
        <w:gridCol w:w="4867"/>
        <w:gridCol w:w="4149"/>
      </w:tblGrid>
      <w:tr w:rsidR="00D100E8" w:rsidRPr="00D100E8" w14:paraId="56B9A8CF" w14:textId="77777777" w:rsidTr="00D100E8">
        <w:trPr>
          <w:cnfStyle w:val="100000000000" w:firstRow="1" w:lastRow="0" w:firstColumn="0" w:lastColumn="0" w:oddVBand="0" w:evenVBand="0" w:oddHBand="0" w:evenHBand="0" w:firstRowFirstColumn="0" w:firstRowLastColumn="0" w:lastRowFirstColumn="0" w:lastRowLastColumn="0"/>
          <w:trHeight w:val="420"/>
        </w:trPr>
        <w:tc>
          <w:tcPr>
            <w:tcW w:w="4867" w:type="dxa"/>
            <w:noWrap/>
            <w:hideMark/>
          </w:tcPr>
          <w:p w14:paraId="43FA3326" w14:textId="77777777" w:rsidR="00D100E8" w:rsidRPr="00D100E8" w:rsidRDefault="00D100E8">
            <w:r w:rsidRPr="00D100E8">
              <w:t>J07A BACTERIAL VACCINES</w:t>
            </w:r>
          </w:p>
        </w:tc>
        <w:tc>
          <w:tcPr>
            <w:tcW w:w="4149" w:type="dxa"/>
            <w:noWrap/>
            <w:hideMark/>
          </w:tcPr>
          <w:p w14:paraId="70891A0F" w14:textId="77777777" w:rsidR="00D100E8" w:rsidRPr="00D100E8" w:rsidRDefault="00D100E8">
            <w:r w:rsidRPr="00D100E8">
              <w:t>J07B VIRAL VACCINES</w:t>
            </w:r>
          </w:p>
        </w:tc>
      </w:tr>
      <w:tr w:rsidR="00D100E8" w:rsidRPr="00D100E8" w14:paraId="44569DD3" w14:textId="77777777" w:rsidTr="00D100E8">
        <w:trPr>
          <w:cnfStyle w:val="000000100000" w:firstRow="0" w:lastRow="0" w:firstColumn="0" w:lastColumn="0" w:oddVBand="0" w:evenVBand="0" w:oddHBand="1" w:evenHBand="0" w:firstRowFirstColumn="0" w:firstRowLastColumn="0" w:lastRowFirstColumn="0" w:lastRowLastColumn="0"/>
          <w:trHeight w:val="420"/>
        </w:trPr>
        <w:tc>
          <w:tcPr>
            <w:tcW w:w="4867" w:type="dxa"/>
            <w:noWrap/>
            <w:hideMark/>
          </w:tcPr>
          <w:p w14:paraId="2B8DF4AD" w14:textId="77777777" w:rsidR="00D100E8" w:rsidRPr="00D100E8" w:rsidRDefault="00D100E8">
            <w:r w:rsidRPr="00D100E8">
              <w:t>J07AC Anthrax vaccines</w:t>
            </w:r>
          </w:p>
        </w:tc>
        <w:tc>
          <w:tcPr>
            <w:tcW w:w="4149" w:type="dxa"/>
            <w:noWrap/>
            <w:hideMark/>
          </w:tcPr>
          <w:p w14:paraId="7FF064C4" w14:textId="77777777" w:rsidR="00D100E8" w:rsidRPr="00D100E8" w:rsidRDefault="00D100E8">
            <w:r w:rsidRPr="00D100E8">
              <w:t>J07BA Encephalitis vaccines</w:t>
            </w:r>
          </w:p>
        </w:tc>
      </w:tr>
      <w:tr w:rsidR="00D100E8" w:rsidRPr="00D100E8" w14:paraId="5F2C2C20" w14:textId="77777777" w:rsidTr="00D100E8">
        <w:trPr>
          <w:trHeight w:val="420"/>
        </w:trPr>
        <w:tc>
          <w:tcPr>
            <w:tcW w:w="4867" w:type="dxa"/>
            <w:noWrap/>
            <w:hideMark/>
          </w:tcPr>
          <w:p w14:paraId="49F193C6" w14:textId="77777777" w:rsidR="00D100E8" w:rsidRPr="00D100E8" w:rsidRDefault="00D100E8">
            <w:r w:rsidRPr="00D100E8">
              <w:t>J07AD Brucellosis vaccines</w:t>
            </w:r>
          </w:p>
        </w:tc>
        <w:tc>
          <w:tcPr>
            <w:tcW w:w="4149" w:type="dxa"/>
            <w:noWrap/>
            <w:hideMark/>
          </w:tcPr>
          <w:p w14:paraId="53BEF0E4" w14:textId="77777777" w:rsidR="00D100E8" w:rsidRPr="00D100E8" w:rsidRDefault="00D100E8">
            <w:r w:rsidRPr="00D100E8">
              <w:t>J07BB Influenza vaccines</w:t>
            </w:r>
          </w:p>
        </w:tc>
      </w:tr>
      <w:tr w:rsidR="00D100E8" w:rsidRPr="00D100E8" w14:paraId="302523D3" w14:textId="77777777" w:rsidTr="00D100E8">
        <w:trPr>
          <w:cnfStyle w:val="000000100000" w:firstRow="0" w:lastRow="0" w:firstColumn="0" w:lastColumn="0" w:oddVBand="0" w:evenVBand="0" w:oddHBand="1" w:evenHBand="0" w:firstRowFirstColumn="0" w:firstRowLastColumn="0" w:lastRowFirstColumn="0" w:lastRowLastColumn="0"/>
          <w:trHeight w:val="420"/>
        </w:trPr>
        <w:tc>
          <w:tcPr>
            <w:tcW w:w="4867" w:type="dxa"/>
            <w:noWrap/>
            <w:hideMark/>
          </w:tcPr>
          <w:p w14:paraId="3CA5A489" w14:textId="77777777" w:rsidR="00D100E8" w:rsidRPr="00D100E8" w:rsidRDefault="00D100E8">
            <w:r w:rsidRPr="00D100E8">
              <w:t>J07AE Cholera vaccines</w:t>
            </w:r>
          </w:p>
        </w:tc>
        <w:tc>
          <w:tcPr>
            <w:tcW w:w="4149" w:type="dxa"/>
            <w:noWrap/>
            <w:hideMark/>
          </w:tcPr>
          <w:p w14:paraId="39A5FE9A" w14:textId="77777777" w:rsidR="00D100E8" w:rsidRPr="00D100E8" w:rsidRDefault="00D100E8">
            <w:r w:rsidRPr="00D100E8">
              <w:t>J07BC Hepatitis vaccines</w:t>
            </w:r>
          </w:p>
        </w:tc>
      </w:tr>
      <w:tr w:rsidR="00D100E8" w:rsidRPr="00D100E8" w14:paraId="33888B56" w14:textId="77777777" w:rsidTr="00D100E8">
        <w:trPr>
          <w:trHeight w:val="420"/>
        </w:trPr>
        <w:tc>
          <w:tcPr>
            <w:tcW w:w="4867" w:type="dxa"/>
            <w:noWrap/>
            <w:hideMark/>
          </w:tcPr>
          <w:p w14:paraId="1BDC333E" w14:textId="77777777" w:rsidR="00D100E8" w:rsidRPr="00D100E8" w:rsidRDefault="00D100E8">
            <w:r w:rsidRPr="00D100E8">
              <w:t>J07AF Diphtheria vaccines</w:t>
            </w:r>
          </w:p>
        </w:tc>
        <w:tc>
          <w:tcPr>
            <w:tcW w:w="4149" w:type="dxa"/>
            <w:noWrap/>
            <w:hideMark/>
          </w:tcPr>
          <w:p w14:paraId="69A67FFA" w14:textId="77777777" w:rsidR="00D100E8" w:rsidRPr="00D100E8" w:rsidRDefault="00D100E8">
            <w:r w:rsidRPr="00D100E8">
              <w:t>J07BD Measles vaccines</w:t>
            </w:r>
          </w:p>
        </w:tc>
      </w:tr>
      <w:tr w:rsidR="00D100E8" w:rsidRPr="00D100E8" w14:paraId="44B185FA" w14:textId="77777777" w:rsidTr="00D100E8">
        <w:trPr>
          <w:cnfStyle w:val="000000100000" w:firstRow="0" w:lastRow="0" w:firstColumn="0" w:lastColumn="0" w:oddVBand="0" w:evenVBand="0" w:oddHBand="1" w:evenHBand="0" w:firstRowFirstColumn="0" w:firstRowLastColumn="0" w:lastRowFirstColumn="0" w:lastRowLastColumn="0"/>
          <w:trHeight w:val="420"/>
        </w:trPr>
        <w:tc>
          <w:tcPr>
            <w:tcW w:w="4867" w:type="dxa"/>
            <w:noWrap/>
            <w:hideMark/>
          </w:tcPr>
          <w:p w14:paraId="18564334" w14:textId="77777777" w:rsidR="00D100E8" w:rsidRPr="00D100E8" w:rsidRDefault="00D100E8">
            <w:r w:rsidRPr="00D100E8">
              <w:t>J07AG Hemophilus influenzae B vaccines</w:t>
            </w:r>
          </w:p>
        </w:tc>
        <w:tc>
          <w:tcPr>
            <w:tcW w:w="4149" w:type="dxa"/>
            <w:noWrap/>
            <w:hideMark/>
          </w:tcPr>
          <w:p w14:paraId="405CD704" w14:textId="77777777" w:rsidR="00D100E8" w:rsidRPr="00D100E8" w:rsidRDefault="00D100E8">
            <w:r w:rsidRPr="00D100E8">
              <w:t>J07BE Mumps vaccines</w:t>
            </w:r>
          </w:p>
        </w:tc>
      </w:tr>
      <w:tr w:rsidR="00D100E8" w:rsidRPr="00D100E8" w14:paraId="4289D48F" w14:textId="77777777" w:rsidTr="00D100E8">
        <w:trPr>
          <w:trHeight w:val="420"/>
        </w:trPr>
        <w:tc>
          <w:tcPr>
            <w:tcW w:w="4867" w:type="dxa"/>
            <w:noWrap/>
            <w:hideMark/>
          </w:tcPr>
          <w:p w14:paraId="696D9345" w14:textId="77777777" w:rsidR="00D100E8" w:rsidRPr="00D100E8" w:rsidRDefault="00D100E8">
            <w:r w:rsidRPr="00D100E8">
              <w:t>J07AH Meningococcal vaccines</w:t>
            </w:r>
          </w:p>
        </w:tc>
        <w:tc>
          <w:tcPr>
            <w:tcW w:w="4149" w:type="dxa"/>
            <w:noWrap/>
            <w:hideMark/>
          </w:tcPr>
          <w:p w14:paraId="2BB7BAE6" w14:textId="77777777" w:rsidR="00D100E8" w:rsidRPr="00D100E8" w:rsidRDefault="00D100E8">
            <w:r w:rsidRPr="00D100E8">
              <w:t>J07BF Poliomyelitis vaccines</w:t>
            </w:r>
          </w:p>
        </w:tc>
      </w:tr>
      <w:tr w:rsidR="00D100E8" w:rsidRPr="00D100E8" w14:paraId="77BE8C6C" w14:textId="77777777" w:rsidTr="00D100E8">
        <w:trPr>
          <w:cnfStyle w:val="000000100000" w:firstRow="0" w:lastRow="0" w:firstColumn="0" w:lastColumn="0" w:oddVBand="0" w:evenVBand="0" w:oddHBand="1" w:evenHBand="0" w:firstRowFirstColumn="0" w:firstRowLastColumn="0" w:lastRowFirstColumn="0" w:lastRowLastColumn="0"/>
          <w:trHeight w:val="420"/>
        </w:trPr>
        <w:tc>
          <w:tcPr>
            <w:tcW w:w="4867" w:type="dxa"/>
            <w:noWrap/>
            <w:hideMark/>
          </w:tcPr>
          <w:p w14:paraId="3CAC44F8" w14:textId="77777777" w:rsidR="00D100E8" w:rsidRPr="00D100E8" w:rsidRDefault="00D100E8">
            <w:r w:rsidRPr="00D100E8">
              <w:t>J07AJ Pertussis vaccines</w:t>
            </w:r>
          </w:p>
        </w:tc>
        <w:tc>
          <w:tcPr>
            <w:tcW w:w="4149" w:type="dxa"/>
            <w:noWrap/>
            <w:hideMark/>
          </w:tcPr>
          <w:p w14:paraId="37DEC1D3" w14:textId="77777777" w:rsidR="00D100E8" w:rsidRPr="00D100E8" w:rsidRDefault="00D100E8">
            <w:r w:rsidRPr="00D100E8">
              <w:t>J07BG Rabies vaccines</w:t>
            </w:r>
          </w:p>
        </w:tc>
      </w:tr>
      <w:tr w:rsidR="00D100E8" w:rsidRPr="00D100E8" w14:paraId="217B8E66" w14:textId="77777777" w:rsidTr="00D100E8">
        <w:trPr>
          <w:trHeight w:val="420"/>
        </w:trPr>
        <w:tc>
          <w:tcPr>
            <w:tcW w:w="4867" w:type="dxa"/>
            <w:noWrap/>
            <w:hideMark/>
          </w:tcPr>
          <w:p w14:paraId="641E0418" w14:textId="77777777" w:rsidR="00D100E8" w:rsidRPr="00D100E8" w:rsidRDefault="00D100E8">
            <w:r w:rsidRPr="00D100E8">
              <w:t>J07AK Plague vaccines</w:t>
            </w:r>
          </w:p>
        </w:tc>
        <w:tc>
          <w:tcPr>
            <w:tcW w:w="4149" w:type="dxa"/>
            <w:noWrap/>
            <w:hideMark/>
          </w:tcPr>
          <w:p w14:paraId="6E8FE61B" w14:textId="77777777" w:rsidR="00D100E8" w:rsidRPr="00D100E8" w:rsidRDefault="00D100E8">
            <w:r w:rsidRPr="00D100E8">
              <w:t xml:space="preserve">J07BH Rota virus </w:t>
            </w:r>
            <w:proofErr w:type="spellStart"/>
            <w:r w:rsidRPr="00D100E8">
              <w:t>diarrhea</w:t>
            </w:r>
            <w:proofErr w:type="spellEnd"/>
            <w:r w:rsidRPr="00D100E8">
              <w:t xml:space="preserve"> vaccines</w:t>
            </w:r>
          </w:p>
        </w:tc>
      </w:tr>
      <w:tr w:rsidR="00D100E8" w:rsidRPr="00D100E8" w14:paraId="232E063B" w14:textId="77777777" w:rsidTr="00D100E8">
        <w:trPr>
          <w:cnfStyle w:val="000000100000" w:firstRow="0" w:lastRow="0" w:firstColumn="0" w:lastColumn="0" w:oddVBand="0" w:evenVBand="0" w:oddHBand="1" w:evenHBand="0" w:firstRowFirstColumn="0" w:firstRowLastColumn="0" w:lastRowFirstColumn="0" w:lastRowLastColumn="0"/>
          <w:trHeight w:val="420"/>
        </w:trPr>
        <w:tc>
          <w:tcPr>
            <w:tcW w:w="4867" w:type="dxa"/>
            <w:noWrap/>
            <w:hideMark/>
          </w:tcPr>
          <w:p w14:paraId="1C12AACF" w14:textId="77777777" w:rsidR="00D100E8" w:rsidRPr="00D100E8" w:rsidRDefault="00D100E8">
            <w:r w:rsidRPr="00D100E8">
              <w:t>J07AL Pneumococcal vaccines</w:t>
            </w:r>
          </w:p>
        </w:tc>
        <w:tc>
          <w:tcPr>
            <w:tcW w:w="4149" w:type="dxa"/>
            <w:noWrap/>
            <w:hideMark/>
          </w:tcPr>
          <w:p w14:paraId="132F932E" w14:textId="77777777" w:rsidR="00D100E8" w:rsidRPr="00D100E8" w:rsidRDefault="00D100E8">
            <w:r w:rsidRPr="00D100E8">
              <w:t>J07BJ Rubella vaccines</w:t>
            </w:r>
          </w:p>
        </w:tc>
      </w:tr>
      <w:tr w:rsidR="00D100E8" w:rsidRPr="00D100E8" w14:paraId="40062A99" w14:textId="77777777" w:rsidTr="00D100E8">
        <w:trPr>
          <w:trHeight w:val="420"/>
        </w:trPr>
        <w:tc>
          <w:tcPr>
            <w:tcW w:w="4867" w:type="dxa"/>
            <w:noWrap/>
            <w:hideMark/>
          </w:tcPr>
          <w:p w14:paraId="37B1D9F4" w14:textId="77777777" w:rsidR="00D100E8" w:rsidRPr="00D100E8" w:rsidRDefault="00D100E8">
            <w:r w:rsidRPr="00D100E8">
              <w:t>J07AM Tetanus vaccines</w:t>
            </w:r>
          </w:p>
        </w:tc>
        <w:tc>
          <w:tcPr>
            <w:tcW w:w="4149" w:type="dxa"/>
            <w:noWrap/>
            <w:hideMark/>
          </w:tcPr>
          <w:p w14:paraId="3D033B49" w14:textId="77777777" w:rsidR="00D100E8" w:rsidRPr="00D100E8" w:rsidRDefault="00D100E8">
            <w:r w:rsidRPr="00D100E8">
              <w:t>J07BK Varicella zoster vaccines</w:t>
            </w:r>
          </w:p>
        </w:tc>
      </w:tr>
      <w:tr w:rsidR="00D100E8" w:rsidRPr="00D100E8" w14:paraId="00368275" w14:textId="77777777" w:rsidTr="00D100E8">
        <w:trPr>
          <w:cnfStyle w:val="000000100000" w:firstRow="0" w:lastRow="0" w:firstColumn="0" w:lastColumn="0" w:oddVBand="0" w:evenVBand="0" w:oddHBand="1" w:evenHBand="0" w:firstRowFirstColumn="0" w:firstRowLastColumn="0" w:lastRowFirstColumn="0" w:lastRowLastColumn="0"/>
          <w:trHeight w:val="420"/>
        </w:trPr>
        <w:tc>
          <w:tcPr>
            <w:tcW w:w="4867" w:type="dxa"/>
            <w:noWrap/>
            <w:hideMark/>
          </w:tcPr>
          <w:p w14:paraId="479D0992" w14:textId="77777777" w:rsidR="00D100E8" w:rsidRPr="00D100E8" w:rsidRDefault="00D100E8">
            <w:r w:rsidRPr="00D100E8">
              <w:t>J07AN Tuberculosis vaccines</w:t>
            </w:r>
          </w:p>
        </w:tc>
        <w:tc>
          <w:tcPr>
            <w:tcW w:w="4149" w:type="dxa"/>
            <w:noWrap/>
            <w:hideMark/>
          </w:tcPr>
          <w:p w14:paraId="6E8505A5" w14:textId="77777777" w:rsidR="00D100E8" w:rsidRPr="00D100E8" w:rsidRDefault="00D100E8">
            <w:r w:rsidRPr="00D100E8">
              <w:t>J07BL Yellow fever vaccines</w:t>
            </w:r>
          </w:p>
        </w:tc>
      </w:tr>
      <w:tr w:rsidR="00D100E8" w:rsidRPr="00D100E8" w14:paraId="4F23FC14" w14:textId="77777777" w:rsidTr="00D100E8">
        <w:trPr>
          <w:trHeight w:val="420"/>
        </w:trPr>
        <w:tc>
          <w:tcPr>
            <w:tcW w:w="4867" w:type="dxa"/>
            <w:noWrap/>
            <w:hideMark/>
          </w:tcPr>
          <w:p w14:paraId="46376B31" w14:textId="77777777" w:rsidR="00D100E8" w:rsidRPr="00D100E8" w:rsidRDefault="00D100E8">
            <w:r w:rsidRPr="00D100E8">
              <w:t>J07AP Typhoid vaccines</w:t>
            </w:r>
          </w:p>
        </w:tc>
        <w:tc>
          <w:tcPr>
            <w:tcW w:w="4149" w:type="dxa"/>
            <w:noWrap/>
            <w:hideMark/>
          </w:tcPr>
          <w:p w14:paraId="5718027B" w14:textId="77777777" w:rsidR="00D100E8" w:rsidRPr="00D100E8" w:rsidRDefault="00D100E8">
            <w:r w:rsidRPr="00D100E8">
              <w:t>J07BM Papillomavirus vaccines</w:t>
            </w:r>
          </w:p>
        </w:tc>
      </w:tr>
      <w:tr w:rsidR="00D100E8" w:rsidRPr="00D100E8" w14:paraId="44A906C8" w14:textId="77777777" w:rsidTr="00D100E8">
        <w:trPr>
          <w:cnfStyle w:val="000000100000" w:firstRow="0" w:lastRow="0" w:firstColumn="0" w:lastColumn="0" w:oddVBand="0" w:evenVBand="0" w:oddHBand="1" w:evenHBand="0" w:firstRowFirstColumn="0" w:firstRowLastColumn="0" w:lastRowFirstColumn="0" w:lastRowLastColumn="0"/>
          <w:trHeight w:val="420"/>
        </w:trPr>
        <w:tc>
          <w:tcPr>
            <w:tcW w:w="4867" w:type="dxa"/>
            <w:noWrap/>
            <w:hideMark/>
          </w:tcPr>
          <w:p w14:paraId="328A6B7A" w14:textId="77777777" w:rsidR="00D100E8" w:rsidRPr="00D100E8" w:rsidRDefault="00D100E8">
            <w:r w:rsidRPr="00D100E8">
              <w:t>J07AR Typhus (</w:t>
            </w:r>
            <w:proofErr w:type="spellStart"/>
            <w:r w:rsidRPr="00D100E8">
              <w:t>exanthematicus</w:t>
            </w:r>
            <w:proofErr w:type="spellEnd"/>
            <w:r w:rsidRPr="00D100E8">
              <w:t>) vaccines</w:t>
            </w:r>
          </w:p>
        </w:tc>
        <w:tc>
          <w:tcPr>
            <w:tcW w:w="4149" w:type="dxa"/>
            <w:noWrap/>
            <w:hideMark/>
          </w:tcPr>
          <w:p w14:paraId="0349E37E" w14:textId="69E630FF" w:rsidR="00D100E8" w:rsidRPr="00D100E8" w:rsidRDefault="00D100E8"/>
        </w:tc>
      </w:tr>
    </w:tbl>
    <w:p w14:paraId="6890F8B5" w14:textId="77777777" w:rsidR="00D100E8" w:rsidRDefault="00D100E8" w:rsidP="00442E57"/>
    <w:p w14:paraId="3EB4D5F7" w14:textId="0CA54BC2" w:rsidR="00BC0F0A" w:rsidRDefault="00BC0F0A" w:rsidP="00E9438A">
      <w:r>
        <w:t xml:space="preserve">For all trials, the vaccines investigated will be described according to the full </w:t>
      </w:r>
      <w:r w:rsidR="008043B9">
        <w:t>7-digit</w:t>
      </w:r>
      <w:r>
        <w:t xml:space="preserve"> ATC code (</w:t>
      </w:r>
      <w:r w:rsidR="008043B9">
        <w:t>e.g.</w:t>
      </w:r>
      <w:r>
        <w:t xml:space="preserve"> </w:t>
      </w:r>
      <w:r w:rsidRPr="00C5507A">
        <w:t xml:space="preserve">J07AL02 </w:t>
      </w:r>
      <w:r>
        <w:t xml:space="preserve">- </w:t>
      </w:r>
      <w:r w:rsidRPr="00C5507A">
        <w:t>pneumococcus, purified polysaccharides antigen conjugated</w:t>
      </w:r>
      <w:r>
        <w:t>). This will allow us to group the trials according to the 5-character WHO ATC code</w:t>
      </w:r>
      <w:r w:rsidR="00411AF1">
        <w:t xml:space="preserve"> (Table 1).</w:t>
      </w:r>
    </w:p>
    <w:p w14:paraId="79B84B33" w14:textId="48BE89F7" w:rsidR="007034D3" w:rsidRDefault="009E6C5D" w:rsidP="00E9438A">
      <w:r>
        <w:lastRenderedPageBreak/>
        <w:t xml:space="preserve">With a view to the subsequent hierarchical </w:t>
      </w:r>
      <w:r w:rsidR="00A30B65">
        <w:t>modelling</w:t>
      </w:r>
      <w:r>
        <w:t>, t</w:t>
      </w:r>
      <w:r w:rsidR="00E9438A">
        <w:t xml:space="preserve">he vaccines </w:t>
      </w:r>
      <w:r w:rsidR="007034D3">
        <w:t xml:space="preserve">will subsequently </w:t>
      </w:r>
      <w:r w:rsidR="0049383C">
        <w:t xml:space="preserve">be </w:t>
      </w:r>
      <w:r w:rsidR="00CC268E">
        <w:t xml:space="preserve">categorised </w:t>
      </w:r>
      <w:r w:rsidR="007034D3">
        <w:t xml:space="preserve">according </w:t>
      </w:r>
      <w:r w:rsidR="00A30B65">
        <w:t>to: -</w:t>
      </w:r>
      <w:r w:rsidR="007034D3">
        <w:t xml:space="preserve"> </w:t>
      </w:r>
    </w:p>
    <w:p w14:paraId="586F469A" w14:textId="6C6DE8A4" w:rsidR="00E71FEC" w:rsidRDefault="00E71FEC" w:rsidP="007034D3">
      <w:pPr>
        <w:pStyle w:val="ListParagraph"/>
        <w:numPr>
          <w:ilvl w:val="0"/>
          <w:numId w:val="4"/>
        </w:numPr>
      </w:pPr>
      <w:r>
        <w:t>Bacterial versus viral</w:t>
      </w:r>
    </w:p>
    <w:p w14:paraId="50B3CF8F" w14:textId="50BFA38B" w:rsidR="00E9438A" w:rsidRDefault="00E9438A" w:rsidP="007034D3">
      <w:pPr>
        <w:pStyle w:val="ListParagraph"/>
        <w:numPr>
          <w:ilvl w:val="0"/>
          <w:numId w:val="4"/>
        </w:numPr>
      </w:pPr>
      <w:r>
        <w:t>the dominant organ system (</w:t>
      </w:r>
      <w:r w:rsidR="00A30B65">
        <w:t>e.g.</w:t>
      </w:r>
      <w:r>
        <w:t xml:space="preserve"> gastrointestinal, respiratory)</w:t>
      </w:r>
      <w:r w:rsidR="00020DCF">
        <w:t xml:space="preserve"> – defined via expert consensus at KEMRI</w:t>
      </w:r>
    </w:p>
    <w:p w14:paraId="7BF58D69" w14:textId="42BE2908" w:rsidR="0049383C" w:rsidRDefault="007034D3" w:rsidP="00C05FED">
      <w:pPr>
        <w:pStyle w:val="ListParagraph"/>
        <w:numPr>
          <w:ilvl w:val="0"/>
          <w:numId w:val="4"/>
        </w:numPr>
      </w:pPr>
      <w:r>
        <w:t xml:space="preserve">the vaccine type </w:t>
      </w:r>
      <w:r w:rsidR="0049383C">
        <w:t>(live-attenuated; inactivated; subunit, recombinant, polysaccharide, and conjugate; and toxoid) vaccines</w:t>
      </w:r>
    </w:p>
    <w:p w14:paraId="13300EC9" w14:textId="114B82B3" w:rsidR="00020DCF" w:rsidRDefault="00EE0582" w:rsidP="00020DCF">
      <w:pPr>
        <w:pStyle w:val="ListParagraph"/>
        <w:numPr>
          <w:ilvl w:val="0"/>
          <w:numId w:val="4"/>
        </w:numPr>
      </w:pPr>
      <w:r>
        <w:t>OTHER CATEGORIES</w:t>
      </w:r>
      <w:r w:rsidR="00283480">
        <w:t xml:space="preserve"> to help group vaccines more like each other than others within the above classes</w:t>
      </w:r>
    </w:p>
    <w:p w14:paraId="7E01D638" w14:textId="080554DF" w:rsidR="00FA7BF3" w:rsidRDefault="00FA7BF3" w:rsidP="00FA7BF3">
      <w:r>
        <w:t xml:space="preserve">Separate models will be fit for bacterial and viral vaccines and for </w:t>
      </w:r>
      <w:r w:rsidR="00005275">
        <w:t>different dominant organ systems.</w:t>
      </w:r>
      <w:r w:rsidR="00B120F4">
        <w:t xml:space="preserve"> Within these stratified models, we will share information across </w:t>
      </w:r>
      <w:r w:rsidR="00F507AC">
        <w:t>the</w:t>
      </w:r>
      <w:r w:rsidR="00B120F4">
        <w:t xml:space="preserve"> </w:t>
      </w:r>
      <w:r w:rsidR="00942B11">
        <w:t>other</w:t>
      </w:r>
      <w:r w:rsidR="00F507AC">
        <w:t xml:space="preserve"> </w:t>
      </w:r>
      <w:r w:rsidR="00B120F4">
        <w:t>classifications.</w:t>
      </w:r>
      <w:r w:rsidR="00727E26">
        <w:t xml:space="preserve"> </w:t>
      </w:r>
      <w:r w:rsidR="00B764C0">
        <w:t xml:space="preserve">The model will employ cross-classification rather than nesting. </w:t>
      </w:r>
      <w:r w:rsidR="00727E26">
        <w:t xml:space="preserve">The final structure of the models will be pre-specified after </w:t>
      </w:r>
      <w:r w:rsidR="002A3705">
        <w:t xml:space="preserve">the number of participants at each site for each trial within each vaccine have been </w:t>
      </w:r>
      <w:r w:rsidR="00630AFB">
        <w:t>obtained</w:t>
      </w:r>
      <w:r w:rsidR="002A3705">
        <w:t>, but before any outcome data are extracted.</w:t>
      </w:r>
    </w:p>
    <w:p w14:paraId="2ECB97C1" w14:textId="3AA9769A" w:rsidR="007D6EF2" w:rsidRDefault="002634D6" w:rsidP="001A065C">
      <w:pPr>
        <w:pStyle w:val="Heading2"/>
      </w:pPr>
      <w:r>
        <w:t>Trial e</w:t>
      </w:r>
      <w:r w:rsidR="007D6EF2">
        <w:t>ligib</w:t>
      </w:r>
      <w:r>
        <w:t>ility</w:t>
      </w:r>
    </w:p>
    <w:p w14:paraId="17F53339" w14:textId="73A1C6D7" w:rsidR="007D6EF2" w:rsidRPr="007D6EF2" w:rsidRDefault="007D6EF2" w:rsidP="007D6EF2">
      <w:r>
        <w:t>The following describes eligible trials in the standard PICO format.</w:t>
      </w:r>
    </w:p>
    <w:p w14:paraId="5CB0F279" w14:textId="7741B50C" w:rsidR="007D6EF2" w:rsidRDefault="007D6EF2" w:rsidP="001A065C">
      <w:pPr>
        <w:pStyle w:val="Heading3"/>
      </w:pPr>
      <w:r>
        <w:t>Population</w:t>
      </w:r>
    </w:p>
    <w:p w14:paraId="0B52FFCD" w14:textId="30BCC448" w:rsidR="007D6EF2" w:rsidRDefault="004A7558" w:rsidP="007D6EF2">
      <w:r>
        <w:t>Trial including a</w:t>
      </w:r>
      <w:r w:rsidR="007D6EF2">
        <w:t xml:space="preserve">dults </w:t>
      </w:r>
      <w:r>
        <w:t>and/or children</w:t>
      </w:r>
      <w:r w:rsidR="001E4245">
        <w:t>.</w:t>
      </w:r>
    </w:p>
    <w:p w14:paraId="0A2C07E9" w14:textId="77777777" w:rsidR="007D6EF2" w:rsidRDefault="007D6EF2" w:rsidP="001A065C">
      <w:pPr>
        <w:pStyle w:val="Heading3"/>
      </w:pPr>
      <w:r>
        <w:t>Intervention</w:t>
      </w:r>
    </w:p>
    <w:p w14:paraId="56381E1B" w14:textId="75F4ADFB" w:rsidR="007D6EF2" w:rsidRDefault="007D6EF2" w:rsidP="007D6EF2">
      <w:r>
        <w:t xml:space="preserve">Any vaccine </w:t>
      </w:r>
      <w:r w:rsidR="001E4245">
        <w:t xml:space="preserve">as </w:t>
      </w:r>
      <w:r w:rsidR="003A65AA">
        <w:t>identified in the “</w:t>
      </w:r>
      <w:r w:rsidR="003A65AA">
        <w:fldChar w:fldCharType="begin"/>
      </w:r>
      <w:r w:rsidR="003A65AA">
        <w:instrText xml:space="preserve"> REF _Ref25583536 \h </w:instrText>
      </w:r>
      <w:r w:rsidR="003A65AA">
        <w:fldChar w:fldCharType="separate"/>
      </w:r>
      <w:r w:rsidR="003A65AA">
        <w:t>Defining vaccines of interest</w:t>
      </w:r>
      <w:r w:rsidR="003A65AA">
        <w:fldChar w:fldCharType="end"/>
      </w:r>
      <w:r w:rsidR="003A65AA">
        <w:t>” section</w:t>
      </w:r>
    </w:p>
    <w:p w14:paraId="41E7CEF2" w14:textId="77777777" w:rsidR="007D6EF2" w:rsidRDefault="007D6EF2" w:rsidP="001A065C">
      <w:pPr>
        <w:pStyle w:val="Heading3"/>
      </w:pPr>
      <w:r>
        <w:t>Comparator</w:t>
      </w:r>
    </w:p>
    <w:p w14:paraId="74FAEB49" w14:textId="1A81DD87" w:rsidR="007D6EF2" w:rsidRDefault="007D6EF2" w:rsidP="007D6EF2">
      <w:r>
        <w:t xml:space="preserve">No vaccination (regardless of </w:t>
      </w:r>
      <w:proofErr w:type="gramStart"/>
      <w:r>
        <w:t>whether or not</w:t>
      </w:r>
      <w:proofErr w:type="gramEnd"/>
      <w:r>
        <w:t xml:space="preserve"> a dummy-intervention is used), </w:t>
      </w:r>
      <w:r w:rsidR="00D81396">
        <w:t>i.e.</w:t>
      </w:r>
      <w:r>
        <w:t xml:space="preserve"> not an active comparator</w:t>
      </w:r>
    </w:p>
    <w:p w14:paraId="59213366" w14:textId="77777777" w:rsidR="007D6EF2" w:rsidRDefault="007D6EF2" w:rsidP="001A065C">
      <w:pPr>
        <w:pStyle w:val="Heading3"/>
      </w:pPr>
      <w:r>
        <w:t>Outcomes</w:t>
      </w:r>
    </w:p>
    <w:p w14:paraId="69BDAED6" w14:textId="77777777" w:rsidR="007D6EF2" w:rsidRDefault="007D6EF2" w:rsidP="007D6EF2">
      <w:pPr>
        <w:pStyle w:val="ListParagraph"/>
        <w:numPr>
          <w:ilvl w:val="0"/>
          <w:numId w:val="3"/>
        </w:numPr>
      </w:pPr>
      <w:r>
        <w:t>Incidence of infection, hospitalisation for infection and/or mortality from infection</w:t>
      </w:r>
    </w:p>
    <w:p w14:paraId="2CE93F54" w14:textId="77777777" w:rsidR="007D6EF2" w:rsidRDefault="007D6EF2" w:rsidP="007D6EF2">
      <w:pPr>
        <w:pStyle w:val="ListParagraph"/>
        <w:numPr>
          <w:ilvl w:val="0"/>
          <w:numId w:val="3"/>
        </w:numPr>
      </w:pPr>
      <w:r>
        <w:t>Markers of immunological response – these will be pre-specified for each vaccine</w:t>
      </w:r>
    </w:p>
    <w:p w14:paraId="0B2F4F76" w14:textId="20522A89" w:rsidR="007D6EF2" w:rsidRDefault="007D6EF2" w:rsidP="007D6EF2">
      <w:pPr>
        <w:pStyle w:val="ListParagraph"/>
        <w:numPr>
          <w:ilvl w:val="0"/>
          <w:numId w:val="3"/>
        </w:numPr>
      </w:pPr>
      <w:r>
        <w:t>Adverse events</w:t>
      </w:r>
    </w:p>
    <w:p w14:paraId="0B367B60" w14:textId="154329E0" w:rsidR="002E3A52" w:rsidRDefault="002E3A52" w:rsidP="001A065C">
      <w:pPr>
        <w:pStyle w:val="Heading3"/>
      </w:pPr>
      <w:r>
        <w:t xml:space="preserve">Other </w:t>
      </w:r>
      <w:r w:rsidR="001A065C">
        <w:t>eligibility criteria</w:t>
      </w:r>
    </w:p>
    <w:p w14:paraId="2F9E0C00" w14:textId="62F1EB07" w:rsidR="00E44A7F" w:rsidRDefault="00E44A7F" w:rsidP="007D6EF2">
      <w:r>
        <w:t>We will include trials where randomisation was performed</w:t>
      </w:r>
      <w:r w:rsidR="00BB533E">
        <w:t xml:space="preserve"> at either the level of the individual patient, or </w:t>
      </w:r>
      <w:r w:rsidR="00F12EE7">
        <w:t>at a group-level (</w:t>
      </w:r>
      <w:r w:rsidR="00A26869">
        <w:t>i.e.</w:t>
      </w:r>
      <w:r w:rsidR="00F12EE7">
        <w:t xml:space="preserve"> </w:t>
      </w:r>
      <w:r>
        <w:t>cluster randomisation</w:t>
      </w:r>
      <w:r w:rsidR="00F12EE7">
        <w:t>).</w:t>
      </w:r>
    </w:p>
    <w:p w14:paraId="31082275" w14:textId="75D25C15" w:rsidR="007D6EF2" w:rsidRDefault="00E44A7F" w:rsidP="007D6EF2">
      <w:r>
        <w:t xml:space="preserve">We will exclude any trial </w:t>
      </w:r>
      <w:r w:rsidR="00443C79">
        <w:t>without a</w:t>
      </w:r>
      <w:r>
        <w:t xml:space="preserve"> report in English. </w:t>
      </w:r>
      <w:r w:rsidR="007D6EF2">
        <w:t xml:space="preserve">We will exclude </w:t>
      </w:r>
      <w:r>
        <w:t xml:space="preserve">trials for </w:t>
      </w:r>
      <w:r w:rsidR="007D6EF2">
        <w:t>any vaccine where at least one trial did not have at least one site in a low or middle-income country</w:t>
      </w:r>
      <w:r w:rsidR="00585830">
        <w:t>, where the</w:t>
      </w:r>
      <w:r w:rsidR="00050442">
        <w:t xml:space="preserve"> vaccine has </w:t>
      </w:r>
      <w:r w:rsidR="00A660A7">
        <w:t xml:space="preserve">never been marketed or </w:t>
      </w:r>
      <w:r w:rsidR="00585830">
        <w:t>where it</w:t>
      </w:r>
      <w:r w:rsidR="00A660A7">
        <w:t xml:space="preserve"> has been</w:t>
      </w:r>
      <w:r w:rsidR="00050442">
        <w:t xml:space="preserve"> withdrawn in</w:t>
      </w:r>
      <w:r w:rsidR="006D5782">
        <w:t xml:space="preserve"> more than one country</w:t>
      </w:r>
      <w:r w:rsidR="00A660A7">
        <w:t xml:space="preserve"> due to safety concerns.</w:t>
      </w:r>
      <w:r w:rsidR="002E3A52">
        <w:t xml:space="preserve"> </w:t>
      </w:r>
      <w:r w:rsidR="007E27ED">
        <w:t>We will also exclude trials in special populations (</w:t>
      </w:r>
      <w:r w:rsidR="00513CCD">
        <w:t>e.g.</w:t>
      </w:r>
      <w:r w:rsidR="007E27ED">
        <w:t xml:space="preserve"> people with HIV, premature babies etc).</w:t>
      </w:r>
    </w:p>
    <w:p w14:paraId="5876560A" w14:textId="77777777" w:rsidR="00FD6E7A" w:rsidRDefault="00FD6E7A" w:rsidP="00FD6E7A">
      <w:pPr>
        <w:pStyle w:val="Heading1"/>
      </w:pPr>
      <w:r>
        <w:t>Search strategy</w:t>
      </w:r>
    </w:p>
    <w:p w14:paraId="4ECFB1C5" w14:textId="184B7CEB" w:rsidR="00FD6E7A" w:rsidRDefault="00FD6E7A" w:rsidP="00FD6E7A">
      <w:r>
        <w:t xml:space="preserve">We will search the following sources for randomised clinical trials of vaccines; </w:t>
      </w:r>
      <w:r w:rsidR="00740891">
        <w:t>Medline</w:t>
      </w:r>
      <w:r>
        <w:t>, Cochrane Register of Controlled Trials (CENTRAL), EMBASE, clinicaltrials.gov (</w:t>
      </w:r>
      <w:hyperlink r:id="rId9" w:history="1">
        <w:r>
          <w:rPr>
            <w:rStyle w:val="Hyperlink"/>
          </w:rPr>
          <w:t>https://clinicaltrials.gov/</w:t>
        </w:r>
      </w:hyperlink>
      <w:r>
        <w:t xml:space="preserve">) and the World Health Organisation </w:t>
      </w:r>
      <w:r w:rsidRPr="00830CEB">
        <w:t>International Clinical Trials Registry Platform (ICTRP</w:t>
      </w:r>
      <w:r>
        <w:t xml:space="preserve"> - </w:t>
      </w:r>
      <w:hyperlink r:id="rId10" w:history="1">
        <w:r>
          <w:rPr>
            <w:rStyle w:val="Hyperlink"/>
          </w:rPr>
          <w:t>http://apps.who.int/trialsearch/</w:t>
        </w:r>
      </w:hyperlink>
      <w:r w:rsidRPr="00830CEB">
        <w:t>)</w:t>
      </w:r>
      <w:r>
        <w:t>.</w:t>
      </w:r>
    </w:p>
    <w:p w14:paraId="10E3C13D" w14:textId="22238B17" w:rsidR="00FD6E7A" w:rsidRDefault="00FD6E7A" w:rsidP="00FD6E7A">
      <w:r>
        <w:lastRenderedPageBreak/>
        <w:t>We will use the following search terms for each database (example below for Medline</w:t>
      </w:r>
      <w:r w:rsidR="00D016B7">
        <w:t>): -</w:t>
      </w:r>
    </w:p>
    <w:p w14:paraId="0C78FF81" w14:textId="77777777" w:rsidR="00FD6E7A" w:rsidRDefault="00FD6E7A" w:rsidP="00FD6E7A">
      <w:pPr>
        <w:pStyle w:val="Heading3"/>
      </w:pPr>
      <w:r>
        <w:t>Medline</w:t>
      </w:r>
    </w:p>
    <w:tbl>
      <w:tblPr>
        <w:tblStyle w:val="TableGrid"/>
        <w:tblW w:w="0" w:type="auto"/>
        <w:tblLook w:val="04A0" w:firstRow="1" w:lastRow="0" w:firstColumn="1" w:lastColumn="0" w:noHBand="0" w:noVBand="1"/>
      </w:tblPr>
      <w:tblGrid>
        <w:gridCol w:w="988"/>
        <w:gridCol w:w="2976"/>
      </w:tblGrid>
      <w:tr w:rsidR="00FD6E7A" w14:paraId="383BC830" w14:textId="77777777" w:rsidTr="00CB03B8">
        <w:tc>
          <w:tcPr>
            <w:tcW w:w="988" w:type="dxa"/>
          </w:tcPr>
          <w:p w14:paraId="18EEB023" w14:textId="77777777" w:rsidR="00FD6E7A" w:rsidRDefault="00FD6E7A" w:rsidP="00CB03B8"/>
        </w:tc>
        <w:tc>
          <w:tcPr>
            <w:tcW w:w="2976" w:type="dxa"/>
          </w:tcPr>
          <w:p w14:paraId="17E7F201" w14:textId="77777777" w:rsidR="00FD6E7A" w:rsidRDefault="00FD6E7A" w:rsidP="00CB03B8">
            <w:r>
              <w:t>Terms</w:t>
            </w:r>
          </w:p>
        </w:tc>
      </w:tr>
      <w:tr w:rsidR="00FD6E7A" w14:paraId="5DD7328F" w14:textId="77777777" w:rsidTr="00CB03B8">
        <w:tc>
          <w:tcPr>
            <w:tcW w:w="988" w:type="dxa"/>
          </w:tcPr>
          <w:p w14:paraId="687B9946" w14:textId="77777777" w:rsidR="00FD6E7A" w:rsidRDefault="00FD6E7A" w:rsidP="00CB03B8">
            <w:r>
              <w:t>1</w:t>
            </w:r>
          </w:p>
        </w:tc>
        <w:tc>
          <w:tcPr>
            <w:tcW w:w="2976" w:type="dxa"/>
          </w:tcPr>
          <w:p w14:paraId="68B40957" w14:textId="77777777" w:rsidR="00FD6E7A" w:rsidRDefault="00FD6E7A" w:rsidP="00CB03B8">
            <w:r>
              <w:t>Vaccine[</w:t>
            </w:r>
            <w:proofErr w:type="spellStart"/>
            <w:r>
              <w:t>mh</w:t>
            </w:r>
            <w:proofErr w:type="spellEnd"/>
            <w:r>
              <w:t>]exp</w:t>
            </w:r>
          </w:p>
        </w:tc>
      </w:tr>
      <w:tr w:rsidR="00FD6E7A" w14:paraId="2E2E6134" w14:textId="77777777" w:rsidTr="00CB03B8">
        <w:tc>
          <w:tcPr>
            <w:tcW w:w="988" w:type="dxa"/>
          </w:tcPr>
          <w:p w14:paraId="23BB7DA1" w14:textId="77777777" w:rsidR="00FD6E7A" w:rsidRDefault="00FD6E7A" w:rsidP="00CB03B8">
            <w:r>
              <w:t>2</w:t>
            </w:r>
          </w:p>
        </w:tc>
        <w:tc>
          <w:tcPr>
            <w:tcW w:w="2976" w:type="dxa"/>
          </w:tcPr>
          <w:p w14:paraId="6ACF4F9E" w14:textId="77777777" w:rsidR="00FD6E7A" w:rsidRDefault="00FD6E7A" w:rsidP="00CB03B8">
            <w:r>
              <w:t>Vaccination[</w:t>
            </w:r>
            <w:proofErr w:type="spellStart"/>
            <w:r>
              <w:t>mh</w:t>
            </w:r>
            <w:proofErr w:type="spellEnd"/>
            <w:r>
              <w:t>]exp</w:t>
            </w:r>
          </w:p>
        </w:tc>
      </w:tr>
      <w:tr w:rsidR="00FD6E7A" w14:paraId="58245A1F" w14:textId="77777777" w:rsidTr="00CB03B8">
        <w:tc>
          <w:tcPr>
            <w:tcW w:w="988" w:type="dxa"/>
          </w:tcPr>
          <w:p w14:paraId="4453C4A8" w14:textId="77777777" w:rsidR="00FD6E7A" w:rsidRDefault="00FD6E7A" w:rsidP="00CB03B8">
            <w:r>
              <w:t>3</w:t>
            </w:r>
          </w:p>
        </w:tc>
        <w:tc>
          <w:tcPr>
            <w:tcW w:w="2976" w:type="dxa"/>
          </w:tcPr>
          <w:p w14:paraId="5CAC46C8" w14:textId="77777777" w:rsidR="00FD6E7A" w:rsidRDefault="00FD6E7A" w:rsidP="00CB03B8">
            <w:r>
              <w:t>Synonyms for each of the vaccines in scope</w:t>
            </w:r>
          </w:p>
        </w:tc>
      </w:tr>
      <w:tr w:rsidR="00FD6E7A" w14:paraId="65E5DB6D" w14:textId="77777777" w:rsidTr="00CB03B8">
        <w:tc>
          <w:tcPr>
            <w:tcW w:w="988" w:type="dxa"/>
          </w:tcPr>
          <w:p w14:paraId="05A22D95" w14:textId="77777777" w:rsidR="00FD6E7A" w:rsidRDefault="00FD6E7A" w:rsidP="00CB03B8">
            <w:r>
              <w:t>4</w:t>
            </w:r>
          </w:p>
        </w:tc>
        <w:tc>
          <w:tcPr>
            <w:tcW w:w="2976" w:type="dxa"/>
          </w:tcPr>
          <w:p w14:paraId="39BB6A32" w14:textId="77777777" w:rsidR="00FD6E7A" w:rsidRDefault="00FD6E7A" w:rsidP="00CB03B8">
            <w:r>
              <w:t>Randomised controlled trial filter</w:t>
            </w:r>
          </w:p>
        </w:tc>
      </w:tr>
      <w:tr w:rsidR="00F931CF" w14:paraId="71FFE126" w14:textId="77777777" w:rsidTr="00CB03B8">
        <w:tc>
          <w:tcPr>
            <w:tcW w:w="988" w:type="dxa"/>
          </w:tcPr>
          <w:p w14:paraId="4AB7EC73" w14:textId="006D5BC1" w:rsidR="00F931CF" w:rsidRDefault="00F931CF" w:rsidP="00CB03B8">
            <w:r>
              <w:t>5</w:t>
            </w:r>
          </w:p>
        </w:tc>
        <w:tc>
          <w:tcPr>
            <w:tcW w:w="2976" w:type="dxa"/>
          </w:tcPr>
          <w:p w14:paraId="0CF6C568" w14:textId="67956CED" w:rsidR="00F931CF" w:rsidRDefault="00950F3C" w:rsidP="00CB03B8">
            <w:r>
              <w:t>(#1 OR #2 OR #3) AND #4</w:t>
            </w:r>
          </w:p>
        </w:tc>
      </w:tr>
    </w:tbl>
    <w:p w14:paraId="3E1FC794" w14:textId="77777777" w:rsidR="00FD6E7A" w:rsidRDefault="00FD6E7A" w:rsidP="00FD6E7A"/>
    <w:p w14:paraId="64385094" w14:textId="214AEEC9" w:rsidR="00FD6E7A" w:rsidRDefault="00FD6E7A" w:rsidP="00FD6E7A">
      <w:pPr>
        <w:pStyle w:val="Heading1"/>
      </w:pPr>
      <w:r>
        <w:t>Data sources</w:t>
      </w:r>
      <w:r w:rsidR="00B45B69">
        <w:t xml:space="preserve"> and extraction</w:t>
      </w:r>
    </w:p>
    <w:p w14:paraId="5F783978" w14:textId="489BB5C4" w:rsidR="00FD6E7A" w:rsidRDefault="00FD6E7A" w:rsidP="00FD6E7A">
      <w:r>
        <w:t>Data will be obtained from published reports</w:t>
      </w:r>
      <w:r w:rsidR="00577D81">
        <w:t xml:space="preserve"> of individual trials</w:t>
      </w:r>
      <w:r w:rsidR="00653DFE">
        <w:t xml:space="preserve">, published </w:t>
      </w:r>
      <w:r w:rsidR="00577D81">
        <w:t>systematic reviews and meta-analyses</w:t>
      </w:r>
      <w:r>
        <w:t>, clinical study reports</w:t>
      </w:r>
      <w:r w:rsidR="002B5EE6">
        <w:t xml:space="preserve"> (CSRs)</w:t>
      </w:r>
      <w:r>
        <w:t xml:space="preserve"> (</w:t>
      </w:r>
      <w:r w:rsidR="00452553">
        <w:t>e.g.</w:t>
      </w:r>
      <w:r>
        <w:t xml:space="preserve"> as submitted to the European Medicines Agency), and where necessary by contacting </w:t>
      </w:r>
      <w:r w:rsidR="00DB2228">
        <w:t>authors.</w:t>
      </w:r>
      <w:r w:rsidR="002B5EE6">
        <w:t xml:space="preserve"> For those industry sponsors who require an application to access CSRs </w:t>
      </w:r>
      <w:r w:rsidR="00AF6729">
        <w:t>(</w:t>
      </w:r>
      <w:r w:rsidR="002B5EE6">
        <w:t>some</w:t>
      </w:r>
      <w:r w:rsidR="00AF6729">
        <w:t xml:space="preserve"> sponsors such as GSK</w:t>
      </w:r>
      <w:r w:rsidR="002B5EE6">
        <w:t xml:space="preserve"> make trials available immediately for download), we will apply for access. </w:t>
      </w:r>
      <w:r w:rsidR="007C5A53">
        <w:t xml:space="preserve">We do not anticipate applying for individual-level participant data from any trial due to resource </w:t>
      </w:r>
      <w:r w:rsidR="00AD02FB">
        <w:t>constraints</w:t>
      </w:r>
      <w:r w:rsidR="007C5A53">
        <w:t>.</w:t>
      </w:r>
    </w:p>
    <w:p w14:paraId="75F53F55" w14:textId="1D44962D" w:rsidR="00B45B69" w:rsidRDefault="000F19F9" w:rsidP="007D6EF2">
      <w:r>
        <w:t xml:space="preserve">For each trial, we will obtain estimates of </w:t>
      </w:r>
      <w:r w:rsidR="00017E62">
        <w:t xml:space="preserve">the vaccine efficacy for each outcome for each </w:t>
      </w:r>
      <w:r w:rsidR="0002059F">
        <w:t xml:space="preserve">trial </w:t>
      </w:r>
      <w:r w:rsidR="00017E62">
        <w:t>site.</w:t>
      </w:r>
      <w:r w:rsidR="0002059F">
        <w:t xml:space="preserve"> Where site level data is not </w:t>
      </w:r>
      <w:r w:rsidR="00B02EC3">
        <w:t>available,</w:t>
      </w:r>
      <w:r w:rsidR="0002059F">
        <w:t xml:space="preserve"> we will obtain </w:t>
      </w:r>
      <w:r w:rsidR="00B02EC3">
        <w:t xml:space="preserve">estimates for each income setting. Where </w:t>
      </w:r>
      <w:r w:rsidR="00AD02FB">
        <w:t>settings outcome data</w:t>
      </w:r>
      <w:r w:rsidR="00B02EC3">
        <w:t xml:space="preserve"> are not available, we will obtain overall estimates as well as the proportion of participants in each site/setting.</w:t>
      </w:r>
      <w:r w:rsidR="00E173D3">
        <w:t xml:space="preserve"> We will also obtain baseline characteristics data for </w:t>
      </w:r>
      <w:r w:rsidR="00FF3253">
        <w:t>each</w:t>
      </w:r>
      <w:r w:rsidR="00E173D3">
        <w:t xml:space="preserve"> trial</w:t>
      </w:r>
      <w:r w:rsidR="00FF3253">
        <w:t xml:space="preserve"> such as the mean age, sex etc</w:t>
      </w:r>
      <w:r w:rsidR="00E173D3">
        <w:t>.</w:t>
      </w:r>
      <w:r w:rsidR="00B9090E">
        <w:t xml:space="preserve"> For </w:t>
      </w:r>
      <w:r w:rsidR="00804FBD">
        <w:t xml:space="preserve">all trials we will </w:t>
      </w:r>
      <w:r w:rsidR="00B02EC3">
        <w:t xml:space="preserve">obtain the </w:t>
      </w:r>
      <w:r w:rsidR="00A96160">
        <w:t xml:space="preserve">intention to treat </w:t>
      </w:r>
      <w:r w:rsidR="00D711F5">
        <w:t xml:space="preserve">population estimates where these are available. Where they are not, we will obtain the </w:t>
      </w:r>
      <w:r w:rsidR="003705E9">
        <w:t>per protocol analysis estimates, but will note that these are the ones which have been presented</w:t>
      </w:r>
      <w:r w:rsidR="00A96160">
        <w:t>.</w:t>
      </w:r>
    </w:p>
    <w:p w14:paraId="4C74D103" w14:textId="27C9A819" w:rsidR="006B43D5" w:rsidRDefault="006B43D5" w:rsidP="006B43D5">
      <w:pPr>
        <w:pStyle w:val="Heading1"/>
      </w:pPr>
      <w:r>
        <w:t>Overall comparison</w:t>
      </w:r>
    </w:p>
    <w:p w14:paraId="2356A58F" w14:textId="5ED2A594" w:rsidR="009554F8" w:rsidRDefault="006B43D5" w:rsidP="007D6EF2">
      <w:r>
        <w:t>For each vaccine, we will first compare the overall treatment efficacy for each outcom</w:t>
      </w:r>
      <w:r w:rsidR="00EA3951">
        <w:t>e;</w:t>
      </w:r>
      <w:r w:rsidR="009554F8">
        <w:t xml:space="preserve"> </w:t>
      </w:r>
      <w:r w:rsidR="00EA3951">
        <w:t xml:space="preserve">treating high-income </w:t>
      </w:r>
      <w:r w:rsidR="009D6D67">
        <w:t>settings</w:t>
      </w:r>
      <w:r w:rsidR="00EA3951">
        <w:t xml:space="preserve"> as the reference level, we will estimate interactions for </w:t>
      </w:r>
      <w:r w:rsidR="00AF38F5">
        <w:t xml:space="preserve">upper middle, </w:t>
      </w:r>
      <w:r w:rsidR="00EA3951">
        <w:t>lower middle and low-income settings.</w:t>
      </w:r>
      <w:r w:rsidR="007E71F3">
        <w:t xml:space="preserve"> </w:t>
      </w:r>
      <w:r w:rsidR="009554F8">
        <w:t xml:space="preserve">We will increase robustness to outlying values and improve precision by “borrowing” information across </w:t>
      </w:r>
      <w:r w:rsidR="00ED25BF">
        <w:t>related trials in t</w:t>
      </w:r>
      <w:r w:rsidR="009554F8">
        <w:t>he hierarchical model</w:t>
      </w:r>
      <w:r w:rsidR="00ED25BF">
        <w:t xml:space="preserve"> described above.</w:t>
      </w:r>
      <w:r w:rsidR="000555CE">
        <w:t xml:space="preserve"> We will use these to report the mean difference in vaccine efficacy across low</w:t>
      </w:r>
      <w:r w:rsidR="001A37FD">
        <w:t xml:space="preserve">, lower-middle </w:t>
      </w:r>
      <w:r w:rsidR="000555CE">
        <w:t>and high-income settings</w:t>
      </w:r>
      <w:r w:rsidR="008C2D2F">
        <w:t>.</w:t>
      </w:r>
    </w:p>
    <w:p w14:paraId="201EAC03" w14:textId="0A7516C9" w:rsidR="007D6EF2" w:rsidRDefault="007D6EF2" w:rsidP="007D6EF2">
      <w:pPr>
        <w:pStyle w:val="Heading2"/>
      </w:pPr>
      <w:r>
        <w:t>Covariate data</w:t>
      </w:r>
      <w:r w:rsidR="009554F8">
        <w:t xml:space="preserve"> for examining differences in site-specific efficacy</w:t>
      </w:r>
    </w:p>
    <w:p w14:paraId="57A7CE6E" w14:textId="3ECEB467" w:rsidR="0090166D" w:rsidRDefault="00ED25BF" w:rsidP="007D6EF2">
      <w:r>
        <w:t xml:space="preserve">For any vaccine, where the mean difference </w:t>
      </w:r>
      <w:r w:rsidR="00536629">
        <w:t xml:space="preserve">in efficacy between low income and </w:t>
      </w:r>
      <w:r w:rsidR="00280C80">
        <w:t>high-income</w:t>
      </w:r>
      <w:r w:rsidR="00536629">
        <w:t xml:space="preserve"> settings</w:t>
      </w:r>
      <w:r>
        <w:t xml:space="preserve"> </w:t>
      </w:r>
      <w:r w:rsidR="00723BBB">
        <w:t xml:space="preserve">was </w:t>
      </w:r>
      <w:r w:rsidR="00C739C8">
        <w:t>not close to null</w:t>
      </w:r>
      <w:r w:rsidR="0090166D">
        <w:t>, we will subsequently perform a meta-regression of which site-specific factors are associated with differences in efficacy</w:t>
      </w:r>
      <w:r w:rsidR="00D3118F">
        <w:t>. N</w:t>
      </w:r>
      <w:r w:rsidR="002B2B7D">
        <w:t xml:space="preserve">ull </w:t>
      </w:r>
      <w:r w:rsidR="00D3118F">
        <w:t>will be defined for</w:t>
      </w:r>
      <w:r w:rsidR="00296525">
        <w:t xml:space="preserve"> categorical outcomes</w:t>
      </w:r>
      <w:r w:rsidR="004E0DCF">
        <w:t xml:space="preserve"> </w:t>
      </w:r>
      <w:r w:rsidR="00536629">
        <w:t>as -0.</w:t>
      </w:r>
      <w:proofErr w:type="gramStart"/>
      <w:r w:rsidR="00536629">
        <w:t>1  &lt;</w:t>
      </w:r>
      <w:proofErr w:type="gramEnd"/>
      <w:r w:rsidR="00536629">
        <w:t xml:space="preserve">= </w:t>
      </w:r>
      <w:r w:rsidR="002A5AF9">
        <w:t>log(</w:t>
      </w:r>
      <w:proofErr w:type="gramStart"/>
      <w:r w:rsidR="002A5AF9">
        <w:t>difference)  &lt;</w:t>
      </w:r>
      <w:proofErr w:type="gramEnd"/>
      <w:r w:rsidR="002A5AF9">
        <w:t xml:space="preserve">= </w:t>
      </w:r>
      <w:r>
        <w:t>0.1</w:t>
      </w:r>
      <w:r w:rsidR="0036784F">
        <w:t xml:space="preserve"> and for </w:t>
      </w:r>
      <w:r w:rsidR="000345C0">
        <w:t xml:space="preserve">continuous outcomes </w:t>
      </w:r>
      <w:r w:rsidR="00D3118F">
        <w:t>(standardised</w:t>
      </w:r>
      <w:r w:rsidR="00B41D49">
        <w:t xml:space="preserve"> by dividing by the standard deviation)</w:t>
      </w:r>
      <w:r w:rsidR="00D3118F">
        <w:t xml:space="preserve"> </w:t>
      </w:r>
      <w:r w:rsidR="000345C0">
        <w:t xml:space="preserve">as </w:t>
      </w:r>
      <w:r w:rsidR="00D74783">
        <w:t>-0.</w:t>
      </w:r>
      <w:proofErr w:type="gramStart"/>
      <w:r w:rsidR="00D74783">
        <w:t>05  &lt;</w:t>
      </w:r>
      <w:proofErr w:type="gramEnd"/>
      <w:r w:rsidR="00D74783">
        <w:t>= difference &lt;= 0.05</w:t>
      </w:r>
      <w:r w:rsidR="0090166D">
        <w:t>.</w:t>
      </w:r>
    </w:p>
    <w:p w14:paraId="53B9A9D5" w14:textId="5DD5B4FC" w:rsidR="007D6EF2" w:rsidRDefault="0090166D" w:rsidP="007D6EF2">
      <w:r>
        <w:t>For the meta-regression</w:t>
      </w:r>
      <w:r w:rsidR="00296525">
        <w:t xml:space="preserve">, for </w:t>
      </w:r>
      <w:r w:rsidR="007D6EF2">
        <w:t xml:space="preserve">each </w:t>
      </w:r>
      <w:r w:rsidR="00296525">
        <w:t xml:space="preserve">trial </w:t>
      </w:r>
      <w:r w:rsidR="00504A4F">
        <w:t xml:space="preserve">site </w:t>
      </w:r>
      <w:r w:rsidR="007D6EF2">
        <w:t xml:space="preserve">we will obtain the following </w:t>
      </w:r>
      <w:r>
        <w:t xml:space="preserve">explanatory </w:t>
      </w:r>
      <w:r w:rsidR="00D016B7">
        <w:t>variables: -</w:t>
      </w:r>
    </w:p>
    <w:p w14:paraId="14B539CE" w14:textId="5C9C9E48" w:rsidR="007D6EF2" w:rsidRDefault="007D6EF2" w:rsidP="007D6EF2">
      <w:pPr>
        <w:pStyle w:val="ListParagraph"/>
        <w:numPr>
          <w:ilvl w:val="0"/>
          <w:numId w:val="5"/>
        </w:numPr>
      </w:pPr>
      <w:r>
        <w:t>Climatic</w:t>
      </w:r>
    </w:p>
    <w:p w14:paraId="07775D1F" w14:textId="77777777" w:rsidR="007D6EF2" w:rsidRDefault="007D6EF2" w:rsidP="007D6EF2">
      <w:pPr>
        <w:pStyle w:val="ListParagraph"/>
        <w:numPr>
          <w:ilvl w:val="1"/>
          <w:numId w:val="5"/>
        </w:numPr>
      </w:pPr>
      <w:r>
        <w:t>Average temperature/peak temperatures</w:t>
      </w:r>
    </w:p>
    <w:p w14:paraId="093C141B" w14:textId="6A8D0B0D" w:rsidR="007D6EF2" w:rsidRDefault="00D016B7" w:rsidP="007D6EF2">
      <w:pPr>
        <w:pStyle w:val="ListParagraph"/>
        <w:numPr>
          <w:ilvl w:val="0"/>
          <w:numId w:val="5"/>
        </w:numPr>
      </w:pPr>
      <w:r>
        <w:t>Economic [</w:t>
      </w:r>
      <w:r w:rsidR="00076AF1">
        <w:t>World Bank</w:t>
      </w:r>
      <w:r w:rsidR="007D6EF2">
        <w:t>]</w:t>
      </w:r>
    </w:p>
    <w:p w14:paraId="60DBF8DE" w14:textId="739DBBDC" w:rsidR="007D6EF2" w:rsidRDefault="007D6EF2" w:rsidP="007D6EF2">
      <w:pPr>
        <w:pStyle w:val="ListParagraph"/>
        <w:numPr>
          <w:ilvl w:val="1"/>
          <w:numId w:val="5"/>
        </w:numPr>
      </w:pPr>
      <w:r>
        <w:lastRenderedPageBreak/>
        <w:t>Quality of transport infrastructure</w:t>
      </w:r>
    </w:p>
    <w:p w14:paraId="053CE076" w14:textId="3B53B0F6" w:rsidR="00B1081A" w:rsidRDefault="00B1081A" w:rsidP="007D6EF2">
      <w:pPr>
        <w:pStyle w:val="ListParagraph"/>
        <w:numPr>
          <w:ilvl w:val="1"/>
          <w:numId w:val="5"/>
        </w:numPr>
      </w:pPr>
      <w:r>
        <w:t>GDP</w:t>
      </w:r>
    </w:p>
    <w:p w14:paraId="71E74B2A" w14:textId="77777777" w:rsidR="007D6EF2" w:rsidRDefault="007D6EF2" w:rsidP="007D6EF2">
      <w:pPr>
        <w:pStyle w:val="ListParagraph"/>
        <w:numPr>
          <w:ilvl w:val="0"/>
          <w:numId w:val="5"/>
        </w:numPr>
      </w:pPr>
      <w:r>
        <w:t>Health-related variables</w:t>
      </w:r>
    </w:p>
    <w:p w14:paraId="513B8763" w14:textId="3FEDD3F4" w:rsidR="007D6EF2" w:rsidRDefault="007D6EF2" w:rsidP="007D6EF2">
      <w:pPr>
        <w:pStyle w:val="ListParagraph"/>
        <w:numPr>
          <w:ilvl w:val="1"/>
          <w:numId w:val="5"/>
        </w:numPr>
      </w:pPr>
      <w:r>
        <w:t>Prevalence of relevant pre-specified comorbid diseases (</w:t>
      </w:r>
      <w:r w:rsidR="00096447">
        <w:t>e.g.</w:t>
      </w:r>
      <w:r>
        <w:t xml:space="preserve"> other gastrointestinal infections)</w:t>
      </w:r>
    </w:p>
    <w:p w14:paraId="09EDD9B3" w14:textId="220C4A12" w:rsidR="00B1081A" w:rsidRDefault="00B1081A" w:rsidP="007D6EF2">
      <w:pPr>
        <w:pStyle w:val="ListParagraph"/>
        <w:numPr>
          <w:ilvl w:val="1"/>
          <w:numId w:val="5"/>
        </w:numPr>
      </w:pPr>
      <w:r>
        <w:t>Prevalence of incomplete immunisation</w:t>
      </w:r>
    </w:p>
    <w:p w14:paraId="603F14F7" w14:textId="26E557E0" w:rsidR="00B1081A" w:rsidRDefault="009E4CE0" w:rsidP="007D6EF2">
      <w:pPr>
        <w:pStyle w:val="ListParagraph"/>
        <w:numPr>
          <w:ilvl w:val="1"/>
          <w:numId w:val="5"/>
        </w:numPr>
      </w:pPr>
      <w:r>
        <w:t>Vaccine program</w:t>
      </w:r>
    </w:p>
    <w:p w14:paraId="3335B5AD" w14:textId="77777777" w:rsidR="00B1081A" w:rsidRDefault="00B1081A" w:rsidP="007D6EF2">
      <w:pPr>
        <w:pStyle w:val="ListParagraph"/>
        <w:numPr>
          <w:ilvl w:val="0"/>
          <w:numId w:val="5"/>
        </w:numPr>
      </w:pPr>
      <w:r>
        <w:t xml:space="preserve">Agent-related </w:t>
      </w:r>
    </w:p>
    <w:p w14:paraId="73C5C7FD" w14:textId="1B149363" w:rsidR="007D6EF2" w:rsidRDefault="007D6EF2" w:rsidP="00B1081A">
      <w:pPr>
        <w:pStyle w:val="ListParagraph"/>
        <w:numPr>
          <w:ilvl w:val="1"/>
          <w:numId w:val="5"/>
        </w:numPr>
      </w:pPr>
      <w:r>
        <w:t>The extent of antigenic variation within and between countries</w:t>
      </w:r>
    </w:p>
    <w:p w14:paraId="7F66F36F" w14:textId="3C1D7DA9" w:rsidR="00B1081A" w:rsidRDefault="00B1081A" w:rsidP="00B1081A">
      <w:pPr>
        <w:pStyle w:val="ListParagraph"/>
        <w:numPr>
          <w:ilvl w:val="1"/>
          <w:numId w:val="5"/>
        </w:numPr>
      </w:pPr>
      <w:r>
        <w:t>etc</w:t>
      </w:r>
    </w:p>
    <w:p w14:paraId="562D2924" w14:textId="649FAAF3" w:rsidR="00EB2448" w:rsidRDefault="00EB2448" w:rsidP="00EB2448">
      <w:pPr>
        <w:pStyle w:val="ListParagraph"/>
        <w:numPr>
          <w:ilvl w:val="0"/>
          <w:numId w:val="5"/>
        </w:numPr>
      </w:pPr>
      <w:r>
        <w:t>Trial design variables</w:t>
      </w:r>
    </w:p>
    <w:p w14:paraId="5C6E1301" w14:textId="0EA4F998" w:rsidR="00EB2448" w:rsidRDefault="00466FDD" w:rsidP="00EB2448">
      <w:pPr>
        <w:pStyle w:val="ListParagraph"/>
        <w:numPr>
          <w:ilvl w:val="1"/>
          <w:numId w:val="5"/>
        </w:numPr>
      </w:pPr>
      <w:r>
        <w:t>For individual-level randomisation, the number of protocol violations</w:t>
      </w:r>
    </w:p>
    <w:p w14:paraId="6A07E44E" w14:textId="365CD2C5" w:rsidR="00466FDD" w:rsidRDefault="00466FDD" w:rsidP="00EB2448">
      <w:pPr>
        <w:pStyle w:val="ListParagraph"/>
        <w:numPr>
          <w:ilvl w:val="1"/>
          <w:numId w:val="5"/>
        </w:numPr>
      </w:pPr>
      <w:r>
        <w:t>For cluster trials, the level of coverage</w:t>
      </w:r>
    </w:p>
    <w:p w14:paraId="6D191B85" w14:textId="21E91681" w:rsidR="007D6EF2" w:rsidRDefault="007D6EF2" w:rsidP="007D6EF2">
      <w:r>
        <w:t>We will obtain these estimates from the websites of national and international agencies, and from the published literature. Where these are likely to be time-varying</w:t>
      </w:r>
      <w:r w:rsidR="009A274E">
        <w:t xml:space="preserve"> (</w:t>
      </w:r>
      <w:r w:rsidR="005F6C01">
        <w:t>e.g.</w:t>
      </w:r>
      <w:r w:rsidR="009A274E">
        <w:t xml:space="preserve"> incomplete immunisation)</w:t>
      </w:r>
      <w:r>
        <w:t xml:space="preserve">, we will obtain data for the year closest to the mid-point </w:t>
      </w:r>
      <w:r w:rsidR="006F738E">
        <w:t>between the trial end and start date</w:t>
      </w:r>
      <w:r w:rsidR="009A274E">
        <w:t>s</w:t>
      </w:r>
      <w:r>
        <w:t>.</w:t>
      </w:r>
    </w:p>
    <w:p w14:paraId="02515468" w14:textId="20C02C30" w:rsidR="00B45B69" w:rsidRDefault="00B45B69" w:rsidP="007D6EF2">
      <w:r>
        <w:t>We will model the effect of these variables on treatment efficacy in hierarchical generalised linear models.</w:t>
      </w:r>
    </w:p>
    <w:p w14:paraId="4B624380" w14:textId="47388C5D" w:rsidR="0028405C" w:rsidRDefault="0028405C" w:rsidP="006C3D23">
      <w:pPr>
        <w:pStyle w:val="Heading1"/>
      </w:pPr>
      <w:r>
        <w:t>Software</w:t>
      </w:r>
    </w:p>
    <w:p w14:paraId="4E2B0308" w14:textId="426A0696" w:rsidR="00B45B69" w:rsidRPr="00442E57" w:rsidRDefault="0028405C" w:rsidP="00E107A8">
      <w:r>
        <w:t xml:space="preserve">We will conduct the </w:t>
      </w:r>
      <w:r w:rsidR="00B37196">
        <w:t>review using Covidence software (</w:t>
      </w:r>
      <w:hyperlink r:id="rId11" w:history="1">
        <w:r w:rsidR="00B37196" w:rsidRPr="00CC043D">
          <w:rPr>
            <w:rStyle w:val="Hyperlink"/>
          </w:rPr>
          <w:t>https://support.covidence.org/help</w:t>
        </w:r>
      </w:hyperlink>
      <w:proofErr w:type="gramStart"/>
      <w:r w:rsidR="00B37196">
        <w:t>)</w:t>
      </w:r>
      <w:r w:rsidR="00B37196" w:rsidRPr="00B37196">
        <w:t xml:space="preserve"> </w:t>
      </w:r>
      <w:r w:rsidR="00B37196">
        <w:t>,</w:t>
      </w:r>
      <w:proofErr w:type="gramEnd"/>
      <w:r w:rsidR="00B37196">
        <w:t xml:space="preserve"> for which DM has purchased a </w:t>
      </w:r>
      <w:r w:rsidR="000A22AB">
        <w:t xml:space="preserve">small group </w:t>
      </w:r>
      <w:r w:rsidR="00B37196">
        <w:t xml:space="preserve">licence. Briefly, </w:t>
      </w:r>
      <w:r w:rsidR="006C3D23">
        <w:t>Covidence provides facilities to help with screening, data extraction, harmonisation and data management. It also provides online videos. AS has extensive experience in using Covidence to produce systematic reviews.</w:t>
      </w:r>
    </w:p>
    <w:sectPr w:rsidR="00B45B69" w:rsidRPr="00442E5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71F6C" w14:textId="77777777" w:rsidR="0008695B" w:rsidRDefault="0008695B" w:rsidP="00DB1C8F">
      <w:pPr>
        <w:spacing w:after="0" w:line="240" w:lineRule="auto"/>
      </w:pPr>
      <w:r>
        <w:separator/>
      </w:r>
    </w:p>
  </w:endnote>
  <w:endnote w:type="continuationSeparator" w:id="0">
    <w:p w14:paraId="441C0642" w14:textId="77777777" w:rsidR="0008695B" w:rsidRDefault="0008695B" w:rsidP="00DB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0537171"/>
      <w:docPartObj>
        <w:docPartGallery w:val="Page Numbers (Bottom of Page)"/>
        <w:docPartUnique/>
      </w:docPartObj>
    </w:sdtPr>
    <w:sdtEndPr>
      <w:rPr>
        <w:noProof/>
      </w:rPr>
    </w:sdtEndPr>
    <w:sdtContent>
      <w:p w14:paraId="714DAC07" w14:textId="25043028" w:rsidR="00DB1C8F" w:rsidRDefault="00DB1C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954FA" w14:textId="77777777" w:rsidR="00DB1C8F" w:rsidRDefault="00DB1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4D721" w14:textId="77777777" w:rsidR="0008695B" w:rsidRDefault="0008695B" w:rsidP="00DB1C8F">
      <w:pPr>
        <w:spacing w:after="0" w:line="240" w:lineRule="auto"/>
      </w:pPr>
      <w:r>
        <w:separator/>
      </w:r>
    </w:p>
  </w:footnote>
  <w:footnote w:type="continuationSeparator" w:id="0">
    <w:p w14:paraId="6D54B6BC" w14:textId="77777777" w:rsidR="0008695B" w:rsidRDefault="0008695B" w:rsidP="00DB1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17F69BA"/>
    <w:multiLevelType w:val="multilevel"/>
    <w:tmpl w:val="8F88EB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1D5496E"/>
    <w:multiLevelType w:val="hybridMultilevel"/>
    <w:tmpl w:val="A600C404"/>
    <w:lvl w:ilvl="0" w:tplc="3A16EF8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906B7"/>
    <w:multiLevelType w:val="multilevel"/>
    <w:tmpl w:val="64EE62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7F96E2C"/>
    <w:multiLevelType w:val="hybridMultilevel"/>
    <w:tmpl w:val="D3FE3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E0C6C"/>
    <w:multiLevelType w:val="hybridMultilevel"/>
    <w:tmpl w:val="602E1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CF32A7"/>
    <w:multiLevelType w:val="hybridMultilevel"/>
    <w:tmpl w:val="F8AA4E14"/>
    <w:lvl w:ilvl="0" w:tplc="3A16EF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8C3E08"/>
    <w:multiLevelType w:val="multilevel"/>
    <w:tmpl w:val="C570FA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3F40633"/>
    <w:multiLevelType w:val="hybridMultilevel"/>
    <w:tmpl w:val="E6285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9120563">
    <w:abstractNumId w:val="4"/>
  </w:num>
  <w:num w:numId="2" w16cid:durableId="1481966050">
    <w:abstractNumId w:val="3"/>
  </w:num>
  <w:num w:numId="3" w16cid:durableId="1195536965">
    <w:abstractNumId w:val="7"/>
  </w:num>
  <w:num w:numId="4" w16cid:durableId="2067533495">
    <w:abstractNumId w:val="5"/>
  </w:num>
  <w:num w:numId="5" w16cid:durableId="189995764">
    <w:abstractNumId w:val="1"/>
  </w:num>
  <w:num w:numId="6" w16cid:durableId="779103534">
    <w:abstractNumId w:val="0"/>
  </w:num>
  <w:num w:numId="7" w16cid:durableId="1263998488">
    <w:abstractNumId w:val="6"/>
  </w:num>
  <w:num w:numId="8" w16cid:durableId="501357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4"/>
    <w:rsid w:val="00000CEC"/>
    <w:rsid w:val="00005275"/>
    <w:rsid w:val="00007E6A"/>
    <w:rsid w:val="00017E62"/>
    <w:rsid w:val="0002059F"/>
    <w:rsid w:val="00020DCF"/>
    <w:rsid w:val="000246FE"/>
    <w:rsid w:val="00031C1B"/>
    <w:rsid w:val="000345C0"/>
    <w:rsid w:val="00035A99"/>
    <w:rsid w:val="0004651F"/>
    <w:rsid w:val="00050442"/>
    <w:rsid w:val="00052A5E"/>
    <w:rsid w:val="000555CE"/>
    <w:rsid w:val="00060AC9"/>
    <w:rsid w:val="00071C09"/>
    <w:rsid w:val="00074D55"/>
    <w:rsid w:val="00076AF1"/>
    <w:rsid w:val="00077331"/>
    <w:rsid w:val="0008695B"/>
    <w:rsid w:val="00090C04"/>
    <w:rsid w:val="00096447"/>
    <w:rsid w:val="000A22AB"/>
    <w:rsid w:val="000A388C"/>
    <w:rsid w:val="000C3CE0"/>
    <w:rsid w:val="000C5BE6"/>
    <w:rsid w:val="000C79E5"/>
    <w:rsid w:val="000D7FB1"/>
    <w:rsid w:val="000E54C8"/>
    <w:rsid w:val="000F19F9"/>
    <w:rsid w:val="000F41B1"/>
    <w:rsid w:val="000F5FE6"/>
    <w:rsid w:val="00127C81"/>
    <w:rsid w:val="00132FF5"/>
    <w:rsid w:val="00141C94"/>
    <w:rsid w:val="001605AC"/>
    <w:rsid w:val="00160F63"/>
    <w:rsid w:val="00173108"/>
    <w:rsid w:val="00176A93"/>
    <w:rsid w:val="001900D1"/>
    <w:rsid w:val="001A065C"/>
    <w:rsid w:val="001A37FD"/>
    <w:rsid w:val="001B267F"/>
    <w:rsid w:val="001B3F03"/>
    <w:rsid w:val="001E4245"/>
    <w:rsid w:val="001F39FC"/>
    <w:rsid w:val="00203000"/>
    <w:rsid w:val="00212A1D"/>
    <w:rsid w:val="002177EC"/>
    <w:rsid w:val="0023646C"/>
    <w:rsid w:val="00250FC0"/>
    <w:rsid w:val="00253871"/>
    <w:rsid w:val="002634D6"/>
    <w:rsid w:val="00263C8F"/>
    <w:rsid w:val="00272CFE"/>
    <w:rsid w:val="002753BA"/>
    <w:rsid w:val="00280C80"/>
    <w:rsid w:val="00283480"/>
    <w:rsid w:val="0028405C"/>
    <w:rsid w:val="00296525"/>
    <w:rsid w:val="002A1111"/>
    <w:rsid w:val="002A3705"/>
    <w:rsid w:val="002A5AF9"/>
    <w:rsid w:val="002B2B7D"/>
    <w:rsid w:val="002B47C3"/>
    <w:rsid w:val="002B5EE6"/>
    <w:rsid w:val="002C7C56"/>
    <w:rsid w:val="002D2670"/>
    <w:rsid w:val="002D688A"/>
    <w:rsid w:val="002E3A52"/>
    <w:rsid w:val="002E5007"/>
    <w:rsid w:val="002F50B1"/>
    <w:rsid w:val="0030566D"/>
    <w:rsid w:val="00310D55"/>
    <w:rsid w:val="003168DE"/>
    <w:rsid w:val="00321086"/>
    <w:rsid w:val="00331C83"/>
    <w:rsid w:val="003335FE"/>
    <w:rsid w:val="00344F56"/>
    <w:rsid w:val="00345FAC"/>
    <w:rsid w:val="003531F3"/>
    <w:rsid w:val="0036784F"/>
    <w:rsid w:val="003705E9"/>
    <w:rsid w:val="00394E02"/>
    <w:rsid w:val="00396197"/>
    <w:rsid w:val="0039628B"/>
    <w:rsid w:val="003A65AA"/>
    <w:rsid w:val="003D4EFE"/>
    <w:rsid w:val="003E1AC5"/>
    <w:rsid w:val="003E2479"/>
    <w:rsid w:val="003E54FA"/>
    <w:rsid w:val="003E7212"/>
    <w:rsid w:val="003F1A84"/>
    <w:rsid w:val="00411AF1"/>
    <w:rsid w:val="00417100"/>
    <w:rsid w:val="00417761"/>
    <w:rsid w:val="00432B09"/>
    <w:rsid w:val="00442E57"/>
    <w:rsid w:val="00443C79"/>
    <w:rsid w:val="00452553"/>
    <w:rsid w:val="004666C9"/>
    <w:rsid w:val="00466FDD"/>
    <w:rsid w:val="00475D93"/>
    <w:rsid w:val="0049383C"/>
    <w:rsid w:val="004A7558"/>
    <w:rsid w:val="004B5B93"/>
    <w:rsid w:val="004D7784"/>
    <w:rsid w:val="004E0DCF"/>
    <w:rsid w:val="004E29F5"/>
    <w:rsid w:val="004E5A22"/>
    <w:rsid w:val="00504A4F"/>
    <w:rsid w:val="005101A9"/>
    <w:rsid w:val="00513CCD"/>
    <w:rsid w:val="00536629"/>
    <w:rsid w:val="0055148F"/>
    <w:rsid w:val="0055621E"/>
    <w:rsid w:val="0056017E"/>
    <w:rsid w:val="00565162"/>
    <w:rsid w:val="005675EF"/>
    <w:rsid w:val="00573B19"/>
    <w:rsid w:val="00577D81"/>
    <w:rsid w:val="00584A78"/>
    <w:rsid w:val="00585331"/>
    <w:rsid w:val="00585830"/>
    <w:rsid w:val="005B3D24"/>
    <w:rsid w:val="005B778B"/>
    <w:rsid w:val="005F6C01"/>
    <w:rsid w:val="00615926"/>
    <w:rsid w:val="00616996"/>
    <w:rsid w:val="00630AFB"/>
    <w:rsid w:val="006356C8"/>
    <w:rsid w:val="00653DFE"/>
    <w:rsid w:val="00672F04"/>
    <w:rsid w:val="00676DEC"/>
    <w:rsid w:val="00697BEA"/>
    <w:rsid w:val="006B43D5"/>
    <w:rsid w:val="006C3D23"/>
    <w:rsid w:val="006C6588"/>
    <w:rsid w:val="006D5782"/>
    <w:rsid w:val="006E208C"/>
    <w:rsid w:val="006E6451"/>
    <w:rsid w:val="006F5603"/>
    <w:rsid w:val="006F738E"/>
    <w:rsid w:val="007034D3"/>
    <w:rsid w:val="00707C17"/>
    <w:rsid w:val="00716F46"/>
    <w:rsid w:val="00717693"/>
    <w:rsid w:val="00723BBB"/>
    <w:rsid w:val="00725E70"/>
    <w:rsid w:val="00727E26"/>
    <w:rsid w:val="007311CC"/>
    <w:rsid w:val="007333F2"/>
    <w:rsid w:val="00740891"/>
    <w:rsid w:val="00750DF0"/>
    <w:rsid w:val="007635C1"/>
    <w:rsid w:val="00771209"/>
    <w:rsid w:val="00793016"/>
    <w:rsid w:val="007A508B"/>
    <w:rsid w:val="007A5892"/>
    <w:rsid w:val="007C5A53"/>
    <w:rsid w:val="007D6EF2"/>
    <w:rsid w:val="007E2352"/>
    <w:rsid w:val="007E27ED"/>
    <w:rsid w:val="007E71F3"/>
    <w:rsid w:val="007F59C5"/>
    <w:rsid w:val="008043B9"/>
    <w:rsid w:val="00804FBD"/>
    <w:rsid w:val="00807F8F"/>
    <w:rsid w:val="00811981"/>
    <w:rsid w:val="00817250"/>
    <w:rsid w:val="00824271"/>
    <w:rsid w:val="00827D19"/>
    <w:rsid w:val="00830CEB"/>
    <w:rsid w:val="008504A8"/>
    <w:rsid w:val="008A7AD0"/>
    <w:rsid w:val="008B5AE7"/>
    <w:rsid w:val="008C2D2F"/>
    <w:rsid w:val="008D0AA7"/>
    <w:rsid w:val="008F7D06"/>
    <w:rsid w:val="0090166D"/>
    <w:rsid w:val="00902043"/>
    <w:rsid w:val="00902785"/>
    <w:rsid w:val="009064D3"/>
    <w:rsid w:val="00923B32"/>
    <w:rsid w:val="00932EB5"/>
    <w:rsid w:val="00940306"/>
    <w:rsid w:val="00942B11"/>
    <w:rsid w:val="00950531"/>
    <w:rsid w:val="00950F3C"/>
    <w:rsid w:val="009554F8"/>
    <w:rsid w:val="00980466"/>
    <w:rsid w:val="00986E93"/>
    <w:rsid w:val="009A274E"/>
    <w:rsid w:val="009A4CE7"/>
    <w:rsid w:val="009A6A90"/>
    <w:rsid w:val="009B1FF5"/>
    <w:rsid w:val="009C59F4"/>
    <w:rsid w:val="009D6D67"/>
    <w:rsid w:val="009E0F38"/>
    <w:rsid w:val="009E4CE0"/>
    <w:rsid w:val="009E56EC"/>
    <w:rsid w:val="009E6C5D"/>
    <w:rsid w:val="00A03BED"/>
    <w:rsid w:val="00A05A39"/>
    <w:rsid w:val="00A15413"/>
    <w:rsid w:val="00A26869"/>
    <w:rsid w:val="00A27846"/>
    <w:rsid w:val="00A30B65"/>
    <w:rsid w:val="00A33032"/>
    <w:rsid w:val="00A577D4"/>
    <w:rsid w:val="00A660A7"/>
    <w:rsid w:val="00A7383B"/>
    <w:rsid w:val="00A7417A"/>
    <w:rsid w:val="00A80520"/>
    <w:rsid w:val="00A84671"/>
    <w:rsid w:val="00A857EB"/>
    <w:rsid w:val="00A96160"/>
    <w:rsid w:val="00AC0925"/>
    <w:rsid w:val="00AC3D24"/>
    <w:rsid w:val="00AD02FB"/>
    <w:rsid w:val="00AD4A32"/>
    <w:rsid w:val="00AD7739"/>
    <w:rsid w:val="00AE5355"/>
    <w:rsid w:val="00AF38F5"/>
    <w:rsid w:val="00AF6729"/>
    <w:rsid w:val="00AF6E07"/>
    <w:rsid w:val="00B018B9"/>
    <w:rsid w:val="00B02EC3"/>
    <w:rsid w:val="00B1081A"/>
    <w:rsid w:val="00B1140D"/>
    <w:rsid w:val="00B120F4"/>
    <w:rsid w:val="00B12B65"/>
    <w:rsid w:val="00B1765B"/>
    <w:rsid w:val="00B329C3"/>
    <w:rsid w:val="00B35B7C"/>
    <w:rsid w:val="00B362B5"/>
    <w:rsid w:val="00B37196"/>
    <w:rsid w:val="00B41D49"/>
    <w:rsid w:val="00B45B69"/>
    <w:rsid w:val="00B5131C"/>
    <w:rsid w:val="00B51ECC"/>
    <w:rsid w:val="00B569B1"/>
    <w:rsid w:val="00B56FF4"/>
    <w:rsid w:val="00B607E9"/>
    <w:rsid w:val="00B66ED0"/>
    <w:rsid w:val="00B75F0F"/>
    <w:rsid w:val="00B764C0"/>
    <w:rsid w:val="00B8177E"/>
    <w:rsid w:val="00B9090E"/>
    <w:rsid w:val="00B9747A"/>
    <w:rsid w:val="00BA15A9"/>
    <w:rsid w:val="00BB533E"/>
    <w:rsid w:val="00BB7F82"/>
    <w:rsid w:val="00BC0F0A"/>
    <w:rsid w:val="00BD0471"/>
    <w:rsid w:val="00BD1B1C"/>
    <w:rsid w:val="00BF291D"/>
    <w:rsid w:val="00C0539A"/>
    <w:rsid w:val="00C0566E"/>
    <w:rsid w:val="00C157D6"/>
    <w:rsid w:val="00C16765"/>
    <w:rsid w:val="00C21679"/>
    <w:rsid w:val="00C47B63"/>
    <w:rsid w:val="00C5507A"/>
    <w:rsid w:val="00C739C8"/>
    <w:rsid w:val="00C83C90"/>
    <w:rsid w:val="00C86991"/>
    <w:rsid w:val="00CB33D4"/>
    <w:rsid w:val="00CB418E"/>
    <w:rsid w:val="00CC268E"/>
    <w:rsid w:val="00CE65DB"/>
    <w:rsid w:val="00CE7720"/>
    <w:rsid w:val="00CF069F"/>
    <w:rsid w:val="00D0075A"/>
    <w:rsid w:val="00D016B7"/>
    <w:rsid w:val="00D02E76"/>
    <w:rsid w:val="00D100E8"/>
    <w:rsid w:val="00D1057A"/>
    <w:rsid w:val="00D3118F"/>
    <w:rsid w:val="00D34B35"/>
    <w:rsid w:val="00D34F42"/>
    <w:rsid w:val="00D4152D"/>
    <w:rsid w:val="00D425E3"/>
    <w:rsid w:val="00D4691E"/>
    <w:rsid w:val="00D5279B"/>
    <w:rsid w:val="00D5280A"/>
    <w:rsid w:val="00D66077"/>
    <w:rsid w:val="00D711F5"/>
    <w:rsid w:val="00D74783"/>
    <w:rsid w:val="00D80C0E"/>
    <w:rsid w:val="00D81396"/>
    <w:rsid w:val="00D9133D"/>
    <w:rsid w:val="00D97123"/>
    <w:rsid w:val="00DB1C8F"/>
    <w:rsid w:val="00DB2228"/>
    <w:rsid w:val="00E107A8"/>
    <w:rsid w:val="00E1153B"/>
    <w:rsid w:val="00E173D3"/>
    <w:rsid w:val="00E23FA3"/>
    <w:rsid w:val="00E25EE1"/>
    <w:rsid w:val="00E31AC2"/>
    <w:rsid w:val="00E32601"/>
    <w:rsid w:val="00E434F3"/>
    <w:rsid w:val="00E44A7F"/>
    <w:rsid w:val="00E50F31"/>
    <w:rsid w:val="00E51E99"/>
    <w:rsid w:val="00E52204"/>
    <w:rsid w:val="00E67AAD"/>
    <w:rsid w:val="00E703AC"/>
    <w:rsid w:val="00E71FEC"/>
    <w:rsid w:val="00E87AEB"/>
    <w:rsid w:val="00E901F5"/>
    <w:rsid w:val="00E9438A"/>
    <w:rsid w:val="00EA04F3"/>
    <w:rsid w:val="00EA200F"/>
    <w:rsid w:val="00EA3951"/>
    <w:rsid w:val="00EB2448"/>
    <w:rsid w:val="00EB66E5"/>
    <w:rsid w:val="00EC03E5"/>
    <w:rsid w:val="00EC0C53"/>
    <w:rsid w:val="00EC611A"/>
    <w:rsid w:val="00ED25BF"/>
    <w:rsid w:val="00ED6756"/>
    <w:rsid w:val="00EE0582"/>
    <w:rsid w:val="00EF4421"/>
    <w:rsid w:val="00F12EE7"/>
    <w:rsid w:val="00F13CC9"/>
    <w:rsid w:val="00F37437"/>
    <w:rsid w:val="00F37AF6"/>
    <w:rsid w:val="00F43FCC"/>
    <w:rsid w:val="00F507AC"/>
    <w:rsid w:val="00F672A4"/>
    <w:rsid w:val="00F7611B"/>
    <w:rsid w:val="00F84D1F"/>
    <w:rsid w:val="00F90BDD"/>
    <w:rsid w:val="00F931CF"/>
    <w:rsid w:val="00F9375B"/>
    <w:rsid w:val="00FA7BF3"/>
    <w:rsid w:val="00FB0D90"/>
    <w:rsid w:val="00FB7EDE"/>
    <w:rsid w:val="00FD5C25"/>
    <w:rsid w:val="00FD6E7A"/>
    <w:rsid w:val="00FE1557"/>
    <w:rsid w:val="00FF3253"/>
    <w:rsid w:val="00FF3714"/>
    <w:rsid w:val="00FF3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6A59"/>
  <w15:chartTrackingRefBased/>
  <w15:docId w15:val="{98343C1B-84A2-4DFD-965B-970C37C0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F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uiPriority w:val="9"/>
    <w:unhideWhenUsed/>
    <w:qFormat/>
    <w:rsid w:val="00827D19"/>
    <w:pPr>
      <w:keepNext/>
      <w:keepLines/>
      <w:spacing w:before="200" w:after="0" w:line="240" w:lineRule="auto"/>
      <w:outlineLvl w:val="3"/>
    </w:pPr>
    <w:rPr>
      <w:rFonts w:asciiTheme="majorHAnsi" w:eastAsiaTheme="majorEastAsia" w:hAnsiTheme="majorHAnsi" w:cstheme="majorBidi"/>
      <w:b/>
      <w:bCs/>
      <w:color w:val="4472C4" w:themeColor="accent1"/>
      <w:sz w:val="24"/>
      <w:szCs w:val="24"/>
    </w:rPr>
  </w:style>
  <w:style w:type="paragraph" w:styleId="Heading5">
    <w:name w:val="heading 5"/>
    <w:basedOn w:val="Normal"/>
    <w:next w:val="BodyText"/>
    <w:link w:val="Heading5Char"/>
    <w:uiPriority w:val="9"/>
    <w:unhideWhenUsed/>
    <w:qFormat/>
    <w:rsid w:val="00827D19"/>
    <w:pPr>
      <w:keepNext/>
      <w:keepLines/>
      <w:spacing w:before="200" w:after="0" w:line="240" w:lineRule="auto"/>
      <w:outlineLvl w:val="4"/>
    </w:pPr>
    <w:rPr>
      <w:rFonts w:asciiTheme="majorHAnsi" w:eastAsiaTheme="majorEastAsia" w:hAnsiTheme="majorHAnsi" w:cstheme="majorBidi"/>
      <w:i/>
      <w:iCs/>
      <w:color w:val="4472C4" w:themeColor="accent1"/>
      <w:sz w:val="24"/>
      <w:szCs w:val="24"/>
    </w:rPr>
  </w:style>
  <w:style w:type="paragraph" w:styleId="Heading6">
    <w:name w:val="heading 6"/>
    <w:basedOn w:val="Normal"/>
    <w:next w:val="BodyText"/>
    <w:link w:val="Heading6Char"/>
    <w:uiPriority w:val="9"/>
    <w:unhideWhenUsed/>
    <w:qFormat/>
    <w:rsid w:val="00827D19"/>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05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6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7F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7F82"/>
    <w:pPr>
      <w:ind w:left="720"/>
      <w:contextualSpacing/>
    </w:pPr>
  </w:style>
  <w:style w:type="table" w:styleId="TableGrid">
    <w:name w:val="Table Grid"/>
    <w:basedOn w:val="TableNormal"/>
    <w:uiPriority w:val="39"/>
    <w:rsid w:val="00AD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00E8"/>
    <w:rPr>
      <w:color w:val="0000FF"/>
      <w:u w:val="single"/>
    </w:rPr>
  </w:style>
  <w:style w:type="table" w:styleId="PlainTable1">
    <w:name w:val="Plain Table 1"/>
    <w:basedOn w:val="TableNormal"/>
    <w:uiPriority w:val="41"/>
    <w:rsid w:val="00D100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B3D24"/>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9C59F4"/>
    <w:rPr>
      <w:sz w:val="16"/>
      <w:szCs w:val="16"/>
    </w:rPr>
  </w:style>
  <w:style w:type="paragraph" w:styleId="CommentText">
    <w:name w:val="annotation text"/>
    <w:basedOn w:val="Normal"/>
    <w:link w:val="CommentTextChar"/>
    <w:uiPriority w:val="99"/>
    <w:semiHidden/>
    <w:unhideWhenUsed/>
    <w:rsid w:val="009C59F4"/>
    <w:pPr>
      <w:spacing w:line="240" w:lineRule="auto"/>
    </w:pPr>
    <w:rPr>
      <w:sz w:val="20"/>
      <w:szCs w:val="20"/>
    </w:rPr>
  </w:style>
  <w:style w:type="character" w:customStyle="1" w:styleId="CommentTextChar">
    <w:name w:val="Comment Text Char"/>
    <w:basedOn w:val="DefaultParagraphFont"/>
    <w:link w:val="CommentText"/>
    <w:uiPriority w:val="99"/>
    <w:semiHidden/>
    <w:rsid w:val="009C59F4"/>
    <w:rPr>
      <w:sz w:val="20"/>
      <w:szCs w:val="20"/>
    </w:rPr>
  </w:style>
  <w:style w:type="paragraph" w:styleId="CommentSubject">
    <w:name w:val="annotation subject"/>
    <w:basedOn w:val="CommentText"/>
    <w:next w:val="CommentText"/>
    <w:link w:val="CommentSubjectChar"/>
    <w:uiPriority w:val="99"/>
    <w:semiHidden/>
    <w:unhideWhenUsed/>
    <w:rsid w:val="009C59F4"/>
    <w:rPr>
      <w:b/>
      <w:bCs/>
    </w:rPr>
  </w:style>
  <w:style w:type="character" w:customStyle="1" w:styleId="CommentSubjectChar">
    <w:name w:val="Comment Subject Char"/>
    <w:basedOn w:val="CommentTextChar"/>
    <w:link w:val="CommentSubject"/>
    <w:uiPriority w:val="99"/>
    <w:semiHidden/>
    <w:rsid w:val="009C59F4"/>
    <w:rPr>
      <w:b/>
      <w:bCs/>
      <w:sz w:val="20"/>
      <w:szCs w:val="20"/>
    </w:rPr>
  </w:style>
  <w:style w:type="paragraph" w:styleId="BalloonText">
    <w:name w:val="Balloon Text"/>
    <w:basedOn w:val="Normal"/>
    <w:link w:val="BalloonTextChar"/>
    <w:semiHidden/>
    <w:unhideWhenUsed/>
    <w:rsid w:val="009C59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C59F4"/>
    <w:rPr>
      <w:rFonts w:ascii="Segoe UI" w:hAnsi="Segoe UI" w:cs="Segoe UI"/>
      <w:sz w:val="18"/>
      <w:szCs w:val="18"/>
    </w:rPr>
  </w:style>
  <w:style w:type="paragraph" w:styleId="Header">
    <w:name w:val="header"/>
    <w:basedOn w:val="Normal"/>
    <w:link w:val="HeaderChar"/>
    <w:uiPriority w:val="99"/>
    <w:unhideWhenUsed/>
    <w:rsid w:val="00DB1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C8F"/>
  </w:style>
  <w:style w:type="paragraph" w:styleId="Footer">
    <w:name w:val="footer"/>
    <w:basedOn w:val="Normal"/>
    <w:link w:val="FooterChar"/>
    <w:uiPriority w:val="99"/>
    <w:unhideWhenUsed/>
    <w:rsid w:val="00DB1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C8F"/>
  </w:style>
  <w:style w:type="character" w:styleId="UnresolvedMention">
    <w:name w:val="Unresolved Mention"/>
    <w:basedOn w:val="DefaultParagraphFont"/>
    <w:uiPriority w:val="99"/>
    <w:semiHidden/>
    <w:unhideWhenUsed/>
    <w:rsid w:val="00B37196"/>
    <w:rPr>
      <w:color w:val="605E5C"/>
      <w:shd w:val="clear" w:color="auto" w:fill="E1DFDD"/>
    </w:rPr>
  </w:style>
  <w:style w:type="character" w:customStyle="1" w:styleId="Heading4Char">
    <w:name w:val="Heading 4 Char"/>
    <w:basedOn w:val="DefaultParagraphFont"/>
    <w:link w:val="Heading4"/>
    <w:uiPriority w:val="9"/>
    <w:rsid w:val="00827D19"/>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827D19"/>
    <w:rPr>
      <w:rFonts w:asciiTheme="majorHAnsi" w:eastAsiaTheme="majorEastAsia" w:hAnsiTheme="majorHAnsi" w:cstheme="majorBidi"/>
      <w:i/>
      <w:iCs/>
      <w:color w:val="4472C4" w:themeColor="accent1"/>
      <w:sz w:val="24"/>
      <w:szCs w:val="24"/>
    </w:rPr>
  </w:style>
  <w:style w:type="character" w:customStyle="1" w:styleId="Heading6Char">
    <w:name w:val="Heading 6 Char"/>
    <w:basedOn w:val="DefaultParagraphFont"/>
    <w:link w:val="Heading6"/>
    <w:uiPriority w:val="9"/>
    <w:rsid w:val="00827D19"/>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827D19"/>
    <w:pPr>
      <w:spacing w:before="180" w:after="180" w:line="240" w:lineRule="auto"/>
    </w:pPr>
    <w:rPr>
      <w:sz w:val="24"/>
      <w:szCs w:val="24"/>
    </w:rPr>
  </w:style>
  <w:style w:type="character" w:customStyle="1" w:styleId="BodyTextChar">
    <w:name w:val="Body Text Char"/>
    <w:basedOn w:val="DefaultParagraphFont"/>
    <w:link w:val="BodyText"/>
    <w:rsid w:val="00827D19"/>
    <w:rPr>
      <w:sz w:val="24"/>
      <w:szCs w:val="24"/>
    </w:rPr>
  </w:style>
  <w:style w:type="paragraph" w:customStyle="1" w:styleId="FirstParagraph">
    <w:name w:val="First Paragraph"/>
    <w:basedOn w:val="BodyText"/>
    <w:next w:val="BodyText"/>
    <w:qFormat/>
    <w:rsid w:val="00827D19"/>
  </w:style>
  <w:style w:type="paragraph" w:customStyle="1" w:styleId="Compact">
    <w:name w:val="Compact"/>
    <w:basedOn w:val="BodyText"/>
    <w:qFormat/>
    <w:rsid w:val="00827D19"/>
    <w:pPr>
      <w:spacing w:before="36" w:after="36"/>
    </w:pPr>
  </w:style>
  <w:style w:type="paragraph" w:styleId="Subtitle">
    <w:name w:val="Subtitle"/>
    <w:basedOn w:val="Title"/>
    <w:next w:val="BodyText"/>
    <w:link w:val="SubtitleChar"/>
    <w:qFormat/>
    <w:rsid w:val="00827D19"/>
    <w:pPr>
      <w:keepNext/>
      <w:keepLines/>
      <w:spacing w:before="240" w:after="240"/>
      <w:contextualSpacing w:val="0"/>
      <w:jc w:val="center"/>
    </w:pPr>
    <w:rPr>
      <w:b/>
      <w:bCs/>
      <w:color w:val="2D4F8E" w:themeColor="accent1" w:themeShade="B5"/>
      <w:spacing w:val="0"/>
      <w:kern w:val="0"/>
      <w:sz w:val="30"/>
      <w:szCs w:val="30"/>
    </w:rPr>
  </w:style>
  <w:style w:type="character" w:customStyle="1" w:styleId="SubtitleChar">
    <w:name w:val="Subtitle Char"/>
    <w:basedOn w:val="DefaultParagraphFont"/>
    <w:link w:val="Subtitle"/>
    <w:rsid w:val="00827D19"/>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827D19"/>
    <w:pPr>
      <w:keepNext/>
      <w:keepLines/>
      <w:spacing w:after="200" w:line="240" w:lineRule="auto"/>
      <w:jc w:val="center"/>
    </w:pPr>
    <w:rPr>
      <w:sz w:val="24"/>
      <w:szCs w:val="24"/>
      <w:lang w:val="en-US"/>
    </w:rPr>
  </w:style>
  <w:style w:type="paragraph" w:styleId="Date">
    <w:name w:val="Date"/>
    <w:next w:val="BodyText"/>
    <w:link w:val="DateChar"/>
    <w:qFormat/>
    <w:rsid w:val="00827D19"/>
    <w:pPr>
      <w:keepNext/>
      <w:keepLines/>
      <w:spacing w:after="200" w:line="240" w:lineRule="auto"/>
      <w:jc w:val="center"/>
    </w:pPr>
    <w:rPr>
      <w:sz w:val="24"/>
      <w:szCs w:val="24"/>
      <w:lang w:val="en-US"/>
    </w:rPr>
  </w:style>
  <w:style w:type="character" w:customStyle="1" w:styleId="DateChar">
    <w:name w:val="Date Char"/>
    <w:basedOn w:val="DefaultParagraphFont"/>
    <w:link w:val="Date"/>
    <w:rsid w:val="00827D19"/>
    <w:rPr>
      <w:sz w:val="24"/>
      <w:szCs w:val="24"/>
      <w:lang w:val="en-US"/>
    </w:rPr>
  </w:style>
  <w:style w:type="paragraph" w:customStyle="1" w:styleId="Abstract">
    <w:name w:val="Abstract"/>
    <w:basedOn w:val="Normal"/>
    <w:next w:val="BodyText"/>
    <w:qFormat/>
    <w:rsid w:val="00827D19"/>
    <w:pPr>
      <w:keepNext/>
      <w:keepLines/>
      <w:spacing w:before="300" w:after="300" w:line="240" w:lineRule="auto"/>
    </w:pPr>
    <w:rPr>
      <w:sz w:val="20"/>
      <w:szCs w:val="20"/>
    </w:rPr>
  </w:style>
  <w:style w:type="paragraph" w:styleId="Bibliography">
    <w:name w:val="Bibliography"/>
    <w:basedOn w:val="Normal"/>
    <w:qFormat/>
    <w:rsid w:val="00827D19"/>
    <w:pPr>
      <w:spacing w:after="200" w:line="240" w:lineRule="auto"/>
    </w:pPr>
    <w:rPr>
      <w:sz w:val="24"/>
      <w:szCs w:val="24"/>
    </w:rPr>
  </w:style>
  <w:style w:type="paragraph" w:styleId="BlockText">
    <w:name w:val="Block Text"/>
    <w:basedOn w:val="BodyText"/>
    <w:next w:val="BodyText"/>
    <w:uiPriority w:val="9"/>
    <w:unhideWhenUsed/>
    <w:qFormat/>
    <w:rsid w:val="00827D19"/>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827D19"/>
    <w:pPr>
      <w:spacing w:after="200" w:line="240" w:lineRule="auto"/>
    </w:pPr>
    <w:rPr>
      <w:sz w:val="24"/>
      <w:szCs w:val="24"/>
    </w:rPr>
  </w:style>
  <w:style w:type="character" w:customStyle="1" w:styleId="FootnoteTextChar">
    <w:name w:val="Footnote Text Char"/>
    <w:basedOn w:val="DefaultParagraphFont"/>
    <w:link w:val="FootnoteText"/>
    <w:uiPriority w:val="9"/>
    <w:rsid w:val="00827D19"/>
    <w:rPr>
      <w:sz w:val="24"/>
      <w:szCs w:val="24"/>
    </w:rPr>
  </w:style>
  <w:style w:type="paragraph" w:customStyle="1" w:styleId="DefinitionTerm">
    <w:name w:val="Definition Term"/>
    <w:basedOn w:val="Normal"/>
    <w:next w:val="Definition"/>
    <w:rsid w:val="00827D19"/>
    <w:pPr>
      <w:keepNext/>
      <w:keepLines/>
      <w:spacing w:after="0" w:line="240" w:lineRule="auto"/>
    </w:pPr>
    <w:rPr>
      <w:b/>
      <w:sz w:val="24"/>
      <w:szCs w:val="24"/>
    </w:rPr>
  </w:style>
  <w:style w:type="paragraph" w:customStyle="1" w:styleId="Definition">
    <w:name w:val="Definition"/>
    <w:basedOn w:val="Normal"/>
    <w:rsid w:val="00827D19"/>
    <w:pPr>
      <w:spacing w:after="200" w:line="240" w:lineRule="auto"/>
    </w:pPr>
    <w:rPr>
      <w:sz w:val="24"/>
      <w:szCs w:val="24"/>
    </w:rPr>
  </w:style>
  <w:style w:type="paragraph" w:styleId="Caption">
    <w:name w:val="caption"/>
    <w:basedOn w:val="Normal"/>
    <w:link w:val="CaptionChar"/>
    <w:rsid w:val="00827D19"/>
    <w:pPr>
      <w:spacing w:after="120" w:line="240" w:lineRule="auto"/>
    </w:pPr>
    <w:rPr>
      <w:i/>
      <w:sz w:val="24"/>
      <w:szCs w:val="24"/>
    </w:rPr>
  </w:style>
  <w:style w:type="paragraph" w:customStyle="1" w:styleId="TableCaption">
    <w:name w:val="Table Caption"/>
    <w:basedOn w:val="Caption"/>
    <w:rsid w:val="00827D19"/>
    <w:pPr>
      <w:keepNext/>
    </w:pPr>
  </w:style>
  <w:style w:type="paragraph" w:customStyle="1" w:styleId="ImageCaption">
    <w:name w:val="Image Caption"/>
    <w:basedOn w:val="Caption"/>
    <w:rsid w:val="00827D19"/>
  </w:style>
  <w:style w:type="paragraph" w:customStyle="1" w:styleId="Figure">
    <w:name w:val="Figure"/>
    <w:basedOn w:val="Normal"/>
    <w:rsid w:val="00827D19"/>
    <w:pPr>
      <w:spacing w:after="200" w:line="240" w:lineRule="auto"/>
    </w:pPr>
    <w:rPr>
      <w:sz w:val="24"/>
      <w:szCs w:val="24"/>
    </w:rPr>
  </w:style>
  <w:style w:type="paragraph" w:customStyle="1" w:styleId="FigurewithCaption">
    <w:name w:val="Figure with Caption"/>
    <w:basedOn w:val="Figure"/>
    <w:rsid w:val="00827D19"/>
    <w:pPr>
      <w:keepNext/>
    </w:pPr>
  </w:style>
  <w:style w:type="character" w:customStyle="1" w:styleId="CaptionChar">
    <w:name w:val="Caption Char"/>
    <w:basedOn w:val="DefaultParagraphFont"/>
    <w:link w:val="Caption"/>
    <w:rsid w:val="00827D19"/>
    <w:rPr>
      <w:i/>
      <w:sz w:val="24"/>
      <w:szCs w:val="24"/>
    </w:rPr>
  </w:style>
  <w:style w:type="character" w:customStyle="1" w:styleId="VerbatimChar">
    <w:name w:val="Verbatim Char"/>
    <w:basedOn w:val="CaptionChar"/>
    <w:link w:val="SourceCode"/>
    <w:rsid w:val="00827D19"/>
    <w:rPr>
      <w:rFonts w:ascii="Consolas" w:hAnsi="Consolas"/>
      <w:i/>
      <w:sz w:val="24"/>
      <w:szCs w:val="24"/>
      <w:shd w:val="clear" w:color="auto" w:fill="F8F8F8"/>
    </w:rPr>
  </w:style>
  <w:style w:type="character" w:styleId="FootnoteReference">
    <w:name w:val="footnote reference"/>
    <w:basedOn w:val="CaptionChar"/>
    <w:rsid w:val="00827D19"/>
    <w:rPr>
      <w:i/>
      <w:sz w:val="24"/>
      <w:szCs w:val="24"/>
      <w:vertAlign w:val="superscript"/>
    </w:rPr>
  </w:style>
  <w:style w:type="paragraph" w:styleId="TOCHeading">
    <w:name w:val="TOC Heading"/>
    <w:basedOn w:val="Heading1"/>
    <w:next w:val="BodyText"/>
    <w:uiPriority w:val="39"/>
    <w:unhideWhenUsed/>
    <w:qFormat/>
    <w:rsid w:val="00827D19"/>
    <w:pPr>
      <w:outlineLvl w:val="9"/>
    </w:pPr>
  </w:style>
  <w:style w:type="paragraph" w:customStyle="1" w:styleId="SourceCode">
    <w:name w:val="Source Code"/>
    <w:basedOn w:val="Normal"/>
    <w:link w:val="VerbatimChar"/>
    <w:rsid w:val="00827D19"/>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827D19"/>
    <w:rPr>
      <w:rFonts w:ascii="Consolas" w:hAnsi="Consolas"/>
      <w:b/>
      <w:i/>
      <w:color w:val="204A87"/>
      <w:sz w:val="24"/>
      <w:szCs w:val="24"/>
      <w:shd w:val="clear" w:color="auto" w:fill="F8F8F8"/>
    </w:rPr>
  </w:style>
  <w:style w:type="character" w:customStyle="1" w:styleId="DataTypeTok">
    <w:name w:val="DataTypeTok"/>
    <w:basedOn w:val="VerbatimChar"/>
    <w:rsid w:val="00827D19"/>
    <w:rPr>
      <w:rFonts w:ascii="Consolas" w:hAnsi="Consolas"/>
      <w:i/>
      <w:color w:val="204A87"/>
      <w:sz w:val="24"/>
      <w:szCs w:val="24"/>
      <w:shd w:val="clear" w:color="auto" w:fill="F8F8F8"/>
    </w:rPr>
  </w:style>
  <w:style w:type="character" w:customStyle="1" w:styleId="DecValTok">
    <w:name w:val="DecValTok"/>
    <w:basedOn w:val="VerbatimChar"/>
    <w:rsid w:val="00827D19"/>
    <w:rPr>
      <w:rFonts w:ascii="Consolas" w:hAnsi="Consolas"/>
      <w:i/>
      <w:color w:val="0000CF"/>
      <w:sz w:val="24"/>
      <w:szCs w:val="24"/>
      <w:shd w:val="clear" w:color="auto" w:fill="F8F8F8"/>
    </w:rPr>
  </w:style>
  <w:style w:type="character" w:customStyle="1" w:styleId="BaseNTok">
    <w:name w:val="BaseNTok"/>
    <w:basedOn w:val="VerbatimChar"/>
    <w:rsid w:val="00827D19"/>
    <w:rPr>
      <w:rFonts w:ascii="Consolas" w:hAnsi="Consolas"/>
      <w:i/>
      <w:color w:val="0000CF"/>
      <w:sz w:val="24"/>
      <w:szCs w:val="24"/>
      <w:shd w:val="clear" w:color="auto" w:fill="F8F8F8"/>
    </w:rPr>
  </w:style>
  <w:style w:type="character" w:customStyle="1" w:styleId="FloatTok">
    <w:name w:val="FloatTok"/>
    <w:basedOn w:val="VerbatimChar"/>
    <w:rsid w:val="00827D19"/>
    <w:rPr>
      <w:rFonts w:ascii="Consolas" w:hAnsi="Consolas"/>
      <w:i/>
      <w:color w:val="0000CF"/>
      <w:sz w:val="24"/>
      <w:szCs w:val="24"/>
      <w:shd w:val="clear" w:color="auto" w:fill="F8F8F8"/>
    </w:rPr>
  </w:style>
  <w:style w:type="character" w:customStyle="1" w:styleId="ConstantTok">
    <w:name w:val="ConstantTok"/>
    <w:basedOn w:val="VerbatimChar"/>
    <w:rsid w:val="00827D19"/>
    <w:rPr>
      <w:rFonts w:ascii="Consolas" w:hAnsi="Consolas"/>
      <w:i/>
      <w:color w:val="000000"/>
      <w:sz w:val="24"/>
      <w:szCs w:val="24"/>
      <w:shd w:val="clear" w:color="auto" w:fill="F8F8F8"/>
    </w:rPr>
  </w:style>
  <w:style w:type="character" w:customStyle="1" w:styleId="CharTok">
    <w:name w:val="CharTok"/>
    <w:basedOn w:val="VerbatimChar"/>
    <w:rsid w:val="00827D19"/>
    <w:rPr>
      <w:rFonts w:ascii="Consolas" w:hAnsi="Consolas"/>
      <w:i/>
      <w:color w:val="4E9A06"/>
      <w:sz w:val="24"/>
      <w:szCs w:val="24"/>
      <w:shd w:val="clear" w:color="auto" w:fill="F8F8F8"/>
    </w:rPr>
  </w:style>
  <w:style w:type="character" w:customStyle="1" w:styleId="SpecialCharTok">
    <w:name w:val="SpecialCharTok"/>
    <w:basedOn w:val="VerbatimChar"/>
    <w:rsid w:val="00827D19"/>
    <w:rPr>
      <w:rFonts w:ascii="Consolas" w:hAnsi="Consolas"/>
      <w:i/>
      <w:color w:val="000000"/>
      <w:sz w:val="24"/>
      <w:szCs w:val="24"/>
      <w:shd w:val="clear" w:color="auto" w:fill="F8F8F8"/>
    </w:rPr>
  </w:style>
  <w:style w:type="character" w:customStyle="1" w:styleId="StringTok">
    <w:name w:val="StringTok"/>
    <w:basedOn w:val="VerbatimChar"/>
    <w:rsid w:val="00827D19"/>
    <w:rPr>
      <w:rFonts w:ascii="Consolas" w:hAnsi="Consolas"/>
      <w:i/>
      <w:color w:val="4E9A06"/>
      <w:sz w:val="24"/>
      <w:szCs w:val="24"/>
      <w:shd w:val="clear" w:color="auto" w:fill="F8F8F8"/>
    </w:rPr>
  </w:style>
  <w:style w:type="character" w:customStyle="1" w:styleId="VerbatimStringTok">
    <w:name w:val="VerbatimStringTok"/>
    <w:basedOn w:val="VerbatimChar"/>
    <w:rsid w:val="00827D19"/>
    <w:rPr>
      <w:rFonts w:ascii="Consolas" w:hAnsi="Consolas"/>
      <w:i/>
      <w:color w:val="4E9A06"/>
      <w:sz w:val="24"/>
      <w:szCs w:val="24"/>
      <w:shd w:val="clear" w:color="auto" w:fill="F8F8F8"/>
    </w:rPr>
  </w:style>
  <w:style w:type="character" w:customStyle="1" w:styleId="SpecialStringTok">
    <w:name w:val="SpecialStringTok"/>
    <w:basedOn w:val="VerbatimChar"/>
    <w:rsid w:val="00827D19"/>
    <w:rPr>
      <w:rFonts w:ascii="Consolas" w:hAnsi="Consolas"/>
      <w:i/>
      <w:color w:val="4E9A06"/>
      <w:sz w:val="24"/>
      <w:szCs w:val="24"/>
      <w:shd w:val="clear" w:color="auto" w:fill="F8F8F8"/>
    </w:rPr>
  </w:style>
  <w:style w:type="character" w:customStyle="1" w:styleId="ImportTok">
    <w:name w:val="ImportTok"/>
    <w:basedOn w:val="VerbatimChar"/>
    <w:rsid w:val="00827D19"/>
    <w:rPr>
      <w:rFonts w:ascii="Consolas" w:hAnsi="Consolas"/>
      <w:i/>
      <w:sz w:val="24"/>
      <w:szCs w:val="24"/>
      <w:shd w:val="clear" w:color="auto" w:fill="F8F8F8"/>
    </w:rPr>
  </w:style>
  <w:style w:type="character" w:customStyle="1" w:styleId="CommentTok">
    <w:name w:val="CommentTok"/>
    <w:basedOn w:val="VerbatimChar"/>
    <w:rsid w:val="00827D19"/>
    <w:rPr>
      <w:rFonts w:ascii="Consolas" w:hAnsi="Consolas"/>
      <w:i w:val="0"/>
      <w:color w:val="8F5902"/>
      <w:sz w:val="24"/>
      <w:szCs w:val="24"/>
      <w:shd w:val="clear" w:color="auto" w:fill="F8F8F8"/>
    </w:rPr>
  </w:style>
  <w:style w:type="character" w:customStyle="1" w:styleId="DocumentationTok">
    <w:name w:val="DocumentationTok"/>
    <w:basedOn w:val="VerbatimChar"/>
    <w:rsid w:val="00827D19"/>
    <w:rPr>
      <w:rFonts w:ascii="Consolas" w:hAnsi="Consolas"/>
      <w:b/>
      <w:i w:val="0"/>
      <w:color w:val="8F5902"/>
      <w:sz w:val="24"/>
      <w:szCs w:val="24"/>
      <w:shd w:val="clear" w:color="auto" w:fill="F8F8F8"/>
    </w:rPr>
  </w:style>
  <w:style w:type="character" w:customStyle="1" w:styleId="AnnotationTok">
    <w:name w:val="AnnotationTok"/>
    <w:basedOn w:val="VerbatimChar"/>
    <w:rsid w:val="00827D19"/>
    <w:rPr>
      <w:rFonts w:ascii="Consolas" w:hAnsi="Consolas"/>
      <w:b/>
      <w:i w:val="0"/>
      <w:color w:val="8F5902"/>
      <w:sz w:val="24"/>
      <w:szCs w:val="24"/>
      <w:shd w:val="clear" w:color="auto" w:fill="F8F8F8"/>
    </w:rPr>
  </w:style>
  <w:style w:type="character" w:customStyle="1" w:styleId="CommentVarTok">
    <w:name w:val="CommentVarTok"/>
    <w:basedOn w:val="VerbatimChar"/>
    <w:rsid w:val="00827D19"/>
    <w:rPr>
      <w:rFonts w:ascii="Consolas" w:hAnsi="Consolas"/>
      <w:b/>
      <w:i w:val="0"/>
      <w:color w:val="8F5902"/>
      <w:sz w:val="24"/>
      <w:szCs w:val="24"/>
      <w:shd w:val="clear" w:color="auto" w:fill="F8F8F8"/>
    </w:rPr>
  </w:style>
  <w:style w:type="character" w:customStyle="1" w:styleId="OtherTok">
    <w:name w:val="OtherTok"/>
    <w:basedOn w:val="VerbatimChar"/>
    <w:rsid w:val="00827D19"/>
    <w:rPr>
      <w:rFonts w:ascii="Consolas" w:hAnsi="Consolas"/>
      <w:i/>
      <w:color w:val="8F5902"/>
      <w:sz w:val="24"/>
      <w:szCs w:val="24"/>
      <w:shd w:val="clear" w:color="auto" w:fill="F8F8F8"/>
    </w:rPr>
  </w:style>
  <w:style w:type="character" w:customStyle="1" w:styleId="FunctionTok">
    <w:name w:val="FunctionTok"/>
    <w:basedOn w:val="VerbatimChar"/>
    <w:rsid w:val="00827D19"/>
    <w:rPr>
      <w:rFonts w:ascii="Consolas" w:hAnsi="Consolas"/>
      <w:i/>
      <w:color w:val="000000"/>
      <w:sz w:val="24"/>
      <w:szCs w:val="24"/>
      <w:shd w:val="clear" w:color="auto" w:fill="F8F8F8"/>
    </w:rPr>
  </w:style>
  <w:style w:type="character" w:customStyle="1" w:styleId="VariableTok">
    <w:name w:val="VariableTok"/>
    <w:basedOn w:val="VerbatimChar"/>
    <w:rsid w:val="00827D19"/>
    <w:rPr>
      <w:rFonts w:ascii="Consolas" w:hAnsi="Consolas"/>
      <w:i/>
      <w:color w:val="000000"/>
      <w:sz w:val="24"/>
      <w:szCs w:val="24"/>
      <w:shd w:val="clear" w:color="auto" w:fill="F8F8F8"/>
    </w:rPr>
  </w:style>
  <w:style w:type="character" w:customStyle="1" w:styleId="ControlFlowTok">
    <w:name w:val="ControlFlowTok"/>
    <w:basedOn w:val="VerbatimChar"/>
    <w:rsid w:val="00827D19"/>
    <w:rPr>
      <w:rFonts w:ascii="Consolas" w:hAnsi="Consolas"/>
      <w:b/>
      <w:i/>
      <w:color w:val="204A87"/>
      <w:sz w:val="24"/>
      <w:szCs w:val="24"/>
      <w:shd w:val="clear" w:color="auto" w:fill="F8F8F8"/>
    </w:rPr>
  </w:style>
  <w:style w:type="character" w:customStyle="1" w:styleId="OperatorTok">
    <w:name w:val="OperatorTok"/>
    <w:basedOn w:val="VerbatimChar"/>
    <w:rsid w:val="00827D19"/>
    <w:rPr>
      <w:rFonts w:ascii="Consolas" w:hAnsi="Consolas"/>
      <w:b/>
      <w:i/>
      <w:color w:val="CE5C00"/>
      <w:sz w:val="24"/>
      <w:szCs w:val="24"/>
      <w:shd w:val="clear" w:color="auto" w:fill="F8F8F8"/>
    </w:rPr>
  </w:style>
  <w:style w:type="character" w:customStyle="1" w:styleId="BuiltInTok">
    <w:name w:val="BuiltInTok"/>
    <w:basedOn w:val="VerbatimChar"/>
    <w:rsid w:val="00827D19"/>
    <w:rPr>
      <w:rFonts w:ascii="Consolas" w:hAnsi="Consolas"/>
      <w:i/>
      <w:sz w:val="24"/>
      <w:szCs w:val="24"/>
      <w:shd w:val="clear" w:color="auto" w:fill="F8F8F8"/>
    </w:rPr>
  </w:style>
  <w:style w:type="character" w:customStyle="1" w:styleId="ExtensionTok">
    <w:name w:val="ExtensionTok"/>
    <w:basedOn w:val="VerbatimChar"/>
    <w:rsid w:val="00827D19"/>
    <w:rPr>
      <w:rFonts w:ascii="Consolas" w:hAnsi="Consolas"/>
      <w:i/>
      <w:sz w:val="24"/>
      <w:szCs w:val="24"/>
      <w:shd w:val="clear" w:color="auto" w:fill="F8F8F8"/>
    </w:rPr>
  </w:style>
  <w:style w:type="character" w:customStyle="1" w:styleId="PreprocessorTok">
    <w:name w:val="PreprocessorTok"/>
    <w:basedOn w:val="VerbatimChar"/>
    <w:rsid w:val="00827D19"/>
    <w:rPr>
      <w:rFonts w:ascii="Consolas" w:hAnsi="Consolas"/>
      <w:i w:val="0"/>
      <w:color w:val="8F5902"/>
      <w:sz w:val="24"/>
      <w:szCs w:val="24"/>
      <w:shd w:val="clear" w:color="auto" w:fill="F8F8F8"/>
    </w:rPr>
  </w:style>
  <w:style w:type="character" w:customStyle="1" w:styleId="AttributeTok">
    <w:name w:val="AttributeTok"/>
    <w:basedOn w:val="VerbatimChar"/>
    <w:rsid w:val="00827D19"/>
    <w:rPr>
      <w:rFonts w:ascii="Consolas" w:hAnsi="Consolas"/>
      <w:i/>
      <w:color w:val="C4A000"/>
      <w:sz w:val="24"/>
      <w:szCs w:val="24"/>
      <w:shd w:val="clear" w:color="auto" w:fill="F8F8F8"/>
    </w:rPr>
  </w:style>
  <w:style w:type="character" w:customStyle="1" w:styleId="RegionMarkerTok">
    <w:name w:val="RegionMarkerTok"/>
    <w:basedOn w:val="VerbatimChar"/>
    <w:rsid w:val="00827D19"/>
    <w:rPr>
      <w:rFonts w:ascii="Consolas" w:hAnsi="Consolas"/>
      <w:i/>
      <w:sz w:val="24"/>
      <w:szCs w:val="24"/>
      <w:shd w:val="clear" w:color="auto" w:fill="F8F8F8"/>
    </w:rPr>
  </w:style>
  <w:style w:type="character" w:customStyle="1" w:styleId="InformationTok">
    <w:name w:val="InformationTok"/>
    <w:basedOn w:val="VerbatimChar"/>
    <w:rsid w:val="00827D19"/>
    <w:rPr>
      <w:rFonts w:ascii="Consolas" w:hAnsi="Consolas"/>
      <w:b/>
      <w:i w:val="0"/>
      <w:color w:val="8F5902"/>
      <w:sz w:val="24"/>
      <w:szCs w:val="24"/>
      <w:shd w:val="clear" w:color="auto" w:fill="F8F8F8"/>
    </w:rPr>
  </w:style>
  <w:style w:type="character" w:customStyle="1" w:styleId="WarningTok">
    <w:name w:val="WarningTok"/>
    <w:basedOn w:val="VerbatimChar"/>
    <w:rsid w:val="00827D19"/>
    <w:rPr>
      <w:rFonts w:ascii="Consolas" w:hAnsi="Consolas"/>
      <w:b/>
      <w:i w:val="0"/>
      <w:color w:val="8F5902"/>
      <w:sz w:val="24"/>
      <w:szCs w:val="24"/>
      <w:shd w:val="clear" w:color="auto" w:fill="F8F8F8"/>
    </w:rPr>
  </w:style>
  <w:style w:type="character" w:customStyle="1" w:styleId="AlertTok">
    <w:name w:val="AlertTok"/>
    <w:basedOn w:val="VerbatimChar"/>
    <w:rsid w:val="00827D19"/>
    <w:rPr>
      <w:rFonts w:ascii="Consolas" w:hAnsi="Consolas"/>
      <w:i/>
      <w:color w:val="EF2929"/>
      <w:sz w:val="24"/>
      <w:szCs w:val="24"/>
      <w:shd w:val="clear" w:color="auto" w:fill="F8F8F8"/>
    </w:rPr>
  </w:style>
  <w:style w:type="character" w:customStyle="1" w:styleId="ErrorTok">
    <w:name w:val="ErrorTok"/>
    <w:basedOn w:val="VerbatimChar"/>
    <w:rsid w:val="00827D19"/>
    <w:rPr>
      <w:rFonts w:ascii="Consolas" w:hAnsi="Consolas"/>
      <w:b/>
      <w:i/>
      <w:color w:val="A40000"/>
      <w:sz w:val="24"/>
      <w:szCs w:val="24"/>
      <w:shd w:val="clear" w:color="auto" w:fill="F8F8F8"/>
    </w:rPr>
  </w:style>
  <w:style w:type="character" w:customStyle="1" w:styleId="NormalTok">
    <w:name w:val="NormalTok"/>
    <w:basedOn w:val="VerbatimChar"/>
    <w:rsid w:val="00827D19"/>
    <w:rPr>
      <w:rFonts w:ascii="Consolas" w:hAnsi="Consolas"/>
      <w:i/>
      <w:sz w:val="24"/>
      <w:szCs w:val="24"/>
      <w:shd w:val="clear" w:color="auto" w:fill="F8F8F8"/>
    </w:rPr>
  </w:style>
  <w:style w:type="paragraph" w:styleId="TOC1">
    <w:name w:val="toc 1"/>
    <w:basedOn w:val="Normal"/>
    <w:next w:val="Normal"/>
    <w:autoRedefine/>
    <w:uiPriority w:val="39"/>
    <w:unhideWhenUsed/>
    <w:rsid w:val="007E2352"/>
    <w:pPr>
      <w:spacing w:after="100"/>
    </w:pPr>
  </w:style>
  <w:style w:type="paragraph" w:styleId="TOC2">
    <w:name w:val="toc 2"/>
    <w:basedOn w:val="Normal"/>
    <w:next w:val="Normal"/>
    <w:autoRedefine/>
    <w:uiPriority w:val="39"/>
    <w:unhideWhenUsed/>
    <w:rsid w:val="007E2352"/>
    <w:pPr>
      <w:spacing w:after="100"/>
      <w:ind w:left="220"/>
    </w:pPr>
  </w:style>
  <w:style w:type="paragraph" w:styleId="TOC3">
    <w:name w:val="toc 3"/>
    <w:basedOn w:val="Normal"/>
    <w:next w:val="Normal"/>
    <w:autoRedefine/>
    <w:uiPriority w:val="39"/>
    <w:unhideWhenUsed/>
    <w:rsid w:val="007E2352"/>
    <w:pPr>
      <w:spacing w:after="100"/>
      <w:ind w:left="440"/>
    </w:pPr>
  </w:style>
  <w:style w:type="paragraph" w:styleId="Revision">
    <w:name w:val="Revision"/>
    <w:hidden/>
    <w:uiPriority w:val="99"/>
    <w:semiHidden/>
    <w:rsid w:val="000F41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99807">
      <w:bodyDiv w:val="1"/>
      <w:marLeft w:val="0"/>
      <w:marRight w:val="0"/>
      <w:marTop w:val="0"/>
      <w:marBottom w:val="0"/>
      <w:divBdr>
        <w:top w:val="none" w:sz="0" w:space="0" w:color="auto"/>
        <w:left w:val="none" w:sz="0" w:space="0" w:color="auto"/>
        <w:bottom w:val="none" w:sz="0" w:space="0" w:color="auto"/>
        <w:right w:val="none" w:sz="0" w:space="0" w:color="auto"/>
      </w:divBdr>
    </w:div>
    <w:div w:id="241567588">
      <w:bodyDiv w:val="1"/>
      <w:marLeft w:val="0"/>
      <w:marRight w:val="0"/>
      <w:marTop w:val="0"/>
      <w:marBottom w:val="0"/>
      <w:divBdr>
        <w:top w:val="none" w:sz="0" w:space="0" w:color="auto"/>
        <w:left w:val="none" w:sz="0" w:space="0" w:color="auto"/>
        <w:bottom w:val="none" w:sz="0" w:space="0" w:color="auto"/>
        <w:right w:val="none" w:sz="0" w:space="0" w:color="auto"/>
      </w:divBdr>
    </w:div>
    <w:div w:id="312098992">
      <w:bodyDiv w:val="1"/>
      <w:marLeft w:val="0"/>
      <w:marRight w:val="0"/>
      <w:marTop w:val="0"/>
      <w:marBottom w:val="0"/>
      <w:divBdr>
        <w:top w:val="none" w:sz="0" w:space="0" w:color="auto"/>
        <w:left w:val="none" w:sz="0" w:space="0" w:color="auto"/>
        <w:bottom w:val="none" w:sz="0" w:space="0" w:color="auto"/>
        <w:right w:val="none" w:sz="0" w:space="0" w:color="auto"/>
      </w:divBdr>
    </w:div>
    <w:div w:id="729424088">
      <w:bodyDiv w:val="1"/>
      <w:marLeft w:val="0"/>
      <w:marRight w:val="0"/>
      <w:marTop w:val="0"/>
      <w:marBottom w:val="0"/>
      <w:divBdr>
        <w:top w:val="none" w:sz="0" w:space="0" w:color="auto"/>
        <w:left w:val="none" w:sz="0" w:space="0" w:color="auto"/>
        <w:bottom w:val="none" w:sz="0" w:space="0" w:color="auto"/>
        <w:right w:val="none" w:sz="0" w:space="0" w:color="auto"/>
      </w:divBdr>
    </w:div>
    <w:div w:id="983508105">
      <w:bodyDiv w:val="1"/>
      <w:marLeft w:val="0"/>
      <w:marRight w:val="0"/>
      <w:marTop w:val="0"/>
      <w:marBottom w:val="0"/>
      <w:divBdr>
        <w:top w:val="none" w:sz="0" w:space="0" w:color="auto"/>
        <w:left w:val="none" w:sz="0" w:space="0" w:color="auto"/>
        <w:bottom w:val="none" w:sz="0" w:space="0" w:color="auto"/>
        <w:right w:val="none" w:sz="0" w:space="0" w:color="auto"/>
      </w:divBdr>
    </w:div>
    <w:div w:id="1194266158">
      <w:bodyDiv w:val="1"/>
      <w:marLeft w:val="0"/>
      <w:marRight w:val="0"/>
      <w:marTop w:val="0"/>
      <w:marBottom w:val="0"/>
      <w:divBdr>
        <w:top w:val="none" w:sz="0" w:space="0" w:color="auto"/>
        <w:left w:val="none" w:sz="0" w:space="0" w:color="auto"/>
        <w:bottom w:val="none" w:sz="0" w:space="0" w:color="auto"/>
        <w:right w:val="none" w:sz="0" w:space="0" w:color="auto"/>
      </w:divBdr>
    </w:div>
    <w:div w:id="14250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d.york.ac.uk/prosper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covidence.org/help" TargetMode="External"/><Relationship Id="rId5" Type="http://schemas.openxmlformats.org/officeDocument/2006/relationships/webSettings" Target="webSettings.xml"/><Relationship Id="rId10" Type="http://schemas.openxmlformats.org/officeDocument/2006/relationships/hyperlink" Target="http://apps.who.int/trialsearch/" TargetMode="External"/><Relationship Id="rId4" Type="http://schemas.openxmlformats.org/officeDocument/2006/relationships/settings" Target="settings.xml"/><Relationship Id="rId9" Type="http://schemas.openxmlformats.org/officeDocument/2006/relationships/hyperlink" Target="https://clinicaltrials.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6754C-853F-4184-AF81-35071EB4A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8876</TotalTime>
  <Pages>5</Pages>
  <Words>1694</Words>
  <Characters>9623</Characters>
  <Application>Microsoft Office Word</Application>
  <DocSecurity>0</DocSecurity>
  <Lines>356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McAllister</dc:creator>
  <cp:keywords/>
  <dc:description/>
  <cp:lastModifiedBy>Esther Katama</cp:lastModifiedBy>
  <cp:revision>276</cp:revision>
  <dcterms:created xsi:type="dcterms:W3CDTF">2019-11-20T13:35:00Z</dcterms:created>
  <dcterms:modified xsi:type="dcterms:W3CDTF">2025-10-07T12:32:00Z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54b5e8d1773c1a4bfc1357e5dd7a53d26916dcd633d145da10014f4c6b114ef0</vt:lpwstr>
  </property>
</Properties>
</file>