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OPSD PowerDesk Assignment</w:t>
      </w:r>
    </w:p>
    <w:p>
      <w:pPr>
        <w:jc w:val="center"/>
      </w:pPr>
      <w:r>
        <w:rPr>
          <w:color w:val="808080"/>
          <w:sz w:val="32"/>
        </w:rPr>
        <w:t>Day-Ahead Forecasting, Anomaly Detection &amp; Live Monitoring</w:t>
      </w:r>
    </w:p>
    <w:p>
      <w:r>
        <w:br/>
        <w:br/>
        <w:br/>
        <w:br/>
      </w:r>
    </w:p>
    <w:p>
      <w:pPr>
        <w:jc w:val="center"/>
      </w:pPr>
      <w:r>
        <w:rPr>
          <w:b/>
        </w:rPr>
        <w:t>Primary Country Analysis: BE</w:t>
      </w:r>
    </w:p>
    <w:p>
      <w:r>
        <w:br w:type="page"/>
      </w:r>
    </w:p>
    <w:p>
      <w:pPr>
        <w:pStyle w:val="Heading1"/>
      </w:pPr>
      <w:r>
        <w:t>1. Data &amp; STL Decomposition</w:t>
      </w:r>
    </w:p>
    <w:p>
      <w:r>
        <w:t xml:space="preserve">Three countries were selected for analysis: </w:t>
      </w:r>
      <w:r>
        <w:rPr>
          <w:b/>
        </w:rPr>
        <w:t>Belgium (BE), Denmark (DK), and Netherlands (NL).</w:t>
      </w:r>
    </w:p>
    <w:p>
      <w:pPr>
        <w:pStyle w:val="ListBullet"/>
      </w:pPr>
      <w:r>
        <w:t>Key Takeaways:</w:t>
      </w:r>
    </w:p>
    <w:p>
      <w:pPr>
        <w:pStyle w:val="ListBullet"/>
      </w:pPr>
      <w:r>
        <w:t>BE: Shows stable yearly seasonality with strong winter peaks.</w:t>
      </w:r>
    </w:p>
    <w:p>
      <w:pPr>
        <w:pStyle w:val="ListBullet"/>
      </w:pPr>
      <w:r>
        <w:t>DK: Higher variance observed, likely attributed to high wind power penetration.</w:t>
      </w:r>
    </w:p>
    <w:p>
      <w:pPr>
        <w:pStyle w:val="ListBullet"/>
      </w:pPr>
      <w:r>
        <w:t>NL: Consistent weekly patterns and moderate seasonal amplitude.</w:t>
      </w:r>
    </w:p>
    <w:p>
      <w:r>
        <w:drawing>
          <wp:inline xmlns:a="http://schemas.openxmlformats.org/drawingml/2006/main" xmlns:pic="http://schemas.openxmlformats.org/drawingml/2006/picture">
            <wp:extent cx="5486400" cy="3110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st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STL Decomposition for BE (Seasonality s=24)</w:t>
      </w:r>
    </w:p>
    <w:p>
      <w:pPr>
        <w:pStyle w:val="Heading1"/>
      </w:pPr>
      <w:r>
        <w:t>2. SARIMA Order Selection</w:t>
      </w:r>
    </w:p>
    <w:p>
      <w:r>
        <w:t>The orders were selected based on ACF/PACF analysis and a grid search minimizing the BIC information criterion.</w:t>
      </w:r>
    </w:p>
    <w:p>
      <w:r>
        <w:drawing>
          <wp:inline xmlns:a="http://schemas.openxmlformats.org/drawingml/2006/main" xmlns:pic="http://schemas.openxmlformats.org/drawingml/2006/picture">
            <wp:extent cx="5486400" cy="3410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seasonal_acf_pacf_comb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Seasonal ACF/PACF for BE</w:t>
      </w:r>
    </w:p>
    <w:p>
      <w:pPr>
        <w:pStyle w:val="Heading2"/>
      </w:pPr>
      <w:r>
        <w:t>Top 5 Models for BE (Sorted by BIC)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seasonal_order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bic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aic</w:t>
            </w:r>
          </w:p>
        </w:tc>
      </w:tr>
      <w:tr>
        <w:tc>
          <w:tcPr>
            <w:tcW w:type="dxa" w:w="2160"/>
          </w:tcPr>
          <w:p>
            <w:r>
              <w:t>(1, 1, 0)</w:t>
            </w:r>
          </w:p>
        </w:tc>
        <w:tc>
          <w:tcPr>
            <w:tcW w:type="dxa" w:w="2160"/>
          </w:tcPr>
          <w:p>
            <w:r>
              <w:t>(2, 1, 0, 24)</w:t>
            </w:r>
          </w:p>
        </w:tc>
        <w:tc>
          <w:tcPr>
            <w:tcW w:type="dxa" w:w="2160"/>
          </w:tcPr>
          <w:p>
            <w:r>
              <w:t>26863.2678</w:t>
            </w:r>
          </w:p>
        </w:tc>
        <w:tc>
          <w:tcPr>
            <w:tcW w:type="dxa" w:w="2160"/>
          </w:tcPr>
          <w:p>
            <w:r>
              <w:t>26840.6958</w:t>
            </w:r>
          </w:p>
        </w:tc>
      </w:tr>
      <w:tr>
        <w:tc>
          <w:tcPr>
            <w:tcW w:type="dxa" w:w="2160"/>
          </w:tcPr>
          <w:p>
            <w:r>
              <w:t>(1, 1, 1)</w:t>
            </w:r>
          </w:p>
        </w:tc>
        <w:tc>
          <w:tcPr>
            <w:tcW w:type="dxa" w:w="2160"/>
          </w:tcPr>
          <w:p>
            <w:r>
              <w:t>(2, 1, 0, 24)</w:t>
            </w:r>
          </w:p>
        </w:tc>
        <w:tc>
          <w:tcPr>
            <w:tcW w:type="dxa" w:w="2160"/>
          </w:tcPr>
          <w:p>
            <w:r>
              <w:t>26870.8100</w:t>
            </w:r>
          </w:p>
        </w:tc>
        <w:tc>
          <w:tcPr>
            <w:tcW w:type="dxa" w:w="2160"/>
          </w:tcPr>
          <w:p>
            <w:r>
              <w:t>26842.5949</w:t>
            </w:r>
          </w:p>
        </w:tc>
      </w:tr>
      <w:tr>
        <w:tc>
          <w:tcPr>
            <w:tcW w:type="dxa" w:w="2160"/>
          </w:tcPr>
          <w:p>
            <w:r>
              <w:t>(1, 1, 2)</w:t>
            </w:r>
          </w:p>
        </w:tc>
        <w:tc>
          <w:tcPr>
            <w:tcW w:type="dxa" w:w="2160"/>
          </w:tcPr>
          <w:p>
            <w:r>
              <w:t>(2, 1, 0, 24)</w:t>
            </w:r>
          </w:p>
        </w:tc>
        <w:tc>
          <w:tcPr>
            <w:tcW w:type="dxa" w:w="2160"/>
          </w:tcPr>
          <w:p>
            <w:r>
              <w:t>26878.1317</w:t>
            </w:r>
          </w:p>
        </w:tc>
        <w:tc>
          <w:tcPr>
            <w:tcW w:type="dxa" w:w="2160"/>
          </w:tcPr>
          <w:p>
            <w:r>
              <w:t>26844.2736</w:t>
            </w:r>
          </w:p>
        </w:tc>
      </w:tr>
      <w:tr>
        <w:tc>
          <w:tcPr>
            <w:tcW w:type="dxa" w:w="2160"/>
          </w:tcPr>
          <w:p>
            <w:r>
              <w:t>(0, 1, 2)</w:t>
            </w:r>
          </w:p>
        </w:tc>
        <w:tc>
          <w:tcPr>
            <w:tcW w:type="dxa" w:w="2160"/>
          </w:tcPr>
          <w:p>
            <w:r>
              <w:t>(2, 1, 0, 24)</w:t>
            </w:r>
          </w:p>
        </w:tc>
        <w:tc>
          <w:tcPr>
            <w:tcW w:type="dxa" w:w="2160"/>
          </w:tcPr>
          <w:p>
            <w:r>
              <w:t>26890.6635</w:t>
            </w:r>
          </w:p>
        </w:tc>
        <w:tc>
          <w:tcPr>
            <w:tcW w:type="dxa" w:w="2160"/>
          </w:tcPr>
          <w:p>
            <w:r>
              <w:t>26862.4461</w:t>
            </w:r>
          </w:p>
        </w:tc>
      </w:tr>
      <w:tr>
        <w:tc>
          <w:tcPr>
            <w:tcW w:type="dxa" w:w="2160"/>
          </w:tcPr>
          <w:p>
            <w:r>
              <w:t>(0, 1, 1)</w:t>
            </w:r>
          </w:p>
        </w:tc>
        <w:tc>
          <w:tcPr>
            <w:tcW w:type="dxa" w:w="2160"/>
          </w:tcPr>
          <w:p>
            <w:r>
              <w:t>(2, 1, 0, 24)</w:t>
            </w:r>
          </w:p>
        </w:tc>
        <w:tc>
          <w:tcPr>
            <w:tcW w:type="dxa" w:w="2160"/>
          </w:tcPr>
          <w:p>
            <w:r>
              <w:t>26903.0241</w:t>
            </w:r>
          </w:p>
        </w:tc>
        <w:tc>
          <w:tcPr>
            <w:tcW w:type="dxa" w:w="2160"/>
          </w:tcPr>
          <w:p>
            <w:r>
              <w:t>26880.4502</w:t>
            </w:r>
          </w:p>
        </w:tc>
      </w:tr>
    </w:tbl>
    <w:p>
      <w:pPr>
        <w:pStyle w:val="Heading2"/>
      </w:pPr>
      <w:r>
        <w:t>Final Selected Orders</w:t>
      </w:r>
    </w:p>
    <w:p>
      <w:pPr>
        <w:pStyle w:val="ListBullet"/>
      </w:pPr>
      <w:r>
        <w:t>BE: Order [1, 1, 0] x [2, 1, 0, 24]</w:t>
      </w:r>
    </w:p>
    <w:p>
      <w:pPr>
        <w:pStyle w:val="ListBullet"/>
      </w:pPr>
      <w:r>
        <w:t>DK: Order [1, 1, 1] x [2, 1, 0, 24]</w:t>
      </w:r>
    </w:p>
    <w:p>
      <w:pPr>
        <w:pStyle w:val="ListBullet"/>
      </w:pPr>
      <w:r>
        <w:t>NL: Order [1, 1, 2] x [2, 1, 0, 24]</w:t>
      </w:r>
    </w:p>
    <w:p>
      <w:pPr>
        <w:pStyle w:val="Heading1"/>
      </w:pPr>
      <w:r>
        <w:t>3. Forecast Results (Dev &amp; 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  <w:t>MASE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  <w:t>sMAPE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</w:rPr>
              <w:t>PI_80_Coverage</w:t>
            </w:r>
          </w:p>
        </w:tc>
      </w:tr>
      <w:tr>
        <w:tc>
          <w:tcPr>
            <w:tcW w:type="dxa" w:w="1440"/>
          </w:tcPr>
          <w:p>
            <w:r>
              <w:t>BE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0.6767</w:t>
            </w:r>
          </w:p>
        </w:tc>
        <w:tc>
          <w:tcPr>
            <w:tcW w:type="dxa" w:w="1440"/>
          </w:tcPr>
          <w:p>
            <w:r>
              <w:t>3.9147</w:t>
            </w:r>
          </w:p>
        </w:tc>
        <w:tc>
          <w:tcPr>
            <w:tcW w:type="dxa" w:w="1440"/>
          </w:tcPr>
          <w:p>
            <w:r>
              <w:t>465.1023</w:t>
            </w:r>
          </w:p>
        </w:tc>
        <w:tc>
          <w:tcPr>
            <w:tcW w:type="dxa" w:w="1440"/>
          </w:tcPr>
          <w:p>
            <w:r>
              <w:t>0.8417</w:t>
            </w:r>
          </w:p>
        </w:tc>
      </w:tr>
      <w:tr>
        <w:tc>
          <w:tcPr>
            <w:tcW w:type="dxa" w:w="1440"/>
          </w:tcPr>
          <w:p>
            <w:r>
              <w:t>BE</w:t>
            </w:r>
          </w:p>
        </w:tc>
        <w:tc>
          <w:tcPr>
            <w:tcW w:type="dxa" w:w="1440"/>
          </w:tcPr>
          <w:p>
            <w:r>
              <w:t>GRU</w:t>
            </w:r>
          </w:p>
        </w:tc>
        <w:tc>
          <w:tcPr>
            <w:tcW w:type="dxa" w:w="1440"/>
          </w:tcPr>
          <w:p>
            <w:r>
              <w:t>1.1546</w:t>
            </w:r>
          </w:p>
        </w:tc>
        <w:tc>
          <w:tcPr>
            <w:tcW w:type="dxa" w:w="1440"/>
          </w:tcPr>
          <w:p>
            <w:r>
              <w:t>3.1723</w:t>
            </w:r>
          </w:p>
        </w:tc>
        <w:tc>
          <w:tcPr>
            <w:tcW w:type="dxa" w:w="1440"/>
          </w:tcPr>
          <w:p>
            <w:r>
              <w:t>380.2382</w:t>
            </w:r>
          </w:p>
        </w:tc>
        <w:tc>
          <w:tcPr>
            <w:tcW w:type="dxa" w:w="1440"/>
          </w:tcPr>
          <w:p>
            <w:r>
              <w:t>0.8182</w:t>
            </w:r>
          </w:p>
        </w:tc>
      </w:tr>
      <w:tr>
        <w:tc>
          <w:tcPr>
            <w:tcW w:type="dxa" w:w="1440"/>
          </w:tcPr>
          <w:p>
            <w:r>
              <w:t>DK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0.6790</w:t>
            </w:r>
          </w:p>
        </w:tc>
        <w:tc>
          <w:tcPr>
            <w:tcW w:type="dxa" w:w="1440"/>
          </w:tcPr>
          <w:p>
            <w:r>
              <w:t>3.6509</w:t>
            </w:r>
          </w:p>
        </w:tc>
        <w:tc>
          <w:tcPr>
            <w:tcW w:type="dxa" w:w="1440"/>
          </w:tcPr>
          <w:p>
            <w:r>
              <w:t>197.4524</w:t>
            </w:r>
          </w:p>
        </w:tc>
        <w:tc>
          <w:tcPr>
            <w:tcW w:type="dxa" w:w="1440"/>
          </w:tcPr>
          <w:p>
            <w:r>
              <w:t>0.8818</w:t>
            </w:r>
          </w:p>
        </w:tc>
      </w:tr>
      <w:tr>
        <w:tc>
          <w:tcPr>
            <w:tcW w:type="dxa" w:w="1440"/>
          </w:tcPr>
          <w:p>
            <w:r>
              <w:t>DK</w:t>
            </w:r>
          </w:p>
        </w:tc>
        <w:tc>
          <w:tcPr>
            <w:tcW w:type="dxa" w:w="1440"/>
          </w:tcPr>
          <w:p>
            <w:r>
              <w:t>GRU</w:t>
            </w:r>
          </w:p>
        </w:tc>
        <w:tc>
          <w:tcPr>
            <w:tcW w:type="dxa" w:w="1440"/>
          </w:tcPr>
          <w:p>
            <w:r>
              <w:t>0.7855</w:t>
            </w:r>
          </w:p>
        </w:tc>
        <w:tc>
          <w:tcPr>
            <w:tcW w:type="dxa" w:w="1440"/>
          </w:tcPr>
          <w:p>
            <w:r>
              <w:t>3.1289</w:t>
            </w:r>
          </w:p>
        </w:tc>
        <w:tc>
          <w:tcPr>
            <w:tcW w:type="dxa" w:w="1440"/>
          </w:tcPr>
          <w:p>
            <w:r>
              <w:t>152.1580</w:t>
            </w:r>
          </w:p>
        </w:tc>
        <w:tc>
          <w:tcPr>
            <w:tcW w:type="dxa" w:w="1440"/>
          </w:tcPr>
          <w:p>
            <w:r>
              <w:t>0.8256</w:t>
            </w:r>
          </w:p>
        </w:tc>
      </w:tr>
      <w:tr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SARIMA</w:t>
            </w:r>
          </w:p>
        </w:tc>
        <w:tc>
          <w:tcPr>
            <w:tcW w:type="dxa" w:w="1440"/>
          </w:tcPr>
          <w:p>
            <w:r>
              <w:t>0.7040</w:t>
            </w:r>
          </w:p>
        </w:tc>
        <w:tc>
          <w:tcPr>
            <w:tcW w:type="dxa" w:w="1440"/>
          </w:tcPr>
          <w:p>
            <w:r>
              <w:t>4.4571</w:t>
            </w:r>
          </w:p>
        </w:tc>
        <w:tc>
          <w:tcPr>
            <w:tcW w:type="dxa" w:w="1440"/>
          </w:tcPr>
          <w:p>
            <w:r>
              <w:t>777.5847</w:t>
            </w:r>
          </w:p>
        </w:tc>
        <w:tc>
          <w:tcPr>
            <w:tcW w:type="dxa" w:w="1440"/>
          </w:tcPr>
          <w:p>
            <w:r>
              <w:t>0.9155</w:t>
            </w:r>
          </w:p>
        </w:tc>
      </w:tr>
      <w:tr>
        <w:tc>
          <w:tcPr>
            <w:tcW w:type="dxa" w:w="1440"/>
          </w:tcPr>
          <w:p>
            <w:r>
              <w:t>NL</w:t>
            </w:r>
          </w:p>
        </w:tc>
        <w:tc>
          <w:tcPr>
            <w:tcW w:type="dxa" w:w="1440"/>
          </w:tcPr>
          <w:p>
            <w:r>
              <w:t>GRU</w:t>
            </w:r>
          </w:p>
        </w:tc>
        <w:tc>
          <w:tcPr>
            <w:tcW w:type="dxa" w:w="1440"/>
          </w:tcPr>
          <w:p>
            <w:r>
              <w:t>1.9952</w:t>
            </w:r>
          </w:p>
        </w:tc>
        <w:tc>
          <w:tcPr>
            <w:tcW w:type="dxa" w:w="1440"/>
          </w:tcPr>
          <w:p>
            <w:r>
              <w:t>6.0919</w:t>
            </w:r>
          </w:p>
        </w:tc>
        <w:tc>
          <w:tcPr>
            <w:tcW w:type="dxa" w:w="1440"/>
          </w:tcPr>
          <w:p>
            <w:r>
              <w:t>967.1431</w:t>
            </w:r>
          </w:p>
        </w:tc>
        <w:tc>
          <w:tcPr>
            <w:tcW w:type="dxa" w:w="1440"/>
          </w:tcPr>
          <w:p>
            <w:r>
              <w:t>0.8477</w:t>
            </w:r>
          </w:p>
        </w:tc>
      </w:tr>
    </w:tbl>
    <w:p>
      <w:r>
        <w:br/>
        <w:t>Comparison:</w:t>
      </w:r>
    </w:p>
    <w:p>
      <w:r>
        <w:rPr>
          <w:i/>
        </w:rPr>
        <w:t xml:space="preserve">For BE, SARIMA achieved a MASE of 0.677, while GRU achieved 1.155. </w:t>
      </w:r>
      <w:r>
        <w:t>SARIMA was selected as the primary model due to its robustness and higher PI coverage reliability.</w:t>
      </w:r>
    </w:p>
    <w:p>
      <w:pPr>
        <w:pStyle w:val="Heading1"/>
      </w:pPr>
      <w:r>
        <w:t>4. Anomaly Detection (Statistical)</w:t>
      </w:r>
    </w:p>
    <w:p>
      <w:r>
        <w:t>Top 10 Anomalies by Z-Score (|z| &gt; 3.0):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  <w:t>timestamp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y_true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yhat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  <w:t>z_resid</w:t>
            </w:r>
          </w:p>
        </w:tc>
      </w:tr>
      <w:tr>
        <w:tc>
          <w:tcPr>
            <w:tcW w:type="dxa" w:w="2160"/>
          </w:tcPr>
          <w:p>
            <w:r>
              <w:t>2020-04-13 05:00:00+00:00</w:t>
            </w:r>
          </w:p>
        </w:tc>
        <w:tc>
          <w:tcPr>
            <w:tcW w:type="dxa" w:w="2160"/>
          </w:tcPr>
          <w:p>
            <w:r>
              <w:t>6277.0000</w:t>
            </w:r>
          </w:p>
        </w:tc>
        <w:tc>
          <w:tcPr>
            <w:tcW w:type="dxa" w:w="2160"/>
          </w:tcPr>
          <w:p>
            <w:r>
              <w:t>7592.2461</w:t>
            </w:r>
          </w:p>
        </w:tc>
        <w:tc>
          <w:tcPr>
            <w:tcW w:type="dxa" w:w="2160"/>
          </w:tcPr>
          <w:p>
            <w:r>
              <w:t>-4.0786</w:t>
            </w:r>
          </w:p>
        </w:tc>
      </w:tr>
      <w:tr>
        <w:tc>
          <w:tcPr>
            <w:tcW w:type="dxa" w:w="2160"/>
          </w:tcPr>
          <w:p>
            <w:r>
              <w:t>2020-05-01 06:00:00+00:00</w:t>
            </w:r>
          </w:p>
        </w:tc>
        <w:tc>
          <w:tcPr>
            <w:tcW w:type="dxa" w:w="2160"/>
          </w:tcPr>
          <w:p>
            <w:r>
              <w:t>7065.0000</w:t>
            </w:r>
          </w:p>
        </w:tc>
        <w:tc>
          <w:tcPr>
            <w:tcW w:type="dxa" w:w="2160"/>
          </w:tcPr>
          <w:p>
            <w:r>
              <w:t>9040.9376</w:t>
            </w:r>
          </w:p>
        </w:tc>
        <w:tc>
          <w:tcPr>
            <w:tcW w:type="dxa" w:w="2160"/>
          </w:tcPr>
          <w:p>
            <w:r>
              <w:t>-3.9888</w:t>
            </w:r>
          </w:p>
        </w:tc>
      </w:tr>
      <w:tr>
        <w:tc>
          <w:tcPr>
            <w:tcW w:type="dxa" w:w="2160"/>
          </w:tcPr>
          <w:p>
            <w:r>
              <w:t>2020-04-14 05:00:00+00:00</w:t>
            </w:r>
          </w:p>
        </w:tc>
        <w:tc>
          <w:tcPr>
            <w:tcW w:type="dxa" w:w="2160"/>
          </w:tcPr>
          <w:p>
            <w:r>
              <w:t>8630.0000</w:t>
            </w:r>
          </w:p>
        </w:tc>
        <w:tc>
          <w:tcPr>
            <w:tcW w:type="dxa" w:w="2160"/>
          </w:tcPr>
          <w:p>
            <w:r>
              <w:t>7224.4572</w:t>
            </w:r>
          </w:p>
        </w:tc>
        <w:tc>
          <w:tcPr>
            <w:tcW w:type="dxa" w:w="2160"/>
          </w:tcPr>
          <w:p>
            <w:r>
              <w:t>3.9268</w:t>
            </w:r>
          </w:p>
        </w:tc>
      </w:tr>
      <w:tr>
        <w:tc>
          <w:tcPr>
            <w:tcW w:type="dxa" w:w="2160"/>
          </w:tcPr>
          <w:p>
            <w:r>
              <w:t>2020-04-14 06:00:00+00:00</w:t>
            </w:r>
          </w:p>
        </w:tc>
        <w:tc>
          <w:tcPr>
            <w:tcW w:type="dxa" w:w="2160"/>
          </w:tcPr>
          <w:p>
            <w:r>
              <w:t>9087.0000</w:t>
            </w:r>
          </w:p>
        </w:tc>
        <w:tc>
          <w:tcPr>
            <w:tcW w:type="dxa" w:w="2160"/>
          </w:tcPr>
          <w:p>
            <w:r>
              <w:t>7650.3229</w:t>
            </w:r>
          </w:p>
        </w:tc>
        <w:tc>
          <w:tcPr>
            <w:tcW w:type="dxa" w:w="2160"/>
          </w:tcPr>
          <w:p>
            <w:r>
              <w:t>3.9085</w:t>
            </w:r>
          </w:p>
        </w:tc>
      </w:tr>
      <w:tr>
        <w:tc>
          <w:tcPr>
            <w:tcW w:type="dxa" w:w="2160"/>
          </w:tcPr>
          <w:p>
            <w:r>
              <w:t>2020-06-02 13:00:00+00:00</w:t>
            </w:r>
          </w:p>
        </w:tc>
        <w:tc>
          <w:tcPr>
            <w:tcW w:type="dxa" w:w="2160"/>
          </w:tcPr>
          <w:p>
            <w:r>
              <w:t>9795.0000</w:t>
            </w:r>
          </w:p>
        </w:tc>
        <w:tc>
          <w:tcPr>
            <w:tcW w:type="dxa" w:w="2160"/>
          </w:tcPr>
          <w:p>
            <w:r>
              <w:t>7539.8955</w:t>
            </w:r>
          </w:p>
        </w:tc>
        <w:tc>
          <w:tcPr>
            <w:tcW w:type="dxa" w:w="2160"/>
          </w:tcPr>
          <w:p>
            <w:r>
              <w:t>3.8250</w:t>
            </w:r>
          </w:p>
        </w:tc>
      </w:tr>
      <w:tr>
        <w:tc>
          <w:tcPr>
            <w:tcW w:type="dxa" w:w="2160"/>
          </w:tcPr>
          <w:p>
            <w:r>
              <w:t>2020-08-15 08:00:00+00:00</w:t>
            </w:r>
          </w:p>
        </w:tc>
        <w:tc>
          <w:tcPr>
            <w:tcW w:type="dxa" w:w="2160"/>
          </w:tcPr>
          <w:p>
            <w:r>
              <w:t>8634.0000</w:t>
            </w:r>
          </w:p>
        </w:tc>
        <w:tc>
          <w:tcPr>
            <w:tcW w:type="dxa" w:w="2160"/>
          </w:tcPr>
          <w:p>
            <w:r>
              <w:t>10198.1020</w:t>
            </w:r>
          </w:p>
        </w:tc>
        <w:tc>
          <w:tcPr>
            <w:tcW w:type="dxa" w:w="2160"/>
          </w:tcPr>
          <w:p>
            <w:r>
              <w:t>-3.7471</w:t>
            </w:r>
          </w:p>
        </w:tc>
      </w:tr>
      <w:tr>
        <w:tc>
          <w:tcPr>
            <w:tcW w:type="dxa" w:w="2160"/>
          </w:tcPr>
          <w:p>
            <w:r>
              <w:t>2020-05-01 07:00:00+00:00</w:t>
            </w:r>
          </w:p>
        </w:tc>
        <w:tc>
          <w:tcPr>
            <w:tcW w:type="dxa" w:w="2160"/>
          </w:tcPr>
          <w:p>
            <w:r>
              <w:t>7406.0000</w:t>
            </w:r>
          </w:p>
        </w:tc>
        <w:tc>
          <w:tcPr>
            <w:tcW w:type="dxa" w:w="2160"/>
          </w:tcPr>
          <w:p>
            <w:r>
              <w:t>9295.6870</w:t>
            </w:r>
          </w:p>
        </w:tc>
        <w:tc>
          <w:tcPr>
            <w:tcW w:type="dxa" w:w="2160"/>
          </w:tcPr>
          <w:p>
            <w:r>
              <w:t>-3.7297</w:t>
            </w:r>
          </w:p>
        </w:tc>
      </w:tr>
      <w:tr>
        <w:tc>
          <w:tcPr>
            <w:tcW w:type="dxa" w:w="2160"/>
          </w:tcPr>
          <w:p>
            <w:r>
              <w:t>2020-08-15 09:00:00+00:00</w:t>
            </w:r>
          </w:p>
        </w:tc>
        <w:tc>
          <w:tcPr>
            <w:tcW w:type="dxa" w:w="2160"/>
          </w:tcPr>
          <w:p>
            <w:r>
              <w:t>8805.0000</w:t>
            </w:r>
          </w:p>
        </w:tc>
        <w:tc>
          <w:tcPr>
            <w:tcW w:type="dxa" w:w="2160"/>
          </w:tcPr>
          <w:p>
            <w:r>
              <w:t>10387.9627</w:t>
            </w:r>
          </w:p>
        </w:tc>
        <w:tc>
          <w:tcPr>
            <w:tcW w:type="dxa" w:w="2160"/>
          </w:tcPr>
          <w:p>
            <w:r>
              <w:t>-3.7274</w:t>
            </w:r>
          </w:p>
        </w:tc>
      </w:tr>
      <w:tr>
        <w:tc>
          <w:tcPr>
            <w:tcW w:type="dxa" w:w="2160"/>
          </w:tcPr>
          <w:p>
            <w:r>
              <w:t>2020-06-02 12:00:00+00:00</w:t>
            </w:r>
          </w:p>
        </w:tc>
        <w:tc>
          <w:tcPr>
            <w:tcW w:type="dxa" w:w="2160"/>
          </w:tcPr>
          <w:p>
            <w:r>
              <w:t>9767.0000</w:t>
            </w:r>
          </w:p>
        </w:tc>
        <w:tc>
          <w:tcPr>
            <w:tcW w:type="dxa" w:w="2160"/>
          </w:tcPr>
          <w:p>
            <w:r>
              <w:t>7665.4618</w:t>
            </w:r>
          </w:p>
        </w:tc>
        <w:tc>
          <w:tcPr>
            <w:tcW w:type="dxa" w:w="2160"/>
          </w:tcPr>
          <w:p>
            <w:r>
              <w:t>3.6461</w:t>
            </w:r>
          </w:p>
        </w:tc>
      </w:tr>
      <w:tr>
        <w:tc>
          <w:tcPr>
            <w:tcW w:type="dxa" w:w="2160"/>
          </w:tcPr>
          <w:p>
            <w:r>
              <w:t>2020-06-02 11:00:00+00:00</w:t>
            </w:r>
          </w:p>
        </w:tc>
        <w:tc>
          <w:tcPr>
            <w:tcW w:type="dxa" w:w="2160"/>
          </w:tcPr>
          <w:p>
            <w:r>
              <w:t>9898.0000</w:t>
            </w:r>
          </w:p>
        </w:tc>
        <w:tc>
          <w:tcPr>
            <w:tcW w:type="dxa" w:w="2160"/>
          </w:tcPr>
          <w:p>
            <w:r>
              <w:t>7847.4724</w:t>
            </w:r>
          </w:p>
        </w:tc>
        <w:tc>
          <w:tcPr>
            <w:tcW w:type="dxa" w:w="2160"/>
          </w:tcPr>
          <w:p>
            <w:r>
              <w:t>3.6314</w:t>
            </w:r>
          </w:p>
        </w:tc>
      </w:tr>
    </w:tbl>
    <w:p>
      <w:r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anomaly_example_g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Detailed view of top anomaly event for BE</w:t>
      </w:r>
    </w:p>
    <w:p>
      <w:pPr>
        <w:pStyle w:val="Heading1"/>
      </w:pPr>
      <w:r>
        <w:t>5. ML-Based Anomaly Classification</w:t>
      </w:r>
    </w:p>
    <w:p>
      <w:r>
        <w:t>A Logistic Regression classifier was trained on silver-labeled data to differentiate true anomalies.</w:t>
      </w:r>
    </w:p>
    <w:p>
      <w:pPr>
        <w:pStyle w:val="ListBullet"/>
      </w:pPr>
      <w:r>
        <w:t>PR-AUC: 1.0000</w:t>
      </w:r>
    </w:p>
    <w:p>
      <w:pPr>
        <w:pStyle w:val="ListBullet"/>
      </w:pPr>
      <w:r>
        <w:t>F1 Score (@P=0.80): 0.8824</w:t>
      </w:r>
    </w:p>
    <w:p>
      <w:pPr>
        <w:pStyle w:val="ListBullet"/>
      </w:pPr>
      <w:r>
        <w:t>Precision: 0.7895</w:t>
      </w:r>
    </w:p>
    <w:p>
      <w:r>
        <w:br/>
        <w:t>Commentary: The high precision indicates the model successfully identifies distinct separation between normal and anomalous load behaviors using lag and forecast context features.</w:t>
      </w:r>
    </w:p>
    <w:p>
      <w:pPr>
        <w:pStyle w:val="Heading1"/>
      </w:pPr>
      <w:r>
        <w:t>6. Live Ingestion &amp; Adaptation</w:t>
      </w:r>
    </w:p>
    <w:p>
      <w:r>
        <w:t>Strategy Selected: Rolling SARIMA (Refit on Drift Trigger)</w:t>
      </w:r>
    </w:p>
    <w:p>
      <w:r>
        <w:t>The model monitors the rolling 14-day z-score distribution. If drift is detected (95th percentile check), the model refits on the most recent history.</w:t>
      </w:r>
    </w:p>
    <w:p>
      <w:pPr>
        <w:pStyle w:val="Heading1"/>
      </w:pPr>
      <w:r>
        <w:t>7. Limitations &amp; Future Work</w:t>
      </w:r>
    </w:p>
    <w:p>
      <w:pPr>
        <w:pStyle w:val="ListBullet"/>
      </w:pPr>
      <w:r>
        <w:t>Computational Cost: Daily refitting of SARIMA models is computationally expensive for real-time applications.</w:t>
      </w:r>
    </w:p>
    <w:p>
      <w:pPr>
        <w:pStyle w:val="ListBullet"/>
      </w:pPr>
      <w:r>
        <w:t>Linearity Assumptions: SARIMA may fail to capture complex non-linear dependencies during extreme weather events.</w:t>
      </w:r>
    </w:p>
    <w:p>
      <w:pPr>
        <w:pStyle w:val="ListBullet"/>
      </w:pPr>
      <w:r>
        <w:t>Static Thresholds: A fixed z-score threshold of 3.0 may be too rigid for holidays or special events, leading to false positives.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