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Propuesta operativa para la feria</w:t>
      </w:r>
    </w:p>
    <w:p>
      <w:pPr>
        <w:pStyle w:val="Heading2"/>
      </w:pPr>
      <w:r>
        <w:t>Alcance de la reconstrucción</w:t>
      </w:r>
    </w:p>
    <w:p>
      <w:r>
        <w:t>Esta memoria reemplaza la narración anterior de mejoras implementadas. Es una propuesta basada en un caso simulado, inspirada en la operación de una feria. No documenta compras de equipos, despliegues, visitas, ahorros ni acuerdos con un contador que se hayan verificado.</w:t>
      </w:r>
    </w:p>
    <w:p>
      <w:pPr>
        <w:pStyle w:val="Heading2"/>
      </w:pPr>
      <w:r>
        <w:t>Diagnóstico analítico</w:t>
      </w:r>
    </w:p>
    <w:p>
      <w:r>
        <w:t>128 productos, 22 proveedores y 3.825 lotes simulados. Compras de julio de 2023 a junio de 2025. Los cierres llegan hasta 2035; los resultados completos no son ventas realizadas en dos años. Priorizar un piloto de merma en aceitunas antes de aprobar inversión en frío o emitir órdenes automáticas. La categoría concentra CLP 2.984.432 de merma valorada al costo en las cohortes simuladas.</w:t>
      </w:r>
    </w:p>
    <w:p>
      <w:pPr>
        <w:pStyle w:val="Heading2"/>
      </w:pPr>
      <w:r>
        <w:t>Registro y control de mercadería</w:t>
      </w:r>
    </w:p>
    <w:p>
      <w:r>
        <w:t>Usar identificadores de producto y lote, unidad explícita, fecha de compra, venta y merma. Contar inventario al cierre y conciliar inicio más entradas menos ventas y mermas. High o Low solo debe activar un conteo. Mantener precios y proveedores con fecha de vigencia.</w:t>
      </w:r>
    </w:p>
    <w:p>
      <w:pPr>
        <w:pStyle w:val="Heading2"/>
      </w:pPr>
      <w:r>
        <w:t>Piloto e inversión</w:t>
      </w:r>
    </w:p>
    <w:p>
      <w:r>
        <w:t>Registrar ventas diarias por SKU, merma y motivo, inventario contado y entradas. Comparar costo de merma por kg comprado y faltantes entre ciclos equivalentes. Cotizar y validar la aptitud de los productos antes de evaluar inversión, electricidad y mantenimiento. La inversión se evaluará con ahorro incremental neto de operación y capacidad útil; ningún payback está aprobado.</w:t>
      </w:r>
    </w:p>
    <w:p>
      <w:pPr>
        <w:pStyle w:val="Heading2"/>
      </w:pPr>
      <w:r>
        <w:t>Transporte y medios de pago</w:t>
      </w:r>
    </w:p>
    <w:p>
      <w:r>
        <w:t>Probar contenedores por categoría y registrar roturas y tiempo de preparación. Comparar medios de pago con cotizaciones vigentes, comisiones y conciliación bancaria. No afirmar cumplimiento tributario automático; revisar las obligaciones aplicables con el responsable de la operación.</w:t>
      </w:r>
    </w:p>
    <w:p>
      <w:pPr>
        <w:pStyle w:val="Heading2"/>
      </w:pPr>
      <w:r>
        <w:t>Criterios de avance</w:t>
      </w:r>
    </w:p>
    <w:p>
      <w:r>
        <w:t>Avanzar cuando los registros concilien, la merma por unidad comparable disminuya sin aumentar faltantes y el beneficio cubra costos adicionales. Si faltan datos, continuar midiendo. La evidencia de esta entrega comprende Excel, análisis reproducible y un reporte ejecutivo; no resultados comerciales realizados.</w:t>
      </w:r>
    </w:p>
    <w:p>
      <w:r>
        <w:br w:type="page"/>
      </w:r>
    </w:p>
    <w:p>
      <w:pPr>
        <w:pStyle w:val="Title"/>
      </w:pPr>
      <w:r>
        <w:t>Market stall operating proposal</w:t>
      </w:r>
    </w:p>
    <w:p>
      <w:pPr>
        <w:pStyle w:val="Heading2"/>
      </w:pPr>
      <w:r>
        <w:t>Scope of reconstruction</w:t>
      </w:r>
    </w:p>
    <w:p>
      <w:r>
        <w:t>This memoir replaces the previous narrative of implemented improvements. It is a proposal based on a synthetic case inspired by a market stall. It does not document verified equipment purchases, deployments, site visits, savings or accountant agreements.</w:t>
      </w:r>
    </w:p>
    <w:p>
      <w:pPr>
        <w:pStyle w:val="Heading2"/>
      </w:pPr>
      <w:r>
        <w:t>Analytical diagnosis</w:t>
      </w:r>
    </w:p>
    <w:p>
      <w:r>
        <w:t>128 products, 22 suppliers and 3,825 synthetic batches. Purchases span July 2023 to June 2025. Closures extend to 2035; full cohort results are not two-year realized sales. Prioritize an olives waste pilot before approving cold-storage investment or automated orders. The category accounts for CLP 2,984,432 in simulated cohort waste at acquisition cost.</w:t>
      </w:r>
    </w:p>
    <w:p>
      <w:pPr>
        <w:pStyle w:val="Heading2"/>
      </w:pPr>
      <w:r>
        <w:t>Stock recording and control</w:t>
      </w:r>
    </w:p>
    <w:p>
      <w:r>
        <w:t>Use product and batch identifiers, explicit units, and purchase, sale and waste dates. Count closing stock and reconcile opening balance plus receipts less sales and losses. High or Low should only trigger a count. Maintain effective dates for prices and suppliers.</w:t>
      </w:r>
    </w:p>
    <w:p>
      <w:pPr>
        <w:pStyle w:val="Heading2"/>
      </w:pPr>
      <w:r>
        <w:t>Pilot and investment</w:t>
      </w:r>
    </w:p>
    <w:p>
      <w:r>
        <w:t>Capture daily SKU sales, waste reasons, physical stock counts and receipts. Compare waste cost per kilogram purchased and stockouts over equivalent cycles. Obtain quotes and validate product suitability before assessing investment, energy and maintenance. Evaluate investment against incremental savings net of operating costs and usable capacity; no payback has been approved.</w:t>
      </w:r>
    </w:p>
    <w:p>
      <w:pPr>
        <w:pStyle w:val="Heading2"/>
      </w:pPr>
      <w:r>
        <w:t>Transport and payment methods</w:t>
      </w:r>
    </w:p>
    <w:p>
      <w:r>
        <w:t>Trial category-specific containers and record breakage and setup time. Compare payment options using current quotes, fees and bank reconciliation. Do not claim automatic tax compliance; review applicable obligations with the operation owner.</w:t>
      </w:r>
    </w:p>
    <w:p>
      <w:pPr>
        <w:pStyle w:val="Heading2"/>
      </w:pPr>
      <w:r>
        <w:t>Progress criteria</w:t>
      </w:r>
    </w:p>
    <w:p>
      <w:r>
        <w:t>Proceed when records reconcile, waste per comparable unit falls without worsening stockouts, and benefits cover incremental costs. If inputs remain missing, continue measurement. This delivery provides Excel, reproducible analysis and an executive report, not realized commercial results.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Camilo Vergara Salas  |  Analytical portfolio  |  2026-09-09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stall operating proposal</dc:title>
  <dc:subject/>
  <dc:creator>Camilo Vergara Salas</dc:creator>
  <cp:keywords/>
  <dc:description>generated by python-docx</dc:description>
  <cp:lastModifiedBy/>
  <cp:revision>1</cp:revision>
  <dcterms:created xsi:type="dcterms:W3CDTF">2013-12-23T23:15:00Z</dcterms:created>
  <dcterms:modified xsi:type="dcterms:W3CDTF">2013-12-23T23:15:00Z</dcterms:modified>
  <cp:category/>
</cp:coreProperties>
</file>