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GlobalPharm Research Inc. ("Disclosing Party")</w:t>
      </w:r>
    </w:p>
    <w:p>
      <w:pPr>
        <w:spacing w:after="100"/>
      </w:pPr>
      <w:r>
        <w:rPr>
          <w:color w:val="000000"/>
          <w:sz w:val="22"/>
          <w:szCs w:val="22"/>
        </w:rPr>
        <w:t xml:space="preserve">and</w:t>
      </w:r>
    </w:p>
    <w:p>
      <w:pPr>
        <w:spacing w:after="200"/>
      </w:pPr>
      <w:r>
        <w:rPr>
          <w:b/>
          <w:bCs/>
          <w:color w:val="000000"/>
          <w:sz w:val="22"/>
          <w:szCs w:val="22"/>
        </w:rPr>
        <w:t xml:space="preserve">BioLabs Scientific Ltd ("Receiving Party")</w:t>
      </w:r>
    </w:p>
    <w:p>
      <w:pPr>
        <w:spacing w:after="300"/>
      </w:pPr>
      <w:r>
        <w:rPr>
          <w:color w:val="000000"/>
          <w:sz w:val="22"/>
          <w:szCs w:val="22"/>
        </w:rPr>
        <w:t xml:space="preserve">WHEREAS, the parties wish to explore a potential business relationship concerning collaborative research and development discussions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and all information, data, documents, know-how, trade secrets, business plans, financial information, technical specifications, customer lists, and any other proprietary information disclosed by the Disclosing Party, regardless of whether such information is publicly available, in any form or medium, whether tangible or intangible, written, oral, visual, or electronic.</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two (2) years from execution. Confidentiality obligations shall survive termination for a period of three (3) years.</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of this Agreement or upon request by the Disclosing Party, the Receiving Party shall promptly return or destroy all copies without exception. The Receiving Party shall certify in writing that all Confidential Information has been returned or destroyed.</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rPr>
          <w:color w:val="000000"/>
          <w:sz w:val="22"/>
          <w:szCs w:val="22"/>
        </w:rPr>
        <w:t xml:space="preserve">8.2 Injunctive Relief. The Disclosing Party shall be entitled to seek injunctive or other equitable relief without the necessity of posting any bond, in addition to any other remedies available at law or in equity.</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and construed in accordance with the laws applicable in the jurisdiction of the courts of the Cayman Islands, without regard to conflict of laws principles. Any dispute shall be subject to the courts of the Cayman Islands.</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GlobalPharm Research Inc.</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BioLabs Scientific Ltd</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87231B-8976-4964-B847-9C53AC5F92EC}"/>
</file>

<file path=customXml/itemProps2.xml><?xml version="1.0" encoding="utf-8"?>
<ds:datastoreItem xmlns:ds="http://schemas.openxmlformats.org/officeDocument/2006/customXml" ds:itemID="{09FE9E9C-4BC1-44BC-919B-54282CE6FCBB}"/>
</file>

<file path=customXml/itemProps3.xml><?xml version="1.0" encoding="utf-8"?>
<ds:datastoreItem xmlns:ds="http://schemas.openxmlformats.org/officeDocument/2006/customXml" ds:itemID="{71CFB576-22FD-431C-9A64-63737E7184E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2025-12-16T12:59:38Z</dcterms:created>
  <dcterms:modified xsi:type="dcterms:W3CDTF">2025-12-16T12:59:38Z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