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NDA Guideline Playbook - Receiving Party Perspective</w:t>
      </w:r>
    </w:p>
    <w:p>
      <w:pPr>
        <w:pStyle w:val="Heading1"/>
      </w:pPr>
      <w:r>
        <w:rPr>
          <w:color w:val="000000"/>
        </w:rPr>
        <w:t>1. Confidential Information Definition</w:t>
      </w:r>
    </w:p>
    <w:p>
      <w:r>
        <w:rPr>
          <w:b/>
          <w:color w:val="000000"/>
        </w:rPr>
        <w:t xml:space="preserve">Gold Standard: </w:t>
      </w:r>
      <w:r>
        <w:rPr>
          <w:color w:val="000000"/>
        </w:rPr>
        <w:t>Definition requires information to be marked or designated as confidential. Oral disclosures must be confirmed in writing within 10 business days. Standard carve-outs for public domain, prior knowledge, third-party sources, and independent development are included.</w:t>
      </w:r>
    </w:p>
    <w:p>
      <w:r>
        <w:rPr>
          <w:b/>
          <w:color w:val="000000"/>
        </w:rPr>
        <w:t xml:space="preserve">Fallback 1: </w:t>
      </w:r>
      <w:r>
        <w:rPr>
          <w:color w:val="000000"/>
        </w:rPr>
        <w:t>Accept unmarked written information, but oral disclosures still require written confirmation. All four standard carve-outs must be present.</w:t>
      </w:r>
    </w:p>
    <w:p>
      <w:r>
        <w:rPr>
          <w:b/>
          <w:color w:val="000000"/>
        </w:rPr>
        <w:t xml:space="preserve">Fallback 2: </w:t>
      </w:r>
      <w:r>
        <w:rPr>
          <w:color w:val="000000"/>
        </w:rPr>
        <w:t>Accept broader definition, but DELETE any language including "regardless of whether publicly available" or "retained in unaided memory" (residual knowledge). Ensure at minimum public domain carve-out is present.</w:t>
      </w:r>
    </w:p>
    <w:p>
      <w:r>
        <w:rPr>
          <w:b/>
          <w:color w:val="000000"/>
        </w:rPr>
        <w:t xml:space="preserve">Red Flag: </w:t>
      </w:r>
      <w:r>
        <w:rPr>
          <w:color w:val="000000"/>
        </w:rPr>
        <w:t>DELETE language stating "whether or not marked as confidential" - this creates unlimited scope. DELETE language including "general skills, knowledge, and experience" within protected information.</w:t>
      </w:r>
    </w:p>
    <w:p>
      <w:pPr>
        <w:pStyle w:val="Heading1"/>
      </w:pPr>
      <w:r>
        <w:rPr>
          <w:color w:val="000000"/>
        </w:rPr>
        <w:t>2. Confidentiality Obligations - Reciprocity</w:t>
      </w:r>
    </w:p>
    <w:p>
      <w:r>
        <w:rPr>
          <w:b/>
          <w:color w:val="000000"/>
        </w:rPr>
        <w:t xml:space="preserve">Gold Standard: </w:t>
      </w:r>
      <w:r>
        <w:rPr>
          <w:color w:val="000000"/>
        </w:rPr>
        <w:t>Mutual and reciprocal obligations applying equally to both parties.</w:t>
      </w:r>
    </w:p>
    <w:p>
      <w:r>
        <w:rPr>
          <w:b/>
          <w:color w:val="000000"/>
        </w:rPr>
        <w:t xml:space="preserve">Fallback 1: </w:t>
      </w:r>
      <w:r>
        <w:rPr>
          <w:color w:val="000000"/>
        </w:rPr>
        <w:t>Accept slightly asymmetric standards of care if core obligations remain mutual.</w:t>
      </w:r>
    </w:p>
    <w:p>
      <w:r>
        <w:rPr>
          <w:b/>
          <w:color w:val="000000"/>
        </w:rPr>
        <w:t xml:space="preserve">Fallback 2: </w:t>
      </w:r>
      <w:r>
        <w:rPr>
          <w:color w:val="000000"/>
        </w:rPr>
        <w:t>Accept unilateral obligations only if commercially justified and other terms are favourable.</w:t>
      </w:r>
    </w:p>
    <w:p>
      <w:r>
        <w:rPr>
          <w:b/>
          <w:color w:val="000000"/>
        </w:rPr>
        <w:t xml:space="preserve">Red Flag: </w:t>
      </w:r>
      <w:r>
        <w:rPr>
          <w:color w:val="000000"/>
        </w:rPr>
        <w:t>AMEND any provision stating "obligations shall apply solely to the Receiving Party" or "Receiving Party's obligations hereunder are not reciprocal" to make obligations mutual.</w:t>
      </w:r>
    </w:p>
    <w:p>
      <w:pPr>
        <w:pStyle w:val="Heading1"/>
      </w:pPr>
      <w:r>
        <w:rPr>
          <w:color w:val="000000"/>
        </w:rPr>
        <w:t>3. Compelled Disclosure</w:t>
      </w:r>
    </w:p>
    <w:p>
      <w:r>
        <w:rPr>
          <w:b/>
          <w:color w:val="000000"/>
        </w:rPr>
        <w:t xml:space="preserve">Gold Standard: </w:t>
      </w:r>
      <w:r>
        <w:rPr>
          <w:color w:val="000000"/>
        </w:rPr>
        <w:t>Receiving Party may disclose when legally compelled, with prompt notice to Disclosing Party to enable protective order. No prior consent required.</w:t>
      </w:r>
    </w:p>
    <w:p>
      <w:r>
        <w:rPr>
          <w:b/>
          <w:color w:val="000000"/>
        </w:rPr>
        <w:t xml:space="preserve">Fallback 1: </w:t>
      </w:r>
      <w:r>
        <w:rPr>
          <w:color w:val="000000"/>
        </w:rPr>
        <w:t>Accept reasonable notice period (e.g., 5 business days) before compelled disclosure where legally permitted.</w:t>
      </w:r>
    </w:p>
    <w:p>
      <w:r>
        <w:rPr>
          <w:b/>
          <w:color w:val="000000"/>
        </w:rPr>
        <w:t xml:space="preserve">Fallback 2: </w:t>
      </w:r>
      <w:r>
        <w:rPr>
          <w:color w:val="000000"/>
        </w:rPr>
        <w:t>Accept requirement to cooperate with Disclosing Party's protective order efforts.</w:t>
      </w:r>
    </w:p>
    <w:p>
      <w:r>
        <w:rPr>
          <w:b/>
          <w:color w:val="000000"/>
        </w:rPr>
        <w:t xml:space="preserve">Red Flag: </w:t>
      </w:r>
      <w:r>
        <w:rPr>
          <w:color w:val="000000"/>
        </w:rPr>
        <w:t>AMEND any provision stating "under no circumstances shall disclose" or "shall not disclose under any circumstances including legal process" or requiring "prior written consent" before legally compelled disclosure. Replace with standard compelled disclosure carve-out.</w:t>
      </w:r>
    </w:p>
    <w:p>
      <w:pPr>
        <w:pStyle w:val="Heading1"/>
      </w:pPr>
      <w:r>
        <w:rPr>
          <w:color w:val="000000"/>
        </w:rPr>
        <w:t>4. Term and Survival</w:t>
      </w:r>
    </w:p>
    <w:p>
      <w:r>
        <w:rPr>
          <w:b/>
          <w:color w:val="000000"/>
        </w:rPr>
        <w:t xml:space="preserve">Gold Standard: </w:t>
      </w:r>
      <w:r>
        <w:rPr>
          <w:color w:val="000000"/>
        </w:rPr>
        <w:t>Confidentiality obligations survive for 3 years following termination or expiration.</w:t>
      </w:r>
    </w:p>
    <w:p>
      <w:r>
        <w:rPr>
          <w:b/>
          <w:color w:val="000000"/>
        </w:rPr>
        <w:t xml:space="preserve">Fallback 1: </w:t>
      </w:r>
      <w:r>
        <w:rPr>
          <w:color w:val="000000"/>
        </w:rPr>
        <w:t>Accept survival period up to 5 years.</w:t>
      </w:r>
    </w:p>
    <w:p>
      <w:r>
        <w:rPr>
          <w:b/>
          <w:color w:val="000000"/>
        </w:rPr>
        <w:t xml:space="preserve">Fallback 2: </w:t>
      </w:r>
      <w:r>
        <w:rPr>
          <w:color w:val="000000"/>
        </w:rPr>
        <w:t>Accept longer survival for genuine trade secrets only, with 3-5 years for other information.</w:t>
      </w:r>
    </w:p>
    <w:p>
      <w:r>
        <w:rPr>
          <w:b/>
          <w:color w:val="000000"/>
        </w:rPr>
        <w:t xml:space="preserve">Red Flag: </w:t>
      </w:r>
      <w:r>
        <w:rPr>
          <w:color w:val="000000"/>
        </w:rPr>
        <w:t>AMEND any survival stated as "perpetual," "in perpetuity," "indefinitely," or exceeding 5 years (e.g., "ten (10) years following expiration"). Replace with "three (3) years following termination or expiration."</w:t>
      </w:r>
    </w:p>
    <w:p>
      <w:pPr>
        <w:pStyle w:val="Heading1"/>
      </w:pPr>
      <w:r>
        <w:rPr>
          <w:color w:val="000000"/>
        </w:rPr>
        <w:t>5. Non-Solicitation Period</w:t>
      </w:r>
    </w:p>
    <w:p>
      <w:r>
        <w:rPr>
          <w:b/>
          <w:color w:val="000000"/>
        </w:rPr>
        <w:t xml:space="preserve">Gold Standard: </w:t>
      </w:r>
      <w:r>
        <w:rPr>
          <w:color w:val="000000"/>
        </w:rPr>
        <w:t>No non-solicitation restrictions, or maximum 12 months if required.</w:t>
      </w:r>
    </w:p>
    <w:p>
      <w:r>
        <w:rPr>
          <w:b/>
          <w:color w:val="000000"/>
        </w:rPr>
        <w:t xml:space="preserve">Fallback 1: </w:t>
      </w:r>
      <w:r>
        <w:rPr>
          <w:color w:val="000000"/>
        </w:rPr>
        <w:t>Accept 12-month non-solicitation of employees directly involved in the project.</w:t>
      </w:r>
    </w:p>
    <w:p>
      <w:r>
        <w:rPr>
          <w:b/>
          <w:color w:val="000000"/>
        </w:rPr>
        <w:t xml:space="preserve">Fallback 2: </w:t>
      </w:r>
      <w:r>
        <w:rPr>
          <w:color w:val="000000"/>
        </w:rPr>
        <w:t>Accept 18-month period only if limited to key personnel and includes carve-outs for general advertising.</w:t>
      </w:r>
    </w:p>
    <w:p>
      <w:r>
        <w:rPr>
          <w:b/>
          <w:color w:val="000000"/>
        </w:rPr>
        <w:t xml:space="preserve">Red Flag: </w:t>
      </w:r>
      <w:r>
        <w:rPr>
          <w:color w:val="000000"/>
        </w:rPr>
        <w:t>AMEND any non-solicitation period exceeding 12 months (e.g., "eighteen (18) months," "twenty-four (24) months," "thirty-six (36) months," "five (5) years") to "twelve (12) months."</w:t>
      </w:r>
    </w:p>
    <w:p>
      <w:pPr>
        <w:pStyle w:val="Heading1"/>
      </w:pPr>
      <w:r>
        <w:rPr>
          <w:color w:val="000000"/>
        </w:rPr>
        <w:t>6. Non-Compete Provisions</w:t>
      </w:r>
    </w:p>
    <w:p>
      <w:r>
        <w:rPr>
          <w:b/>
          <w:color w:val="000000"/>
        </w:rPr>
        <w:t xml:space="preserve">Gold Standard: </w:t>
      </w:r>
      <w:r>
        <w:rPr>
          <w:color w:val="000000"/>
        </w:rPr>
        <w:t>No non-compete restrictions whatsoever.</w:t>
      </w:r>
    </w:p>
    <w:p>
      <w:r>
        <w:rPr>
          <w:b/>
          <w:color w:val="000000"/>
        </w:rPr>
        <w:t xml:space="preserve">Fallback 1: </w:t>
      </w:r>
      <w:r>
        <w:rPr>
          <w:color w:val="000000"/>
        </w:rPr>
        <w:t>Accept narrow non-compete limited to specific competing products for 6 months maximum.</w:t>
      </w:r>
    </w:p>
    <w:p>
      <w:r>
        <w:rPr>
          <w:b/>
          <w:color w:val="000000"/>
        </w:rPr>
        <w:t xml:space="preserve">Fallback 2: </w:t>
      </w:r>
      <w:r>
        <w:rPr>
          <w:color w:val="000000"/>
        </w:rPr>
        <w:t>Not acceptable in any form for NDAs.</w:t>
      </w:r>
    </w:p>
    <w:p>
      <w:r>
        <w:rPr>
          <w:b/>
          <w:color w:val="000000"/>
        </w:rPr>
        <w:t xml:space="preserve">Red Flag: </w:t>
      </w:r>
      <w:r>
        <w:rPr>
          <w:color w:val="000000"/>
        </w:rPr>
        <w:t>DELETE any non-compete provision entirely. Look for language such as "shall not compete," "shall not provide similar services to competitors," "competitive activities," or "competing business."</w:t>
      </w:r>
    </w:p>
    <w:p>
      <w:pPr>
        <w:pStyle w:val="Heading1"/>
      </w:pPr>
      <w:r>
        <w:rPr>
          <w:color w:val="000000"/>
        </w:rPr>
        <w:t>7. Return and Destruction</w:t>
      </w:r>
    </w:p>
    <w:p>
      <w:r>
        <w:rPr>
          <w:b/>
          <w:color w:val="000000"/>
        </w:rPr>
        <w:t xml:space="preserve">Gold Standard: </w:t>
      </w:r>
      <w:r>
        <w:rPr>
          <w:color w:val="000000"/>
        </w:rPr>
        <w:t>Receiving Party may retain one archival copy for legal compliance and copies on routine backup systems, subject to continuing confidentiality.</w:t>
      </w:r>
    </w:p>
    <w:p>
      <w:r>
        <w:rPr>
          <w:b/>
          <w:color w:val="000000"/>
        </w:rPr>
        <w:t xml:space="preserve">Fallback 1: </w:t>
      </w:r>
      <w:r>
        <w:rPr>
          <w:color w:val="000000"/>
        </w:rPr>
        <w:t>Accept requirement to certify destruction, with retention exception for legal compliance.</w:t>
      </w:r>
    </w:p>
    <w:p>
      <w:r>
        <w:rPr>
          <w:b/>
          <w:color w:val="000000"/>
        </w:rPr>
        <w:t xml:space="preserve">Fallback 2: </w:t>
      </w:r>
      <w:r>
        <w:rPr>
          <w:color w:val="000000"/>
        </w:rPr>
        <w:t>Accept destruction requirement with 30-day compliance period.</w:t>
      </w:r>
    </w:p>
    <w:p>
      <w:r>
        <w:rPr>
          <w:b/>
          <w:color w:val="000000"/>
        </w:rPr>
        <w:t xml:space="preserve">Red Flag: </w:t>
      </w:r>
      <w:r>
        <w:rPr>
          <w:color w:val="000000"/>
        </w:rPr>
        <w:t>ADD compliance exception to any provision requiring "destroy all copies without exception" or "no copies may be retained for any purpose." Add: "provided, however, that the Receiving Party may retain (i) one archival copy for legal compliance purposes, and (ii) copies residing on routine backup systems."</w:t>
      </w:r>
    </w:p>
    <w:p>
      <w:pPr>
        <w:pStyle w:val="Heading1"/>
      </w:pPr>
      <w:r>
        <w:rPr>
          <w:color w:val="000000"/>
        </w:rPr>
        <w:t>8. Injunctive Relief</w:t>
      </w:r>
    </w:p>
    <w:p>
      <w:r>
        <w:rPr>
          <w:b/>
          <w:color w:val="000000"/>
        </w:rPr>
        <w:t xml:space="preserve">Gold Standard: </w:t>
      </w:r>
      <w:r>
        <w:rPr>
          <w:color w:val="000000"/>
        </w:rPr>
        <w:t>Acknowledgment of irreparable harm and right to seek equitable relief, with bond requirement preserved.</w:t>
      </w:r>
    </w:p>
    <w:p>
      <w:r>
        <w:rPr>
          <w:b/>
          <w:color w:val="000000"/>
        </w:rPr>
        <w:t xml:space="preserve">Fallback 1: </w:t>
      </w:r>
      <w:r>
        <w:rPr>
          <w:color w:val="000000"/>
        </w:rPr>
        <w:t>Accept waiver of proving irreparable harm, but preserve bond requirement.</w:t>
      </w:r>
    </w:p>
    <w:p>
      <w:r>
        <w:rPr>
          <w:b/>
          <w:color w:val="000000"/>
        </w:rPr>
        <w:t xml:space="preserve">Fallback 2: </w:t>
      </w:r>
      <w:r>
        <w:rPr>
          <w:color w:val="000000"/>
        </w:rPr>
        <w:t>Accept reasonable bond amount specified in agreement.</w:t>
      </w:r>
    </w:p>
    <w:p>
      <w:r>
        <w:rPr>
          <w:b/>
          <w:color w:val="000000"/>
        </w:rPr>
        <w:t xml:space="preserve">Red Flag: </w:t>
      </w:r>
      <w:r>
        <w:rPr>
          <w:color w:val="000000"/>
        </w:rPr>
        <w:t>DELETE any bond waiver language such as "without posting bond," "without the necessity of posting any bond," "waives any requirement for bond," or "without posting bond or security."</w:t>
      </w:r>
    </w:p>
    <w:p>
      <w:pPr>
        <w:pStyle w:val="Heading1"/>
      </w:pPr>
      <w:r>
        <w:rPr>
          <w:color w:val="000000"/>
        </w:rPr>
        <w:t>9. Indemnification</w:t>
      </w:r>
    </w:p>
    <w:p>
      <w:r>
        <w:rPr>
          <w:b/>
          <w:color w:val="000000"/>
        </w:rPr>
        <w:t xml:space="preserve">Gold Standard: </w:t>
      </w:r>
      <w:r>
        <w:rPr>
          <w:color w:val="000000"/>
        </w:rPr>
        <w:t>Indemnification limited to breaches caused by indemnifying party's negligence or wilful misconduct.</w:t>
      </w:r>
    </w:p>
    <w:p>
      <w:r>
        <w:rPr>
          <w:b/>
          <w:color w:val="000000"/>
        </w:rPr>
        <w:t xml:space="preserve">Fallback 1: </w:t>
      </w:r>
      <w:r>
        <w:rPr>
          <w:color w:val="000000"/>
        </w:rPr>
        <w:t>Accept comparative fault indemnification (each party liable to extent of its own fault).</w:t>
      </w:r>
    </w:p>
    <w:p>
      <w:r>
        <w:rPr>
          <w:b/>
          <w:color w:val="000000"/>
        </w:rPr>
        <w:t xml:space="preserve">Fallback 2: </w:t>
      </w:r>
      <w:r>
        <w:rPr>
          <w:color w:val="000000"/>
        </w:rPr>
        <w:t>Accept broader indemnification if capped and subject to limitation of liability.</w:t>
      </w:r>
    </w:p>
    <w:p>
      <w:r>
        <w:rPr>
          <w:b/>
          <w:color w:val="000000"/>
        </w:rPr>
        <w:t xml:space="preserve">Red Flag: </w:t>
      </w:r>
      <w:r>
        <w:rPr>
          <w:color w:val="000000"/>
        </w:rPr>
        <w:t>DELETE broad-form indemnification triggers such as "regardless of fault," "whether or not caused by the negligence of the Disclosing Party," "regardless of the fault or negligence," or "fully indemnify and hold harmless" without fault qualifier.</w:t>
      </w:r>
    </w:p>
    <w:p>
      <w:pPr>
        <w:pStyle w:val="Heading1"/>
      </w:pPr>
      <w:r>
        <w:rPr>
          <w:color w:val="000000"/>
        </w:rPr>
        <w:t>10. Assignment</w:t>
      </w:r>
    </w:p>
    <w:p>
      <w:r>
        <w:rPr>
          <w:b/>
          <w:color w:val="000000"/>
        </w:rPr>
        <w:t xml:space="preserve">Gold Standard: </w:t>
      </w:r>
      <w:r>
        <w:rPr>
          <w:color w:val="000000"/>
        </w:rPr>
        <w:t>Neither party may assign without prior written consent, not to be unreasonably withheld.</w:t>
      </w:r>
    </w:p>
    <w:p>
      <w:r>
        <w:rPr>
          <w:b/>
          <w:color w:val="000000"/>
        </w:rPr>
        <w:t xml:space="preserve">Fallback 1: </w:t>
      </w:r>
      <w:r>
        <w:rPr>
          <w:color w:val="000000"/>
        </w:rPr>
        <w:t>Accept assignment without consent for corporate reorganisation or merger, with notice.</w:t>
      </w:r>
    </w:p>
    <w:p>
      <w:r>
        <w:rPr>
          <w:b/>
          <w:color w:val="000000"/>
        </w:rPr>
        <w:t xml:space="preserve">Fallback 2: </w:t>
      </w:r>
      <w:r>
        <w:rPr>
          <w:color w:val="000000"/>
        </w:rPr>
        <w:t>Accept asymmetric assignment rights if Receiving Party has same rights as Disclosing Party.</w:t>
      </w:r>
    </w:p>
    <w:p>
      <w:r>
        <w:rPr>
          <w:b/>
          <w:color w:val="000000"/>
        </w:rPr>
        <w:t xml:space="preserve">Red Flag: </w:t>
      </w:r>
      <w:r>
        <w:rPr>
          <w:color w:val="000000"/>
        </w:rPr>
        <w:t>AMEND asymmetric assignment provisions where only Disclosing Party "may freely assign without consent" or "may assign at its sole discretion." Make assignment rights mutual.</w:t>
      </w:r>
    </w:p>
    <w:p>
      <w:pPr>
        <w:pStyle w:val="Heading1"/>
      </w:pPr>
      <w:r>
        <w:rPr>
          <w:color w:val="000000"/>
        </w:rPr>
        <w:t>11. Governing Law and Jurisdiction</w:t>
      </w:r>
    </w:p>
    <w:p>
      <w:r>
        <w:rPr>
          <w:b/>
          <w:color w:val="000000"/>
        </w:rPr>
        <w:t xml:space="preserve">Gold Standard: </w:t>
      </w:r>
      <w:r>
        <w:rPr>
          <w:color w:val="000000"/>
        </w:rPr>
        <w:t>Jurisdiction with reasonable nexus to the parties' operations.</w:t>
      </w:r>
    </w:p>
    <w:p>
      <w:r>
        <w:rPr>
          <w:b/>
          <w:color w:val="000000"/>
        </w:rPr>
        <w:t xml:space="preserve">Fallback 1: </w:t>
      </w:r>
      <w:r>
        <w:rPr>
          <w:color w:val="000000"/>
        </w:rPr>
        <w:t>Accept neutral jurisdiction acceptable to both parties.</w:t>
      </w:r>
    </w:p>
    <w:p>
      <w:r>
        <w:rPr>
          <w:b/>
          <w:color w:val="000000"/>
        </w:rPr>
        <w:t xml:space="preserve">Fallback 2: </w:t>
      </w:r>
      <w:r>
        <w:rPr>
          <w:color w:val="000000"/>
        </w:rPr>
        <w:t>Accept counterparty's jurisdiction if reasonable and not offshore.</w:t>
      </w:r>
    </w:p>
    <w:p>
      <w:r>
        <w:rPr>
          <w:b/>
          <w:color w:val="000000"/>
        </w:rPr>
        <w:t xml:space="preserve">Red Flag: </w:t>
      </w:r>
      <w:r>
        <w:rPr>
          <w:color w:val="000000"/>
        </w:rPr>
        <w:t>FLAG for review any offshore jurisdiction (Cayman Islands, British Virgin Islands, Bermuda, Channel Islands, Isle of Man) or distant jurisdiction with no nexus (Dubai UAE, Singapore, Hong Kong when parties have no presence). Note: "Recommend amending to jurisdiction with nexus to the parties."</w:t>
      </w:r>
    </w:p>
    <w:p>
      <w:pPr>
        <w:pStyle w:val="Heading1"/>
      </w:pPr>
      <w:r>
        <w:rPr>
          <w:color w:val="000000"/>
        </w:rPr>
        <w:t>12. Limitation of Liability</w:t>
      </w:r>
    </w:p>
    <w:p>
      <w:r>
        <w:rPr>
          <w:b/>
          <w:color w:val="000000"/>
        </w:rPr>
        <w:t xml:space="preserve">Gold Standard: </w:t>
      </w:r>
      <w:r>
        <w:rPr>
          <w:color w:val="000000"/>
        </w:rPr>
        <w:t>Mutual liability cap tied to fees paid or damages suffered, with exclusions for IP infringement, confidentiality breach, and wilful misconduct.</w:t>
      </w:r>
    </w:p>
    <w:p>
      <w:r>
        <w:rPr>
          <w:b/>
          <w:color w:val="000000"/>
        </w:rPr>
        <w:t xml:space="preserve">Fallback 1: </w:t>
      </w:r>
      <w:r>
        <w:rPr>
          <w:color w:val="000000"/>
        </w:rPr>
        <w:t>Accept liability cap of 2x annual fees with reasonable carve-outs.</w:t>
      </w:r>
    </w:p>
    <w:p>
      <w:r>
        <w:rPr>
          <w:b/>
          <w:color w:val="000000"/>
        </w:rPr>
        <w:t xml:space="preserve">Fallback 2: </w:t>
      </w:r>
      <w:r>
        <w:rPr>
          <w:color w:val="000000"/>
        </w:rPr>
        <w:t>Accept higher cap if carve-outs are limited.</w:t>
      </w:r>
    </w:p>
    <w:p>
      <w:r>
        <w:rPr>
          <w:b/>
          <w:color w:val="000000"/>
        </w:rPr>
        <w:t xml:space="preserve">Red Flag: </w:t>
      </w:r>
      <w:r>
        <w:rPr>
          <w:color w:val="000000"/>
        </w:rPr>
        <w:t>FLAG any provision stating "unlimited liability," "uncapped liability," "without any monetary limitation," or "all damages without limitation." Also FLAG if no limitation of liability provision exists. Note: "Recommend adding mutual liability cap."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C083FFC-66B1-4029-89F7-AA1EC3A23512}"/>
</file>

<file path=customXml/itemProps3.xml><?xml version="1.0" encoding="utf-8"?>
<ds:datastoreItem xmlns:ds="http://schemas.openxmlformats.org/officeDocument/2006/customXml" ds:itemID="{610B0CDF-8AD0-41D0-9813-6E5C33EF35E4}"/>
</file>

<file path=customXml/itemProps4.xml><?xml version="1.0" encoding="utf-8"?>
<ds:datastoreItem xmlns:ds="http://schemas.openxmlformats.org/officeDocument/2006/customXml" ds:itemID="{98B60DF0-5510-441F-8DAA-8C0C4761BAC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