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Subcontract Guideline Playbook - Subcontractor Perspective</w:t>
      </w:r>
    </w:p>
    <w:p>
      <w:pPr>
        <w:pStyle w:val="Heading1"/>
      </w:pPr>
      <w:r>
        <w:rPr>
          <w:color w:val="000000"/>
        </w:rPr>
        <w:t>1. Indemnification</w:t>
      </w:r>
    </w:p>
    <w:p>
      <w:r>
        <w:rPr>
          <w:b/>
          <w:color w:val="000000"/>
        </w:rPr>
        <w:t xml:space="preserve">Gold Standard: </w:t>
      </w:r>
      <w:r>
        <w:rPr>
          <w:color w:val="000000"/>
        </w:rPr>
        <w:t>Indemnification limited to Subcontractor's proportionate fault only. Language such as "to the extent caused by the negligent acts or omissions of Subcontractor." No broad-form triggers requiring indemnification for Contractor's or Owner's negligence.</w:t>
      </w:r>
    </w:p>
    <w:p>
      <w:r>
        <w:rPr>
          <w:b/>
          <w:color w:val="000000"/>
        </w:rPr>
        <w:t xml:space="preserve">Fallback 1: </w:t>
      </w:r>
      <w:r>
        <w:rPr>
          <w:color w:val="000000"/>
        </w:rPr>
        <w:t>Accept comparative fault (each party indemnifies to extent of its own fault) with reasonable liability cap.</w:t>
      </w:r>
    </w:p>
    <w:p>
      <w:r>
        <w:rPr>
          <w:b/>
          <w:color w:val="000000"/>
        </w:rPr>
        <w:t xml:space="preserve">Fallback 2: </w:t>
      </w:r>
      <w:r>
        <w:rPr>
          <w:color w:val="000000"/>
        </w:rPr>
        <w:t>Accept broader indemnification if covered by insurance and subject to limitation of liability.</w:t>
      </w:r>
    </w:p>
    <w:p>
      <w:r>
        <w:rPr>
          <w:b/>
          <w:color w:val="000000"/>
        </w:rPr>
        <w:t xml:space="preserve">Red Flag: </w:t>
      </w:r>
      <w:r>
        <w:rPr>
          <w:color w:val="000000"/>
        </w:rPr>
        <w:t>AMEND any broad-form indemnification containing language such as "whether caused in whole or in part by the negligence of the Contractor," "whether or not caused by the negligence of the Indemnified Parties," "including the negligence of any Indemnified Party," or "regardless of fault." Replace with "to the extent caused by the negligent acts or omissions of Subcontractor."</w:t>
      </w:r>
    </w:p>
    <w:p>
      <w:pPr>
        <w:pStyle w:val="Heading1"/>
      </w:pPr>
      <w:r>
        <w:rPr>
          <w:color w:val="000000"/>
        </w:rPr>
        <w:t>2. Insurance - Coverage Types</w:t>
      </w:r>
    </w:p>
    <w:p>
      <w:r>
        <w:rPr>
          <w:b/>
          <w:color w:val="000000"/>
        </w:rPr>
        <w:t xml:space="preserve">Gold Standard: </w:t>
      </w:r>
      <w:r>
        <w:rPr>
          <w:color w:val="000000"/>
        </w:rPr>
        <w:t>Standard coverage only: Commercial General Liability, Automobile Liability, Workers' Compensation, Employer's Liability, Umbrella/Excess Liability, and Professional Liability (if design services included).</w:t>
      </w:r>
    </w:p>
    <w:p>
      <w:r>
        <w:rPr>
          <w:b/>
          <w:color w:val="000000"/>
        </w:rPr>
        <w:t xml:space="preserve">Fallback 1: </w:t>
      </w:r>
      <w:r>
        <w:rPr>
          <w:color w:val="000000"/>
        </w:rPr>
        <w:t>Accept additional coverage types if commercially available and cost is passed through.</w:t>
      </w:r>
    </w:p>
    <w:p>
      <w:r>
        <w:rPr>
          <w:b/>
          <w:color w:val="000000"/>
        </w:rPr>
        <w:t xml:space="preserve">Fallback 2: </w:t>
      </w:r>
      <w:r>
        <w:rPr>
          <w:color w:val="000000"/>
        </w:rPr>
        <w:t>Accept non-standard coverage with reasonable limits and cost recovery.</w:t>
      </w:r>
    </w:p>
    <w:p>
      <w:r>
        <w:rPr>
          <w:b/>
          <w:color w:val="000000"/>
        </w:rPr>
        <w:t xml:space="preserve">Red Flag: </w:t>
      </w:r>
      <w:r>
        <w:rPr>
          <w:color w:val="000000"/>
        </w:rPr>
        <w:t>DELETE any requirement for non-standard coverage types including: Pollution Liability, Cyber Liability Insurance, Railroad Protective Liability, Aircraft Liability, or Marine Liability.</w:t>
      </w:r>
    </w:p>
    <w:p>
      <w:pPr>
        <w:pStyle w:val="Heading1"/>
      </w:pPr>
      <w:r>
        <w:rPr>
          <w:color w:val="000000"/>
        </w:rPr>
        <w:t>3. Additional Insured Endorsements</w:t>
      </w:r>
    </w:p>
    <w:p>
      <w:r>
        <w:rPr>
          <w:b/>
          <w:color w:val="000000"/>
        </w:rPr>
        <w:t xml:space="preserve">Gold Standard: </w:t>
      </w:r>
      <w:r>
        <w:rPr>
          <w:color w:val="000000"/>
        </w:rPr>
        <w:t>Current ISO endorsement forms CG 2010 04/13 and CG 2037 04/13 (or 07/04 editions).</w:t>
      </w:r>
    </w:p>
    <w:p>
      <w:r>
        <w:rPr>
          <w:b/>
          <w:color w:val="000000"/>
        </w:rPr>
        <w:t xml:space="preserve">Fallback 1: </w:t>
      </w:r>
      <w:r>
        <w:rPr>
          <w:color w:val="000000"/>
        </w:rPr>
        <w:t>Accept CG 2010 07/04 and CG 2037 07/04 editions.</w:t>
      </w:r>
    </w:p>
    <w:p>
      <w:r>
        <w:rPr>
          <w:b/>
          <w:color w:val="000000"/>
        </w:rPr>
        <w:t xml:space="preserve">Fallback 2: </w:t>
      </w:r>
      <w:r>
        <w:rPr>
          <w:color w:val="000000"/>
        </w:rPr>
        <w:t>Accept manuscript endorsement providing equivalent coverage to 04/13 editions.</w:t>
      </w:r>
    </w:p>
    <w:p>
      <w:r>
        <w:rPr>
          <w:b/>
          <w:color w:val="000000"/>
        </w:rPr>
        <w:t xml:space="preserve">Red Flag: </w:t>
      </w:r>
      <w:r>
        <w:rPr>
          <w:color w:val="000000"/>
        </w:rPr>
        <w:t>AMEND any requirement for outdated endorsement forms. Replace "CG 2010 11/85" with "CG 2010 04/13." Replace "CG 2010 10/01" with "CG 2010 04/13." Replace "CG 2037 10/01" with "CG 2037 04/13."</w:t>
      </w:r>
    </w:p>
    <w:p>
      <w:pPr>
        <w:pStyle w:val="Heading1"/>
      </w:pPr>
      <w:r>
        <w:rPr>
          <w:color w:val="000000"/>
        </w:rPr>
        <w:t>4. Insurance Documentation</w:t>
      </w:r>
    </w:p>
    <w:p>
      <w:r>
        <w:rPr>
          <w:b/>
          <w:color w:val="000000"/>
        </w:rPr>
        <w:t xml:space="preserve">Gold Standard: </w:t>
      </w:r>
      <w:r>
        <w:rPr>
          <w:color w:val="000000"/>
        </w:rPr>
        <w:t>Provide only Certificates of Insurance and copies of relevant endorsements.</w:t>
      </w:r>
    </w:p>
    <w:p>
      <w:r>
        <w:rPr>
          <w:b/>
          <w:color w:val="000000"/>
        </w:rPr>
        <w:t xml:space="preserve">Fallback 1: </w:t>
      </w:r>
      <w:r>
        <w:rPr>
          <w:color w:val="000000"/>
        </w:rPr>
        <w:t>Accept requirement to provide certificates within reasonable timeframe (10 business days).</w:t>
      </w:r>
    </w:p>
    <w:p>
      <w:r>
        <w:rPr>
          <w:b/>
          <w:color w:val="000000"/>
        </w:rPr>
        <w:t xml:space="preserve">Fallback 2: </w:t>
      </w:r>
      <w:r>
        <w:rPr>
          <w:color w:val="000000"/>
        </w:rPr>
        <w:t>Accept requirement to provide specific endorsements upon request.</w:t>
      </w:r>
    </w:p>
    <w:p>
      <w:r>
        <w:rPr>
          <w:b/>
          <w:color w:val="000000"/>
        </w:rPr>
        <w:t xml:space="preserve">Red Flag: </w:t>
      </w:r>
      <w:r>
        <w:rPr>
          <w:color w:val="000000"/>
        </w:rPr>
        <w:t>AMEND any requirement for "full and complete certified copies of all insurance policies" or "certified copies of all insurance policies and endorsements." Replace with "Certificates of Insurance and copies of endorsements evidencing the required coverages."</w:t>
      </w:r>
    </w:p>
    <w:p>
      <w:pPr>
        <w:pStyle w:val="Heading1"/>
      </w:pPr>
      <w:r>
        <w:rPr>
          <w:color w:val="000000"/>
        </w:rPr>
        <w:t>5. Professional Liability Limits</w:t>
      </w:r>
    </w:p>
    <w:p>
      <w:r>
        <w:rPr>
          <w:b/>
          <w:color w:val="000000"/>
        </w:rPr>
        <w:t xml:space="preserve">Gold Standard: </w:t>
      </w:r>
      <w:r>
        <w:rPr>
          <w:color w:val="000000"/>
        </w:rPr>
        <w:t>$1,000,000 per claim / $2,000,000 aggregate.</w:t>
      </w:r>
    </w:p>
    <w:p>
      <w:r>
        <w:rPr>
          <w:b/>
          <w:color w:val="000000"/>
        </w:rPr>
        <w:t xml:space="preserve">Fallback 1: </w:t>
      </w:r>
      <w:r>
        <w:rPr>
          <w:color w:val="000000"/>
        </w:rPr>
        <w:t>Accept $2,000,000 per claim / $3,000,000 aggregate maximum.</w:t>
      </w:r>
    </w:p>
    <w:p>
      <w:r>
        <w:rPr>
          <w:b/>
          <w:color w:val="000000"/>
        </w:rPr>
        <w:t xml:space="preserve">Fallback 2: </w:t>
      </w:r>
      <w:r>
        <w:rPr>
          <w:color w:val="000000"/>
        </w:rPr>
        <w:t>Accept higher limits if commercially available and cost is passed through.</w:t>
      </w:r>
    </w:p>
    <w:p>
      <w:r>
        <w:rPr>
          <w:b/>
          <w:color w:val="000000"/>
        </w:rPr>
        <w:t xml:space="preserve">Red Flag: </w:t>
      </w:r>
      <w:r>
        <w:rPr>
          <w:color w:val="000000"/>
        </w:rPr>
        <w:t>AMEND any Professional Liability limits exceeding $3,000,000 per claim or $3,000,000 aggregate. Limits such as "$4,000,000 per claim," "$5,000,000 per claim," "$8,000,000 aggregate," or "$10,000,000 aggregate" should be reduced to "$2,000,000 per claim and $3,000,000 aggregate."</w:t>
      </w:r>
    </w:p>
    <w:p>
      <w:pPr>
        <w:pStyle w:val="Heading1"/>
      </w:pPr>
      <w:r>
        <w:rPr>
          <w:color w:val="000000"/>
        </w:rPr>
        <w:t>6. Umbrella/Excess Liability Limits</w:t>
      </w:r>
    </w:p>
    <w:p>
      <w:r>
        <w:rPr>
          <w:b/>
          <w:color w:val="000000"/>
        </w:rPr>
        <w:t xml:space="preserve">Gold Standard: </w:t>
      </w:r>
      <w:r>
        <w:rPr>
          <w:color w:val="000000"/>
        </w:rPr>
        <w:t>$5,000,000 per occurrence and aggregate.</w:t>
      </w:r>
    </w:p>
    <w:p>
      <w:r>
        <w:rPr>
          <w:b/>
          <w:color w:val="000000"/>
        </w:rPr>
        <w:t xml:space="preserve">Fallback 1: </w:t>
      </w:r>
      <w:r>
        <w:rPr>
          <w:color w:val="000000"/>
        </w:rPr>
        <w:t>Accept up to $10,000,000 if project value justifies.</w:t>
      </w:r>
    </w:p>
    <w:p>
      <w:r>
        <w:rPr>
          <w:b/>
          <w:color w:val="000000"/>
        </w:rPr>
        <w:t xml:space="preserve">Fallback 2: </w:t>
      </w:r>
      <w:r>
        <w:rPr>
          <w:color w:val="000000"/>
        </w:rPr>
        <w:t>Accept higher limits only if additional premium is reimbursed.</w:t>
      </w:r>
    </w:p>
    <w:p>
      <w:r>
        <w:rPr>
          <w:b/>
          <w:color w:val="000000"/>
        </w:rPr>
        <w:t xml:space="preserve">Red Flag: </w:t>
      </w:r>
      <w:r>
        <w:rPr>
          <w:color w:val="000000"/>
        </w:rPr>
        <w:t>AMEND any Umbrella/Excess Liability limits exceeding $10,000,000. Limits such as "$12,000,000," "$15,000,000," or "$20,000,000" should be reduced to "$5,000,000 per occurrence and aggregate."</w:t>
      </w:r>
    </w:p>
    <w:p>
      <w:pPr>
        <w:pStyle w:val="Heading1"/>
      </w:pPr>
      <w:r>
        <w:rPr>
          <w:color w:val="000000"/>
        </w:rPr>
        <w:t>7. Alternate Employer Endorsement</w:t>
      </w:r>
    </w:p>
    <w:p>
      <w:r>
        <w:rPr>
          <w:b/>
          <w:color w:val="000000"/>
        </w:rPr>
        <w:t xml:space="preserve">Gold Standard: </w:t>
      </w:r>
      <w:r>
        <w:rPr>
          <w:color w:val="000000"/>
        </w:rPr>
        <w:t>No Alternate Employer Endorsement required.</w:t>
      </w:r>
    </w:p>
    <w:p>
      <w:r>
        <w:rPr>
          <w:b/>
          <w:color w:val="000000"/>
        </w:rPr>
        <w:t xml:space="preserve">Fallback 1: </w:t>
      </w:r>
      <w:r>
        <w:rPr>
          <w:color w:val="000000"/>
        </w:rPr>
        <w:t>Not acceptable in any form.</w:t>
      </w:r>
    </w:p>
    <w:p>
      <w:r>
        <w:rPr>
          <w:b/>
          <w:color w:val="000000"/>
        </w:rPr>
        <w:t xml:space="preserve">Fallback 2: </w:t>
      </w:r>
      <w:r>
        <w:rPr>
          <w:color w:val="000000"/>
        </w:rPr>
        <w:t>Not acceptable in any form.</w:t>
      </w:r>
    </w:p>
    <w:p>
      <w:r>
        <w:rPr>
          <w:b/>
          <w:color w:val="000000"/>
        </w:rPr>
        <w:t xml:space="preserve">Red Flag: </w:t>
      </w:r>
      <w:r>
        <w:rPr>
          <w:color w:val="000000"/>
        </w:rPr>
        <w:t>DELETE any requirement for "Alternate Employer Endorsement," "AEE," "WC 00 03 01," or naming Contractor as an "alternate employer" on Workers' Compensation policies.</w:t>
      </w:r>
    </w:p>
    <w:p>
      <w:pPr>
        <w:pStyle w:val="Heading1"/>
      </w:pPr>
      <w:r>
        <w:rPr>
          <w:color w:val="000000"/>
        </w:rPr>
        <w:t>8. Liquidated Damages</w:t>
      </w:r>
    </w:p>
    <w:p>
      <w:r>
        <w:rPr>
          <w:b/>
          <w:color w:val="000000"/>
        </w:rPr>
        <w:t xml:space="preserve">Gold Standard: </w:t>
      </w:r>
      <w:r>
        <w:rPr>
          <w:color w:val="000000"/>
        </w:rPr>
        <w:t>Pass-through only, limited to Subcontractor's proportionate share of actual delay damages assessed by Owner under the Prime Contract.</w:t>
      </w:r>
    </w:p>
    <w:p>
      <w:r>
        <w:rPr>
          <w:b/>
          <w:color w:val="000000"/>
        </w:rPr>
        <w:t xml:space="preserve">Fallback 1: </w:t>
      </w:r>
      <w:r>
        <w:rPr>
          <w:color w:val="000000"/>
        </w:rPr>
        <w:t>Accept daily rate if capped at reasonable amount and tied to actual delay caused by Subcontractor.</w:t>
      </w:r>
    </w:p>
    <w:p>
      <w:r>
        <w:rPr>
          <w:b/>
          <w:color w:val="000000"/>
        </w:rPr>
        <w:t xml:space="preserve">Fallback 2: </w:t>
      </w:r>
      <w:r>
        <w:rPr>
          <w:color w:val="000000"/>
        </w:rPr>
        <w:t>Accept direct liquidated damages if substantially lower than Prime Contract rate and capped.</w:t>
      </w:r>
    </w:p>
    <w:p>
      <w:r>
        <w:rPr>
          <w:b/>
          <w:color w:val="000000"/>
        </w:rPr>
        <w:t xml:space="preserve">Red Flag: </w:t>
      </w:r>
      <w:r>
        <w:rPr>
          <w:color w:val="000000"/>
        </w:rPr>
        <w:t>AMEND any direct liquidated damages provision specifying a fixed dollar amount per day (e.g., "$2,000 per calendar day," "$3,000 per calendar day," "$5,000 per calendar day"). Replace with "Subcontractor shall only be liable for liquidated damages to the extent Contractor is assessed such damages by Owner under the Prime Contract and then only to the extent of Subcontractor's proportionate share attributable to its fault."</w:t>
      </w:r>
    </w:p>
    <w:p>
      <w:pPr>
        <w:pStyle w:val="Heading1"/>
      </w:pPr>
      <w:r>
        <w:rPr>
          <w:color w:val="000000"/>
        </w:rPr>
        <w:t>9. Consequential Damages</w:t>
      </w:r>
    </w:p>
    <w:p>
      <w:r>
        <w:rPr>
          <w:b/>
          <w:color w:val="000000"/>
        </w:rPr>
        <w:t xml:space="preserve">Gold Standard: </w:t>
      </w:r>
      <w:r>
        <w:rPr>
          <w:color w:val="000000"/>
        </w:rPr>
        <w:t>Mutual waiver of consequential, indirect, incidental, special, and punitive damages.</w:t>
      </w:r>
    </w:p>
    <w:p>
      <w:r>
        <w:rPr>
          <w:b/>
          <w:color w:val="000000"/>
        </w:rPr>
        <w:t xml:space="preserve">Fallback 1: </w:t>
      </w:r>
      <w:r>
        <w:rPr>
          <w:color w:val="000000"/>
        </w:rPr>
        <w:t>Accept exclusion of lost profits only with mutual waiver of other consequential damages.</w:t>
      </w:r>
    </w:p>
    <w:p>
      <w:r>
        <w:rPr>
          <w:b/>
          <w:color w:val="000000"/>
        </w:rPr>
        <w:t xml:space="preserve">Fallback 2: </w:t>
      </w:r>
      <w:r>
        <w:rPr>
          <w:color w:val="000000"/>
        </w:rPr>
        <w:t>Accept one-sided waiver if Subcontractor's exposure is capped at insurance limits.</w:t>
      </w:r>
    </w:p>
    <w:p>
      <w:r>
        <w:rPr>
          <w:b/>
          <w:color w:val="000000"/>
        </w:rPr>
        <w:t xml:space="preserve">Red Flag: </w:t>
      </w:r>
      <w:r>
        <w:rPr>
          <w:color w:val="000000"/>
        </w:rPr>
        <w:t>AMEND any one-sided exposure to consequential damages. Replace language such as "including but not limited to consequential damages, indirect damages," "lost profits, loss of use, loss of business opportunity," or "special damages, punitive damages" with mutual waiver: "Neither party shall be liable to the other for any consequential, indirect, incidental, special, or punitive damages."</w:t>
      </w:r>
    </w:p>
    <w:p>
      <w:pPr>
        <w:pStyle w:val="Heading1"/>
      </w:pPr>
      <w:r>
        <w:rPr>
          <w:color w:val="000000"/>
        </w:rPr>
        <w:t>10. Personal Guarantee</w:t>
      </w:r>
    </w:p>
    <w:p>
      <w:r>
        <w:rPr>
          <w:b/>
          <w:color w:val="000000"/>
        </w:rPr>
        <w:t xml:space="preserve">Gold Standard: </w:t>
      </w:r>
      <w:r>
        <w:rPr>
          <w:color w:val="000000"/>
        </w:rPr>
        <w:t>No personal guarantee from any individual.</w:t>
      </w:r>
    </w:p>
    <w:p>
      <w:r>
        <w:rPr>
          <w:b/>
          <w:color w:val="000000"/>
        </w:rPr>
        <w:t xml:space="preserve">Fallback 1: </w:t>
      </w:r>
      <w:r>
        <w:rPr>
          <w:color w:val="000000"/>
        </w:rPr>
        <w:t>Not acceptable in any form.</w:t>
      </w:r>
    </w:p>
    <w:p>
      <w:r>
        <w:rPr>
          <w:b/>
          <w:color w:val="000000"/>
        </w:rPr>
        <w:t xml:space="preserve">Fallback 2: </w:t>
      </w:r>
      <w:r>
        <w:rPr>
          <w:color w:val="000000"/>
        </w:rPr>
        <w:t>Not acceptable in any form.</w:t>
      </w:r>
    </w:p>
    <w:p>
      <w:r>
        <w:rPr>
          <w:b/>
          <w:color w:val="000000"/>
        </w:rPr>
        <w:t xml:space="preserve">Red Flag: </w:t>
      </w:r>
      <w:r>
        <w:rPr>
          <w:color w:val="000000"/>
        </w:rPr>
        <w:t>DELETE any personal guarantee requirement entirely. Look for language such as "unconditionally and irrevocably guarantee," "personal guarantee of full payment and performance," "Principal hereby guarantees," or any requirement for individuals (owners, principals, officers, shareholders, members) to guarantee Subcontractor's obligations.</w:t>
      </w:r>
    </w:p>
    <w:p>
      <w:pPr>
        <w:pStyle w:val="Heading1"/>
      </w:pPr>
      <w:r>
        <w:rPr>
          <w:color w:val="000000"/>
        </w:rPr>
        <w:t>11. Union and Project Labor Agreement Obligations</w:t>
      </w:r>
    </w:p>
    <w:p>
      <w:r>
        <w:rPr>
          <w:b/>
          <w:color w:val="000000"/>
        </w:rPr>
        <w:t xml:space="preserve">Gold Standard: </w:t>
      </w:r>
      <w:r>
        <w:rPr>
          <w:color w:val="000000"/>
        </w:rPr>
        <w:t>No requirement to become union signatory or execute Project Labor Agreement.</w:t>
      </w:r>
    </w:p>
    <w:p>
      <w:r>
        <w:rPr>
          <w:b/>
          <w:color w:val="000000"/>
        </w:rPr>
        <w:t xml:space="preserve">Fallback 1: </w:t>
      </w:r>
      <w:r>
        <w:rPr>
          <w:color w:val="000000"/>
        </w:rPr>
        <w:t>Accept compliance with prevailing wage requirements only if required by law.</w:t>
      </w:r>
    </w:p>
    <w:p>
      <w:r>
        <w:rPr>
          <w:b/>
          <w:color w:val="000000"/>
        </w:rPr>
        <w:t xml:space="preserve">Fallback 2: </w:t>
      </w:r>
      <w:r>
        <w:rPr>
          <w:color w:val="000000"/>
        </w:rPr>
        <w:t>Accept PLA compliance for specific union trades if Subcontractor is already signatory.</w:t>
      </w:r>
    </w:p>
    <w:p>
      <w:r>
        <w:rPr>
          <w:b/>
          <w:color w:val="000000"/>
        </w:rPr>
        <w:t xml:space="preserve">Red Flag: </w:t>
      </w:r>
      <w:r>
        <w:rPr>
          <w:color w:val="000000"/>
        </w:rPr>
        <w:t>DELETE any requirement to execute "Project Labor Agreement," "Letter of Assent," become a "union signatory," or comply with Collective Bargaining Agreement requirements incompatible with non-union status.</w:t>
      </w:r>
    </w:p>
    <w:p>
      <w:pPr>
        <w:pStyle w:val="Heading1"/>
      </w:pPr>
      <w:r>
        <w:rPr>
          <w:color w:val="000000"/>
        </w:rPr>
        <w:t>12. Non-Compete Restrictions</w:t>
      </w:r>
    </w:p>
    <w:p>
      <w:r>
        <w:rPr>
          <w:b/>
          <w:color w:val="000000"/>
        </w:rPr>
        <w:t xml:space="preserve">Gold Standard: </w:t>
      </w:r>
      <w:r>
        <w:rPr>
          <w:color w:val="000000"/>
        </w:rPr>
        <w:t>No non-compete or non-competition restrictions.</w:t>
      </w:r>
    </w:p>
    <w:p>
      <w:r>
        <w:rPr>
          <w:b/>
          <w:color w:val="000000"/>
        </w:rPr>
        <w:t xml:space="preserve">Fallback 1: </w:t>
      </w:r>
      <w:r>
        <w:rPr>
          <w:color w:val="000000"/>
        </w:rPr>
        <w:t>Not acceptable in any form for subcontracts.</w:t>
      </w:r>
    </w:p>
    <w:p>
      <w:r>
        <w:rPr>
          <w:b/>
          <w:color w:val="000000"/>
        </w:rPr>
        <w:t xml:space="preserve">Fallback 2: </w:t>
      </w:r>
      <w:r>
        <w:rPr>
          <w:color w:val="000000"/>
        </w:rPr>
        <w:t>Not acceptable in any form for subcontracts.</w:t>
      </w:r>
    </w:p>
    <w:p>
      <w:r>
        <w:rPr>
          <w:b/>
          <w:color w:val="000000"/>
        </w:rPr>
        <w:t xml:space="preserve">Red Flag: </w:t>
      </w:r>
      <w:r>
        <w:rPr>
          <w:color w:val="000000"/>
        </w:rPr>
        <w:t>DELETE any non-compete clause restricting Subcontractor from competing, working with competitors, or operating in certain geographic areas. Delete regardless of duration or scope.</w:t>
      </w:r>
    </w:p>
    <w:p>
      <w:pPr>
        <w:pStyle w:val="Heading1"/>
      </w:pPr>
      <w:r>
        <w:rPr>
          <w:color w:val="000000"/>
        </w:rPr>
        <w:t>13. Most Favored Nations (MFN)</w:t>
      </w:r>
    </w:p>
    <w:p>
      <w:r>
        <w:rPr>
          <w:b/>
          <w:color w:val="000000"/>
        </w:rPr>
        <w:t xml:space="preserve">Gold Standard: </w:t>
      </w:r>
      <w:r>
        <w:rPr>
          <w:color w:val="000000"/>
        </w:rPr>
        <w:t>No Most Favored Nations or pricing parity provisions.</w:t>
      </w:r>
    </w:p>
    <w:p>
      <w:r>
        <w:rPr>
          <w:b/>
          <w:color w:val="000000"/>
        </w:rPr>
        <w:t xml:space="preserve">Fallback 1: </w:t>
      </w:r>
      <w:r>
        <w:rPr>
          <w:color w:val="000000"/>
        </w:rPr>
        <w:t>Accept MFN only for identical scope and volume with same delivery terms.</w:t>
      </w:r>
    </w:p>
    <w:p>
      <w:r>
        <w:rPr>
          <w:b/>
          <w:color w:val="000000"/>
        </w:rPr>
        <w:t xml:space="preserve">Fallback 2: </w:t>
      </w:r>
      <w:r>
        <w:rPr>
          <w:color w:val="000000"/>
        </w:rPr>
        <w:t>Accept narrow MFN limited to specific product categories with reasonable exceptions.</w:t>
      </w:r>
    </w:p>
    <w:p>
      <w:r>
        <w:rPr>
          <w:b/>
          <w:color w:val="000000"/>
        </w:rPr>
        <w:t xml:space="preserve">Red Flag: </w:t>
      </w:r>
      <w:r>
        <w:rPr>
          <w:color w:val="000000"/>
        </w:rPr>
        <w:t>DELETE any "Most Favored Nations," "MFN," or "pricing parity" provision requiring Subcontractor to offer its lowest prices. Look for language such as "most favourable pricing," "lowest price offered to any customer," or clauses requiring Subcontractor to match competitors' pricing.</w:t>
      </w:r>
    </w:p>
    <w:p>
      <w:pPr>
        <w:pStyle w:val="Heading1"/>
      </w:pPr>
      <w:r>
        <w:rPr>
          <w:color w:val="000000"/>
        </w:rPr>
        <w:t>14. Vaccination Requirements</w:t>
      </w:r>
    </w:p>
    <w:p>
      <w:r>
        <w:rPr>
          <w:b/>
          <w:color w:val="000000"/>
        </w:rPr>
        <w:t xml:space="preserve">Gold Standard: </w:t>
      </w:r>
      <w:r>
        <w:rPr>
          <w:color w:val="000000"/>
        </w:rPr>
        <w:t>No mandatory vaccination requirements for personnel.</w:t>
      </w:r>
    </w:p>
    <w:p>
      <w:r>
        <w:rPr>
          <w:b/>
          <w:color w:val="000000"/>
        </w:rPr>
        <w:t xml:space="preserve">Fallback 1: </w:t>
      </w:r>
      <w:r>
        <w:rPr>
          <w:color w:val="000000"/>
        </w:rPr>
        <w:t>Accept voluntary vaccination encouragement without mandate.</w:t>
      </w:r>
    </w:p>
    <w:p>
      <w:r>
        <w:rPr>
          <w:b/>
          <w:color w:val="000000"/>
        </w:rPr>
        <w:t xml:space="preserve">Fallback 2: </w:t>
      </w:r>
      <w:r>
        <w:rPr>
          <w:color w:val="000000"/>
        </w:rPr>
        <w:t>Accept site-specific requirements mandated by Owner or law only.</w:t>
      </w:r>
    </w:p>
    <w:p>
      <w:r>
        <w:rPr>
          <w:b/>
          <w:color w:val="000000"/>
        </w:rPr>
        <w:t xml:space="preserve">Red Flag: </w:t>
      </w:r>
      <w:r>
        <w:rPr>
          <w:color w:val="000000"/>
        </w:rPr>
        <w:t>DELETE any mandatory vaccination requirement including "COVID-19 vaccination," "annual influenza vaccination," "proof of vaccination," or prohibition of "unvaccinated workers" on site.</w:t>
      </w:r>
    </w:p>
    <w:p>
      <w:pPr>
        <w:pStyle w:val="Heading1"/>
      </w:pPr>
      <w:r>
        <w:rPr>
          <w:color w:val="000000"/>
        </w:rPr>
        <w:t>15. Restrictive Covenants - Duration</w:t>
      </w:r>
    </w:p>
    <w:p>
      <w:r>
        <w:rPr>
          <w:b/>
          <w:color w:val="000000"/>
        </w:rPr>
        <w:t xml:space="preserve">Gold Standard: </w:t>
      </w:r>
      <w:r>
        <w:rPr>
          <w:color w:val="000000"/>
        </w:rPr>
        <w:t>Restrictive covenants (if any) limited to project duration only.</w:t>
      </w:r>
    </w:p>
    <w:p>
      <w:r>
        <w:rPr>
          <w:b/>
          <w:color w:val="000000"/>
        </w:rPr>
        <w:t xml:space="preserve">Fallback 1: </w:t>
      </w:r>
      <w:r>
        <w:rPr>
          <w:color w:val="000000"/>
        </w:rPr>
        <w:t>Accept 6-month post-completion restriction on soliciting project-specific personnel.</w:t>
      </w:r>
    </w:p>
    <w:p>
      <w:r>
        <w:rPr>
          <w:b/>
          <w:color w:val="000000"/>
        </w:rPr>
        <w:t xml:space="preserve">Fallback 2: </w:t>
      </w:r>
      <w:r>
        <w:rPr>
          <w:color w:val="000000"/>
        </w:rPr>
        <w:t>Accept 12-month restriction limited to key personnel directly assigned to project.</w:t>
      </w:r>
    </w:p>
    <w:p>
      <w:r>
        <w:rPr>
          <w:b/>
          <w:color w:val="000000"/>
        </w:rPr>
        <w:t xml:space="preserve">Red Flag: </w:t>
      </w:r>
      <w:r>
        <w:rPr>
          <w:color w:val="000000"/>
        </w:rPr>
        <w:t>AMEND any restrictive covenant duration exceeding 12 months. Look for "eighteen (18) months," "two (2) years following completion," or similar excessive durations. Reduce to project duration or 12 months maximum.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15BBAF-E543-4096-854C-6F1EFE41E846}"/>
</file>

<file path=customXml/itemProps3.xml><?xml version="1.0" encoding="utf-8"?>
<ds:datastoreItem xmlns:ds="http://schemas.openxmlformats.org/officeDocument/2006/customXml" ds:itemID="{D6AFFF92-F8EE-4220-BFDE-2CF03D149A80}"/>
</file>

<file path=customXml/itemProps4.xml><?xml version="1.0" encoding="utf-8"?>
<ds:datastoreItem xmlns:ds="http://schemas.openxmlformats.org/officeDocument/2006/customXml" ds:itemID="{DC35456F-F10B-45B3-BDC2-ADA7CEBA01C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