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Cascade Manufacturing Ltd ("Disclosing Party")</w:t>
      </w:r>
    </w:p>
    <w:p>
      <w:pPr>
        <w:spacing w:after="100"/>
      </w:pPr>
      <w:r>
        <w:rPr>
          <w:color w:val="000000"/>
          <w:sz w:val="22"/>
          <w:szCs w:val="22"/>
        </w:rPr>
        <w:t xml:space="preserve">and</w:t>
      </w:r>
    </w:p>
    <w:p>
      <w:pPr>
        <w:spacing w:after="200"/>
      </w:pPr>
      <w:r>
        <w:rPr>
          <w:b/>
          <w:bCs/>
          <w:color w:val="000000"/>
          <w:sz w:val="22"/>
          <w:szCs w:val="22"/>
        </w:rPr>
        <w:t xml:space="preserve">ProSupply Logistics Inc. ("Receiving Party")</w:t>
      </w:r>
    </w:p>
    <w:p>
      <w:pPr>
        <w:spacing w:after="300"/>
      </w:pPr>
      <w:r>
        <w:rPr>
          <w:color w:val="000000"/>
          <w:sz w:val="22"/>
          <w:szCs w:val="22"/>
        </w:rPr>
        <w:t xml:space="preserve">WHEREAS, the parties wish to explore a potential business relationship concerning supplier qualification and onboarding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rPr>
          <w:color w:val="000000"/>
          <w:sz w:val="22"/>
          <w:szCs w:val="22"/>
        </w:rPr>
        <w:t xml:space="preserve">1.1 "Confidential Information" means any and all information, data, documents, know-how, trade secrets, business plans, financial information, technical specifications, customer lists, and any other proprietary information disclosed by the Disclosing Party, oral disclosures need not be confirmed in writing, in any form or medium, whether tangible or intangible, written, oral, visual, or electronic.</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The obligations set forth in this Agreement shall apply solely to the Receiving Party. The Receiving Party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 but in no event less than reasonable care.</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If the Receiving Party is required by law to disclose Confidential Information, it shall provide prompt notice to the Disclosing Party (to the extent legally permitted) and cooperate with the Disclosing Party's efforts to obtain a protective order.</w:t>
      </w:r>
    </w:p>
    <w:p>
      <w:pPr>
        <w:spacing w:before="300" w:after="200"/>
      </w:pPr>
      <w:r>
        <w:rPr>
          <w:b/>
          <w:bCs/>
          <w:color w:val="000000"/>
          <w:sz w:val="24"/>
          <w:szCs w:val="24"/>
        </w:rPr>
        <w:t xml:space="preserve">4. TERM AND SURVIVAL</w:t>
      </w:r>
    </w:p>
    <w:p>
      <w:pPr>
        <w:spacing w:after="200"/>
      </w:pPr>
      <w:r>
        <w:rPr>
          <w:color w:val="000000"/>
          <w:sz w:val="22"/>
          <w:szCs w:val="22"/>
        </w:rPr>
        <w:t xml:space="preserve">4.1 This Agreement shall remain in effect for two (2) years from execution. Confidentiality obligations shall survive termination for a period of three (3) years.</w:t>
      </w:r>
    </w:p>
    <w:p>
      <w:pPr>
        <w:spacing w:before="300" w:after="200"/>
      </w:pPr>
      <w:r>
        <w:rPr>
          <w:b/>
          <w:bCs/>
          <w:color w:val="000000"/>
          <w:sz w:val="24"/>
          <w:szCs w:val="24"/>
        </w:rPr>
        <w:t xml:space="preserve">5. RETURN AND DESTRUCTION</w:t>
      </w:r>
    </w:p>
    <w:p>
      <w:pPr>
        <w:spacing w:after="200"/>
      </w:pPr>
      <w:r>
        <w:rPr>
          <w:color w:val="000000"/>
          <w:sz w:val="22"/>
          <w:szCs w:val="22"/>
        </w:rPr>
        <w:t xml:space="preserve">5.1 Upon termination of this Agreement or upon request by the Disclosing Party, the Receiving Party shall promptly return or shall destroy all copies, notes, and derivatives without retention. The Receiving Party shall certify in writing that all Confidential Information has been returned or destroyed.</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8. REMEDIES</w:t>
      </w:r>
    </w:p>
    <w:p>
      <w:pPr>
        <w:spacing w:after="200"/>
      </w:pPr>
      <w:r>
        <w:rPr>
          <w:color w:val="000000"/>
          <w:sz w:val="22"/>
          <w:szCs w:val="22"/>
        </w:rPr>
        <w:t xml:space="preserve">8.1 Each party acknowledges that a breach of this Agreement may cause irreparable harm for which monetary damages may be inadequate.</w:t>
      </w:r>
    </w:p>
    <w:p>
      <w:pPr>
        <w:spacing w:after="200"/>
      </w:pPr>
      <w:r>
        <w:rPr>
          <w:color w:val="000000"/>
          <w:sz w:val="22"/>
          <w:szCs w:val="22"/>
        </w:rPr>
        <w:t xml:space="preserve">8.2 Either party may seek injunctive relief in addition to other remedies available at law or in equity.</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rPr>
          <w:color w:val="000000"/>
          <w:sz w:val="22"/>
          <w:szCs w:val="22"/>
        </w:rPr>
        <w:t xml:space="preserve">9.2 Assignment. The Disclosing Party Disclosing Party may assign at its sole discretion. The Receiving Party may not assign this Agreement without prior written consent.</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the laws of the State of Delaware. Any dispute shall be resolved in the state or federal courts located in Delaware.</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Cascade Manufacturing Ltd</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ProSupply Logistics Inc.</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2025-12-16T12:59:38.610Z</dcterms:created>
  <dcterms:modified xsi:type="dcterms:W3CDTF">2025-12-16T12:59:38.610Z</dcterms:modified>
</cp:coreProperties>
</file>

<file path=docProps/custom.xml><?xml version="1.0" encoding="utf-8"?>
<Properties xmlns="http://schemas.openxmlformats.org/officeDocument/2006/custom-properties" xmlns:vt="http://schemas.openxmlformats.org/officeDocument/2006/docPropsVTypes"/>
</file>