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Nexus Investment Partners ("Disclosing Party")</w:t>
      </w:r>
    </w:p>
    <w:p>
      <w:pPr>
        <w:spacing w:after="100"/>
      </w:pPr>
      <w:r>
        <w:rPr>
          <w:color w:val="000000"/>
          <w:sz w:val="22"/>
          <w:szCs w:val="22"/>
        </w:rPr>
        <w:t xml:space="preserve">and</w:t>
      </w:r>
    </w:p>
    <w:p>
      <w:pPr>
        <w:spacing w:after="200"/>
      </w:pPr>
      <w:r>
        <w:rPr>
          <w:b/>
          <w:bCs/>
          <w:color w:val="000000"/>
          <w:sz w:val="22"/>
          <w:szCs w:val="22"/>
        </w:rPr>
        <w:t xml:space="preserve">Catalyst Growth Fund ("Receiving Party")</w:t>
      </w:r>
    </w:p>
    <w:p>
      <w:pPr>
        <w:spacing w:after="300"/>
      </w:pPr>
      <w:r>
        <w:rPr>
          <w:color w:val="000000"/>
          <w:sz w:val="22"/>
          <w:szCs w:val="22"/>
        </w:rPr>
        <w:t xml:space="preserve">WHEREAS, the parties wish to explore a potential business relationship concerning investment opportunity review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Notwithstanding Section 3.1, the Receiving Party shall not make any disclosure whatsoever until disclose any Confidential Information pursuant to legal process or governmental request without the express prior written consent of the Disclosing Party, which consent may be withheld in the Disclosing Party's sole discretion.</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7.1 Non-Solicitation. For a period of eighteen (18) months following the termination or expiration of this Agreement, the Receiving Party shall not directly or indirectly solicit, recruit, or hire any employee, contractor, or consultant of the Disclosing Party.</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Injunctive Relief. The Disclosing Party shall be entitled to seek injunctive or other equitable relief waives any requirement for bond, in addition to any other remedies available at law or in equity.</w:t>
      </w:r>
    </w:p>
    <w:p>
      <w:pPr>
        <w:spacing w:after="200"/>
      </w:pPr>
      <w:r>
        <w:rPr>
          <w:color w:val="000000"/>
          <w:sz w:val="22"/>
          <w:szCs w:val="22"/>
        </w:rPr>
        <w:t xml:space="preserve">8.3 Liability. The Receiving Party shall be liable for without any monetary limitation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Nexus Investment Partners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Catalyst Growth Fund</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2025-12-16T12:59:38.621Z</dcterms:created>
  <dcterms:modified xsi:type="dcterms:W3CDTF">2025-12-16T12:59:38.621Z</dcterms:modified>
</cp:coreProperties>
</file>

<file path=docProps/custom.xml><?xml version="1.0" encoding="utf-8"?>
<Properties xmlns="http://schemas.openxmlformats.org/officeDocument/2006/custom-properties" xmlns:vt="http://schemas.openxmlformats.org/officeDocument/2006/docPropsVTypes"/>
</file>