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2025-SC-6283</w:t>
      </w:r>
    </w:p>
    <w:p>
      <w:pPr>
        <w:jc w:val="center"/>
      </w:pPr>
      <w:r>
        <w:rPr>
          <w:b/>
          <w:bCs/>
          <w:color w:val="000000"/>
          <w:sz w:val="28"/>
          <w:szCs w:val="28"/>
        </w:rPr>
        <w:t xml:space="preserve">Financial District Tower</w:t>
      </w:r>
    </w:p>
    <w:p>
      <w:pPr>
        <w:spacing w:after="300"/>
        <w:jc w:val="center"/>
      </w:pPr>
      <w:r>
        <w:rPr>
          <w:color w:val="000000"/>
          <w:sz w:val="24"/>
          <w:szCs w:val="24"/>
        </w:rPr>
        <w:t xml:space="preserve">Unitised Curtainwall Installation</w:t>
      </w:r>
    </w:p>
    <w:p>
      <w:pPr>
        <w:jc w:val="center"/>
      </w:pPr>
      <w:r>
        <w:rPr>
          <w:color w:val="000000"/>
          <w:sz w:val="24"/>
          <w:szCs w:val="24"/>
        </w:rPr>
        <w:t xml:space="preserve">Between</w:t>
      </w:r>
    </w:p>
    <w:p>
      <w:pPr>
        <w:jc w:val="center"/>
      </w:pPr>
      <w:r>
        <w:rPr>
          <w:b/>
          <w:bCs/>
          <w:color w:val="000000"/>
          <w:sz w:val="24"/>
          <w:szCs w:val="24"/>
        </w:rPr>
        <w:t xml:space="preserve">Vector Builders Group</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GlassLine Curtainwall Systems</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$6,250,000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Vector Builders Group ("Contractor") and GlassLine Curtainwall Systems ("Subcontractor") for work on the Financial District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Unitised Curtainwall Installation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$6,250,000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rPr>
          <w:color w:val="000000"/>
          <w:sz w:val="22"/>
          <w:szCs w:val="22"/>
        </w:rPr>
        <w:t xml:space="preserve">5.1 Subcontractor shall indemnify, defend and hold harmless Contractor, Owner, and Architect from and against all claims, demands, liabilities, damages, costs and expenses to the extent caused by the negligent acts or omissions of Subcontractor, its employees, agents, or anyone for whose acts Subcontractor may be liable.</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Reserved.</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$20,000,000 per occurrence and aggregate.</w:t>
      </w:r>
    </w:p>
    <w:p>
      <w:pPr>
        <w:spacing w:after="200"/>
      </w:pPr>
      <w:r>
        <w:t>6.2 Additional Insured Requirements. Subcontractor shall endorse policies to include additional insureds per CG 2010 11/85 edition.</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pay to Contractor as liquidated damages, and not as a penalty, the sum of $5,000 per calendar day for each day that the Work remains incomplete after the scheduled completion date.</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11 - RESTRICTIVE COVENANTS</w:t>
      </w:r>
    </w:p>
    <w:p>
      <w:pPr>
        <w:spacing w:after="200"/>
      </w:pPr>
      <w:r>
        <w:rPr>
          <w:color w:val="000000"/>
          <w:sz w:val="22"/>
          <w:szCs w:val="22"/>
        </w:rPr>
        <w:t xml:space="preserve">11.1 Non-Competition. For a period of two (2) years following completion and within a seventy-five (75) mile radius of the Project, Subcontractor agrees not to directly or indirectly engage in any business that competes with Contractor or solicit any of Contractor's customers or employees.</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Vector Builders Group</w:t>
      </w:r>
    </w:p>
    <w:p>
      <w:pPr>
        <w:spacing w:after="100"/>
      </w:pPr>
      <w:r>
        <w:rPr>
          <w:b/>
          <w:bCs/>
          <w:color w:val="000000"/>
          <w:sz w:val="22"/>
          <w:szCs w:val="22"/>
        </w:rPr>
        <w:t xml:space="preserve">SUBCONTRACTOR:</w:t>
      </w:r>
    </w:p>
    <w:p>
      <w:pPr>
        <w:spacing w:after="300"/>
      </w:pPr>
      <w:r>
        <w:rPr>
          <w:color w:val="000000"/>
          <w:sz w:val="22"/>
          <w:szCs w:val="22"/>
        </w:rPr>
        <w:t xml:space="preserve">GlassLine Curtainwall Systems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2025-12-16T12:57:57.811Z</dcterms:created>
  <dcterms:modified xsi:type="dcterms:W3CDTF">2025-12-16T12:57:57.811Z</dcterms:modified>
</cp:coreProperties>
</file>

<file path=docProps/custom.xml><?xml version="1.0" encoding="utf-8"?>
<Properties xmlns="http://schemas.openxmlformats.org/officeDocument/2006/custom-properties" xmlns:vt="http://schemas.openxmlformats.org/officeDocument/2006/docPropsVTypes"/>
</file>